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300" w:after="0"/>
      </w:pPr>
      <w:r>
        <w:rPr>
          <w:b/>
          <w:bCs/>
          <w:color w:val="1F5C8C"/>
          <w:sz w:val="18"/>
          <w:szCs w:val="18"/>
          <w:caps/>
        </w:rPr>
        <w:t xml:space="preserve">WINDROSE AI  ·  TAX NOTICES</w:t>
      </w:r>
    </w:p>
    <w:p>
      <w:pPr>
        <w:pBdr>
          <w:bottom w:val="single" w:color="1F5C8C" w:sz="12"/>
        </w:pBdr>
        <w:spacing w:before="40" w:after="0"/>
      </w:pPr>
    </w:p>
    <w:p>
      <w:pPr>
        <w:spacing w:before="250" w:after="60"/>
      </w:pPr>
      <w:r>
        <w:rPr>
          <w:b/>
          <w:bCs/>
          <w:color w:val="1B2430"/>
          <w:sz w:val="54"/>
          <w:szCs w:val="54"/>
        </w:rPr>
        <w:t xml:space="preserve">Agent Playbook</w:t>
      </w:r>
    </w:p>
    <w:p>
      <w:pPr>
        <w:spacing w:after="40"/>
      </w:pPr>
      <w:r>
        <w:rPr>
          <w:i/>
          <w:iCs/>
          <w:color w:val="5B6670"/>
          <w:sz w:val="24"/>
          <w:szCs w:val="24"/>
        </w:rPr>
        <w:t xml:space="preserve">How to put the nine Windrose agents to work in tax notices.</w:t>
      </w:r>
    </w:p>
    <w:p>
      <w:pPr>
        <w:spacing w:after="220"/>
      </w:pPr>
    </w:p>
    <w:p>
      <w:pPr>
        <w:spacing w:after="120" w:line="276"/>
      </w:pPr>
      <w:r>
        <w:rPr>
          <w:color w:val="1B2430"/>
        </w:rPr>
        <w:t xml:space="preserve">This playbook maps each of Windrose’s nine agents to a concrete job in this vertical, grounded in the real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tax-notices pack</w:t>
      </w:r>
      <w:r>
        <w:rPr>
          <w:color w:val="1B2430"/>
        </w:rPr>
        <w:t xml:space="preserve">.</w:t>
      </w:r>
    </w:p>
    <w:p>
      <w:pPr>
        <w:spacing w:after="140"/>
      </w:pPr>
    </w:p>
    <w:p>
      <w:pPr>
        <w:spacing w:after="120" w:line="276"/>
      </w:pPr>
      <w:r>
        <w:rPr>
          <w:b/>
          <w:bCs/>
          <w:color w:val="1B2430"/>
        </w:rPr>
        <w:t xml:space="preserve">Pack: 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tax-notices v1.0.0</w:t>
      </w:r>
    </w:p>
    <w:p>
      <w:pPr>
        <w:spacing w:after="120" w:line="276"/>
      </w:pPr>
      <w:r>
        <w:rPr>
          <w:b/>
          <w:bCs/>
          <w:color w:val="1B2430"/>
        </w:rPr>
        <w:t xml:space="preserve">Domain:  </w:t>
      </w:r>
      <w:r>
        <w:rPr>
          <w:color w:val="1B2430"/>
        </w:rPr>
        <w:t xml:space="preserve">tax · compliance · notices · sales_use · abatement</w:t>
      </w:r>
    </w:p>
    <w:p>
      <w:pPr>
        <w:spacing w:after="120" w:line="276"/>
      </w:pPr>
      <w:r>
        <w:rPr>
          <w:b/>
          <w:bCs/>
          <w:color w:val="1B2430"/>
        </w:rPr>
        <w:t xml:space="preserve">Regulatory:  </w:t>
      </w:r>
      <w:r>
        <w:rPr>
          <w:color w:val="1B2430"/>
        </w:rPr>
        <w:t xml:space="preserve">irs_procedures, state_tax_codes, wayfair_nexus, mtc_uniform_cert, streamlined_sales_tax</w:t>
      </w:r>
    </w:p>
    <w:p>
      <w:pPr>
        <w:spacing w:after="120" w:line="276"/>
      </w:pPr>
      <w:r>
        <w:rPr>
          <w:b/>
          <w:bCs/>
          <w:color w:val="1B2430"/>
        </w:rPr>
        <w:t xml:space="preserve">Golden rule:  </w:t>
      </w:r>
      <w:r>
        <w:rPr>
          <w:b/>
          <w:bCs/>
          <w:color w:val="B23A48"/>
        </w:rPr>
        <w:t xml:space="preserve">Windrose proposes; a human decides. </w:t>
      </w:r>
      <w:r>
        <w:rPr>
          <w:color w:val="1B2430"/>
        </w:rPr>
        <w:t xml:space="preserve">No autonomous writes — four-eyes on every action.</w:t>
      </w:r>
    </w:p>
    <w:p>
      <w:pPr>
        <w:spacing w:after="120" w:line="276"/>
      </w:pPr>
      <w:r>
        <w:rPr>
          <w:b/>
          <w:bCs/>
          <w:color w:val="1B2430"/>
        </w:rPr>
        <w:t xml:space="preserve">Date:  </w:t>
      </w:r>
      <w:r>
        <w:rPr>
          <w:color w:val="1B2430"/>
        </w:rPr>
        <w:t xml:space="preserve">2026-07-17</w:t>
      </w:r>
    </w:p>
    <w:p>
      <w:r>
        <w:br w:type="page"/>
      </w:r>
    </w:p>
    <w:p>
      <w:pPr>
        <w:pStyle w:val="Heading1"/>
        <w:spacing w:before="300" w:after="70"/>
      </w:pPr>
      <w:r>
        <w:rPr>
          <w:b/>
          <w:bCs/>
          <w:color w:val="1F5C8C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00" w:after="70"/>
      </w:pPr>
      <w:r>
        <w:rPr>
          <w:b/>
          <w:bCs/>
          <w:color w:val="1F5C8C"/>
        </w:rPr>
        <w:t xml:space="preserve">1.  What this pack does</w:t>
      </w:r>
    </w:p>
    <w:p>
      <w:pPr>
        <w:spacing w:after="120" w:line="276"/>
      </w:pPr>
      <w:r>
        <w:rPr>
          <w:color w:val="1B2430"/>
        </w:rPr>
        <w:t xml:space="preserve">AI-assisted corporate tax notice and exemption-certificate resolution: notice intake triage with jurisdictional-deadline awareness (response windows forfeit appeal rights when missed), penalty-abatement workflow (first-time abatement and reasonable-cause grounding), economic-nexus questionnaire handling post-Wayfair, exemption/resale certificate audit remediation, information-mismatch (CP2000-style) response, duplicate-notice reconciliation, tax-notice-operations KPI semantic model and dashboards (abatement rate, pay-valid share, amended-return share, deadline runway, assessed-vs-abated exposure), entity-jurisdiction nexus network analytics, IRS-practice + state-DOR grounding memories, and account-anomaly + notice-outcome training pipelines.</w:t>
      </w:r>
    </w:p>
    <w:p>
      <w:pPr>
        <w:spacing w:after="120" w:line="276"/>
      </w:pPr>
      <w:r>
        <w:rPr>
          <w:color w:val="1B2430"/>
        </w:rPr>
        <w:t xml:space="preserve">Windrose makes it a </w:t>
      </w:r>
      <w:r>
        <w:rPr>
          <w:b/>
          <w:bCs/>
          <w:color w:val="1B2430"/>
        </w:rPr>
        <w:t xml:space="preserve">governed decision workflow</w:t>
      </w:r>
      <w:r>
        <w:rPr>
          <w:color w:val="1B2430"/>
        </w:rPr>
        <w:t xml:space="preserve">: the source data lands as governed datasets; the agents watch the queue and </w:t>
      </w:r>
      <w:r>
        <w:rPr>
          <w:b/>
          <w:bCs/>
          <w:color w:val="1B2430"/>
        </w:rPr>
        <w:t xml:space="preserve">propose</w:t>
      </w:r>
      <w:r>
        <w:rPr>
          <w:color w:val="1B2430"/>
        </w:rPr>
        <w:t xml:space="preserve"> — a disposition, a model, a dashboard — grounded in the domain rules; and a human </w:t>
      </w:r>
      <w:r>
        <w:rPr>
          <w:b/>
          <w:bCs/>
          <w:color w:val="1B2430"/>
        </w:rPr>
        <w:t xml:space="preserve">approves</w:t>
      </w:r>
      <w:r>
        <w:rPr>
          <w:color w:val="1B2430"/>
        </w:rPr>
        <w:t xml:space="preserve">. Every correction trains the next model. The nine agents are the workforce; this playbook is their job description.</w:t>
      </w:r>
    </w:p>
    <w:tbl>
      <w:tblPr>
        <w:tblW w:type="dxa" w:w="9360"/>
        <w:tblBorders>
          <w:top w:val="single" w:color="C9D6E0" w:sz="2"/>
          <w:left w:val="single" w:color="B23A48" w:sz="18"/>
          <w:bottom w:val="single" w:color="C9D6E0" w:sz="2"/>
          <w:right w:val="single" w:color="C9D6E0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ECE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B23A48"/>
                <w:sz w:val="18"/>
                <w:szCs w:val="18"/>
                <w:caps/>
              </w:rPr>
              <w:t xml:space="preserve">The rule that shapes everything</w:t>
            </w:r>
          </w:p>
          <w:p>
            <w:pPr>
              <w:spacing w:after="0" w:line="264"/>
            </w:pPr>
            <w:r>
              <w:rPr>
                <w:b/>
                <w:bCs/>
                <w:color w:val="B23A48"/>
              </w:rPr>
              <w:t xml:space="preserve">Windrose proposes; a human decides. </w:t>
            </w:r>
            <w:r>
              <w:rPr>
                <w:color w:val="1B2430"/>
              </w:rPr>
              <w:t xml:space="preserve">Proposal-mode + four-eyes: no agent writes or actions on its own — every consequential step is a human-approved proposal. Enforced by the platform.</w:t>
            </w:r>
          </w:p>
        </w:tc>
      </w:tr>
    </w:tbl>
    <w:p>
      <w:pPr>
        <w:pStyle w:val="Heading1"/>
        <w:spacing w:before="300" w:after="70"/>
      </w:pPr>
      <w:r>
        <w:rPr>
          <w:b/>
          <w:bCs/>
          <w:color w:val="1F5C8C"/>
        </w:rPr>
        <w:t xml:space="preserve">2.  The team (who does the approving)</w:t>
      </w:r>
    </w:p>
    <w:p>
      <w:pPr>
        <w:spacing w:after="120" w:line="276"/>
      </w:pPr>
      <w:r>
        <w:rPr>
          <w:color w:val="1B2430"/>
        </w:rPr>
        <w:t xml:space="preserve">The pack ships these roles. Each person only sees what their role allows; the approver on a proposal is never the one (or the agent) who created it.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5C8C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6360"/>
            <w:shd w:fill="1F5C8C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Tax Notice Analyst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Controversy &amp; Abatement Lead</w:t>
            </w:r>
          </w:p>
        </w:tc>
        <w:tc>
          <w:tcPr>
            <w:tcW w:type="dxa" w:w="63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Sales Tax Specialist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Tax Compliance Manager</w:t>
            </w:r>
          </w:p>
        </w:tc>
        <w:tc>
          <w:tcPr>
            <w:tcW w:type="dxa" w:w="63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Tax Governance Auditor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1"/>
        <w:spacing w:before="300" w:after="70"/>
      </w:pPr>
      <w:r>
        <w:rPr>
          <w:b/>
          <w:bCs/>
          <w:color w:val="1F5C8C"/>
        </w:rPr>
        <w:t xml:space="preserve">3.  The nine agents, mapped to this vertical</w:t>
      </w:r>
    </w:p>
    <w:p>
      <w:pPr>
        <w:spacing w:after="120" w:line="276"/>
      </w:pPr>
      <w:r>
        <w:rPr>
          <w:color w:val="1B2430"/>
        </w:rPr>
        <w:t xml:space="preserve">Every agent below is the </w:t>
      </w:r>
      <w:r>
        <w:rPr>
          <w:b/>
          <w:bCs/>
          <w:color w:val="1B2430"/>
        </w:rPr>
        <w:t xml:space="preserve">same platform agent</w:t>
      </w:r>
      <w:r>
        <w:rPr>
          <w:color w:val="1B2430"/>
        </w:rPr>
        <w:t xml:space="preserve"> — specialised to this domain through tenant configuration (persona + domain + rule grounding), not a code fork. case-triage and analytics carry explicit domain instructions today; the rest apply unchanged.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1900"/>
        <w:gridCol w:w="4400"/>
        <w:gridCol w:w="3060"/>
      </w:tblGrid>
      <w:tr>
        <w:trPr>
          <w:tblHeader/>
        </w:trPr>
        <w:tc>
          <w:tcPr>
            <w:tcW w:type="dxa" w:w="1900"/>
            <w:shd w:fill="1F5C8C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Agent</w:t>
            </w:r>
          </w:p>
        </w:tc>
        <w:tc>
          <w:tcPr>
            <w:tcW w:type="dxa" w:w="4400"/>
            <w:shd w:fill="1F5C8C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Its job here</w:t>
            </w:r>
          </w:p>
        </w:tc>
        <w:tc>
          <w:tcPr>
            <w:tcW w:type="dxa" w:w="3060"/>
            <w:shd w:fill="1F5C8C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Who approves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onboarding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Propose how to land the source feeds as governed datasets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admin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analytics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Answer KPI questions over the governed models — read-only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 (no write)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dashboard-designer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Draft the operational dashboards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model-training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Propose a account-anomaly + notice-outcome training run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scientist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ml-engineer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Autonomously build &amp; compare candidate models, propose the winner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(four-eyes)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inference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Batch-score with the production model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Analyst / Manager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case-triage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The reviewer: propose a disposition on each queued case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Domain reviewer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governance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Open a retrain proposal when a model drifts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scientist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meta-router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Front door: route a free-text request to the right agent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(delegate’s approver)</w:t>
            </w:r>
          </w:p>
        </w:tc>
      </w:tr>
    </w:tbl>
    <w:p>
      <w:pPr>
        <w:spacing w:after="50"/>
      </w:pPr>
    </w:p>
    <w:p>
      <w:pPr>
        <w:spacing w:after="120" w:line="276"/>
      </w:pPr>
      <w:r>
        <w:rPr>
          <w:color w:val="1B2430"/>
        </w:rPr>
        <w:t xml:space="preserve">The domain data these agents reason over is live in the platform’s governed layer:</w:t>
      </w:r>
    </w:p>
    <w:tbl>
      <w:tblPr>
        <w:tblW w:type="dxa" w:w="8400"/>
        <w:jc w:val="center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1F5C8C"/>
          <w:sz w:val="17"/>
          <w:szCs w:val="17"/>
        </w:rPr>
        <w:t xml:space="preserve">Figure 1. </w:t>
      </w:r>
      <w:r>
        <w:rPr>
          <w:i/>
          <w:iCs/>
          <w:color w:val="5B6670"/>
          <w:sz w:val="17"/>
          <w:szCs w:val="17"/>
        </w:rPr>
        <w:t xml:space="preserve">The platform’s Semantic Models surface (models from many installed packs shown). This pack adds: tax_notices_core.</w:t>
      </w:r>
    </w:p>
    <w:tbl>
      <w:tblPr>
        <w:tblW w:type="dxa" w:w="8400"/>
        <w:jc w:val="center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1F5C8C"/>
          <w:sz w:val="17"/>
          <w:szCs w:val="17"/>
        </w:rPr>
        <w:t xml:space="preserve">Figure 2. </w:t>
      </w:r>
      <w:r>
        <w:rPr>
          <w:i/>
          <w:iCs/>
          <w:color w:val="5B6670"/>
          <w:sz w:val="17"/>
          <w:szCs w:val="17"/>
        </w:rPr>
        <w:t xml:space="preserve">The Dashboards surface. This pack installs: Tax_notice_command_center, Deadlines_exposure, Root_cause_abatement.</w:t>
      </w:r>
    </w:p>
    <w:p>
      <w:pPr>
        <w:pStyle w:val="Heading1"/>
        <w:spacing w:before="300" w:after="70"/>
      </w:pPr>
      <w:r>
        <w:rPr>
          <w:b/>
          <w:bCs/>
          <w:color w:val="1F5C8C"/>
        </w:rPr>
        <w:t xml:space="preserve">4.  Agent-by-agent playbook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1F5C8C" w:color="auto" w:val="clear"/>
        </w:rPr>
        <w:t xml:space="preserve">  onboarding  </w:t>
      </w:r>
      <w:r>
        <w:rPr>
          <w:b/>
          <w:bCs/>
          <w:color w:val="1B2430"/>
        </w:rPr>
        <w:t xml:space="preserve">   4.1. Bring the data in</w:t>
      </w:r>
    </w:p>
    <w:p>
      <w:pPr>
        <w:spacing w:after="120" w:line="276"/>
      </w:pPr>
      <w:r>
        <w:rPr>
          <w:color w:val="1B2430"/>
        </w:rPr>
        <w:t xml:space="preserve">The onboarding agent inspects a source and </w:t>
      </w:r>
      <w:r>
        <w:rPr>
          <w:b/>
          <w:bCs/>
          <w:color w:val="1B2430"/>
        </w:rPr>
        <w:t xml:space="preserve">proposes</w:t>
      </w:r>
      <w:r>
        <w:rPr>
          <w:color w:val="1B2430"/>
        </w:rPr>
        <w:t xml:space="preserve"> an ingestion config + column mapping, grounded in the connector catalog and a live preview.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Go to </w:t>
      </w:r>
      <w:r>
        <w:rPr>
          <w:b/>
          <w:bCs/>
          <w:color w:val="1B2430"/>
        </w:rPr>
        <w:t xml:space="preserve">Data → Data Sources → New data source</w:t>
      </w:r>
      <w:r>
        <w:rPr>
          <w:color w:val="1B2430"/>
        </w:rPr>
        <w:t xml:space="preserve">; pick a connector or upload a seed extract.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Ask it to “onboard this feed as a dataset.” It returns an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ingestion.create</w:t>
      </w:r>
      <w:r>
        <w:rPr>
          <w:color w:val="1B2430"/>
        </w:rPr>
        <w:t xml:space="preserve"> proposal; a data admin approves; the feed lands </w:t>
      </w:r>
      <w:r>
        <w:rPr>
          <w:b/>
          <w:bCs/>
          <w:color w:val="2E7D57"/>
        </w:rPr>
        <w:t xml:space="preserve">ready</w:t>
      </w:r>
      <w:r>
        <w:rPr>
          <w:color w:val="1B2430"/>
        </w:rPr>
        <w:t xml:space="preserve">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1F5C8C" w:color="auto" w:val="clear"/>
        </w:rPr>
        <w:t xml:space="preserve">  analytics  </w:t>
      </w:r>
      <w:r>
        <w:rPr>
          <w:b/>
          <w:bCs/>
          <w:color w:val="1B2430"/>
        </w:rPr>
        <w:t xml:space="preserve">   4.2. Ask the KPIs</w:t>
      </w:r>
    </w:p>
    <w:p>
      <w:pPr>
        <w:spacing w:after="120" w:line="276"/>
      </w:pPr>
      <w:r>
        <w:rPr>
          <w:color w:val="1B2430"/>
        </w:rPr>
        <w:t xml:space="preserve">The analytics agent answers KPI questions over the governed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tax_notices_core</w:t>
      </w:r>
      <w:r>
        <w:rPr>
          <w:color w:val="1B2430"/>
        </w:rPr>
        <w:t xml:space="preserve"> model(s) — </w:t>
      </w:r>
      <w:r>
        <w:rPr>
          <w:b/>
          <w:bCs/>
          <w:color w:val="1B2430"/>
        </w:rPr>
        <w:t xml:space="preserve">read-only</w:t>
      </w:r>
      <w:r>
        <w:rPr>
          <w:color w:val="1B2430"/>
        </w:rPr>
        <w:t xml:space="preserve">, citing the measures it used. From the pack’s own analytics instructions:</w:t>
      </w:r>
    </w:p>
    <w:tbl>
      <w:tblPr>
        <w:tblW w:type="dxa" w:w="9360"/>
        <w:tblBorders>
          <w:top w:val="single" w:color="C9D6E0" w:sz="2"/>
          <w:left w:val="single" w:color="1F5C8C" w:sz="18"/>
          <w:bottom w:val="single" w:color="C9D6E0" w:sz="2"/>
          <w:right w:val="single" w:color="C9D6E0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7EF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F5C8C"/>
                <w:sz w:val="18"/>
                <w:szCs w:val="18"/>
                <w:caps/>
              </w:rPr>
              <w:t xml:space="preserve">Analytics grounding (from the pack)</w:t>
            </w:r>
          </w:p>
          <w:p>
            <w:pPr>
              <w:spacing w:after="0" w:line="264"/>
            </w:pPr>
            <w:r>
              <w:rPr>
                <w:i/>
                <w:iCs/>
                <w:color w:val="1B2430"/>
              </w:rPr>
              <w:t xml:space="preserve">Answer tax-notice program KPI questions from the governed semantic model tax_notices_core: abatement_rate, pay_valid_share, amended_return_share, abatement_recovery_rate (dollars abated over dollars assessed), high_severity_share, avg_notice_age_days (backlog aging), avg_deadline_runway_days, assessed and abated dollar totals (total_assessed_amount / total_abated_amount), and book-level surfaces (account_count, registered_account_count, vda_entity_count, national_footprint_count). Use plain operational language for tax compliance and controversy staff and always cite the measure names you used. Slice by notice ty…</w:t>
            </w:r>
          </w:p>
        </w:tc>
      </w:tr>
    </w:tbl>
    <w:tbl>
      <w:tblPr>
        <w:tblW w:type="dxa" w:w="8400"/>
        <w:jc w:val="center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1F5C8C"/>
          <w:sz w:val="17"/>
          <w:szCs w:val="17"/>
        </w:rPr>
        <w:t xml:space="preserve">Figure 3. </w:t>
      </w:r>
      <w:r>
        <w:rPr>
          <w:i/>
          <w:iCs/>
          <w:color w:val="5B6670"/>
          <w:sz w:val="17"/>
          <w:szCs w:val="17"/>
        </w:rPr>
        <w:t xml:space="preserve">The role-grounded Copilot answering over the governed semantic layer — grounded, never fabricated. The same surface serves this vertical.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1F5C8C" w:color="auto" w:val="clear"/>
        </w:rPr>
        <w:t xml:space="preserve">  dashboard-designer  </w:t>
      </w:r>
      <w:r>
        <w:rPr>
          <w:b/>
          <w:bCs/>
          <w:color w:val="1B2430"/>
        </w:rPr>
        <w:t xml:space="preserve">   4.3. Stand up the boards</w:t>
      </w:r>
    </w:p>
    <w:p>
      <w:pPr>
        <w:spacing w:after="120" w:line="276"/>
      </w:pPr>
      <w:r>
        <w:rPr>
          <w:color w:val="1B2430"/>
        </w:rPr>
        <w:t xml:space="preserve">It proposes a draft dashboard — title + charts bound to real measures/dimensions — grounded in the semantic layer. Ask “design a board for this program”; review the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chart.dashboard.create</w:t>
      </w:r>
      <w:r>
        <w:rPr>
          <w:color w:val="1B2430"/>
        </w:rPr>
        <w:t xml:space="preserve"> proposal; a director approves (the boards appear as in Figure 2).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1F5C8C" w:color="auto" w:val="clear"/>
        </w:rPr>
        <w:t xml:space="preserve">  model-training  </w:t>
      </w:r>
      <w:r>
        <w:rPr>
          <w:b/>
          <w:bCs/>
          <w:color w:val="1B2430"/>
        </w:rPr>
        <w:t xml:space="preserve">   4.4. Propose a account-anomaly + notice-outcome model</w:t>
      </w:r>
    </w:p>
    <w:p>
      <w:pPr>
        <w:spacing w:after="120" w:line="276"/>
      </w:pPr>
      <w:r>
        <w:rPr>
          <w:color w:val="1B2430"/>
        </w:rPr>
        <w:t xml:space="preserve">It turns a plain-language goal into a governed training-run proposal — algorithm, hyperparameters, label/features — grounded in the algorithm catalog and prior runs. The pack ships a real </w:t>
      </w:r>
      <w:r>
        <w:rPr>
          <w:b/>
          <w:bCs/>
          <w:color w:val="1B2430"/>
        </w:rPr>
        <w:t xml:space="preserve">account-anomaly + notice-outcome training pipeline</w:t>
      </w:r>
      <w:r>
        <w:rPr>
          <w:color w:val="1B243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Ask “train a account-anomaly + notice-outcome model on the panel.” It returns 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pipeline.template.create_from_algorithm</w:t>
      </w:r>
      <w:r>
        <w:rPr>
          <w:color w:val="1B2430"/>
        </w:rPr>
        <w:t xml:space="preserve"> proposal; approve → the pipeline runs and registers a model.</w:t>
      </w:r>
    </w:p>
    <w:tbl>
      <w:tblPr>
        <w:tblW w:type="dxa" w:w="8400"/>
        <w:jc w:val="center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1F5C8C"/>
          <w:sz w:val="17"/>
          <w:szCs w:val="17"/>
        </w:rPr>
        <w:t xml:space="preserve">Figure 4. </w:t>
      </w:r>
      <w:r>
        <w:rPr>
          <w:i/>
          <w:iCs/>
          <w:color w:val="5B6670"/>
          <w:sz w:val="17"/>
          <w:szCs w:val="17"/>
        </w:rPr>
        <w:t xml:space="preserve">Experiments &amp; the model registry — a pipeline-trained model auto-mirrors here, ready to gate and promote.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1F5C8C" w:color="auto" w:val="clear"/>
        </w:rPr>
        <w:t xml:space="preserve">  ml-engineer  </w:t>
      </w:r>
      <w:r>
        <w:rPr>
          <w:b/>
          <w:bCs/>
          <w:color w:val="1B2430"/>
        </w:rPr>
        <w:t xml:space="preserve">   4.5. Build the model for me</w:t>
      </w:r>
    </w:p>
    <w:p>
      <w:pPr>
        <w:spacing w:after="120" w:line="276"/>
      </w:pPr>
      <w:r>
        <w:rPr>
          <w:color w:val="1B2430"/>
        </w:rPr>
        <w:t xml:space="preserve">The ml-engineer agent runs the whole loop autonomously: inspects the schema, launches candidate models in sandboxed pipeline runs, compares </w:t>
      </w:r>
      <w:r>
        <w:rPr>
          <w:b/>
          <w:bCs/>
          <w:color w:val="1B2430"/>
        </w:rPr>
        <w:t xml:space="preserve">real</w:t>
      </w:r>
      <w:r>
        <w:rPr>
          <w:color w:val="1B2430"/>
        </w:rPr>
        <w:t xml:space="preserve"> metrics, and proposes promoting the winner via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experiment.model.promote</w:t>
      </w:r>
      <w:r>
        <w:rPr>
          <w:color w:val="1B2430"/>
        </w:rPr>
        <w:t xml:space="preserve"> — </w:t>
      </w:r>
      <w:r>
        <w:rPr>
          <w:b/>
          <w:bCs/>
          <w:color w:val="1B2430"/>
        </w:rPr>
        <w:t xml:space="preserve">four-eyes, never promoting directly</w:t>
      </w:r>
      <w:r>
        <w:rPr>
          <w:color w:val="1B2430"/>
        </w:rPr>
        <w:t xml:space="preserve">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1F5C8C" w:color="auto" w:val="clear"/>
        </w:rPr>
        <w:t xml:space="preserve">  inference  </w:t>
      </w:r>
      <w:r>
        <w:rPr>
          <w:b/>
          <w:bCs/>
          <w:color w:val="1B2430"/>
        </w:rPr>
        <w:t xml:space="preserve">   4.6. Score the population</w:t>
      </w:r>
    </w:p>
    <w:p>
      <w:pPr>
        <w:spacing w:after="120" w:line="276"/>
      </w:pPr>
      <w:r>
        <w:rPr>
          <w:color w:val="1B2430"/>
        </w:rPr>
        <w:t xml:space="preserve">The inference agent proposes a batch scoring job: it resolves the model’s </w:t>
      </w:r>
      <w:r>
        <w:rPr>
          <w:b/>
          <w:bCs/>
          <w:color w:val="1B2430"/>
        </w:rPr>
        <w:t xml:space="preserve">production</w:t>
      </w:r>
      <w:r>
        <w:rPr>
          <w:color w:val="1B2430"/>
        </w:rPr>
        <w:t xml:space="preserve"> version, checks input-schema compatibility, and proposes an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inference.submit</w:t>
      </w:r>
      <w:r>
        <w:rPr>
          <w:color w:val="1B2430"/>
        </w:rPr>
        <w:t xml:space="preserve"> job whose output is a scored dataset the team works from. A human approves before it runs.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1F5C8C" w:color="auto" w:val="clear"/>
        </w:rPr>
        <w:t xml:space="preserve">  case-triage  </w:t>
      </w:r>
      <w:r>
        <w:rPr>
          <w:b/>
          <w:bCs/>
          <w:color w:val="1B2430"/>
        </w:rPr>
        <w:t xml:space="preserve">   4.7. The reviewer (the heart of it)</w:t>
      </w:r>
    </w:p>
    <w:p>
      <w:pPr>
        <w:spacing w:after="120" w:line="276"/>
      </w:pPr>
      <w:r>
        <w:rPr>
          <w:color w:val="1B2430"/>
        </w:rPr>
        <w:t xml:space="preserve">Each queued case (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notice_queue</w:t>
      </w:r>
      <w:r>
        <w:rPr>
          <w:color w:val="1B2430"/>
        </w:rPr>
        <w:t xml:space="preserve">) gets a proposed </w:t>
      </w:r>
      <w:r>
        <w:rPr>
          <w:b/>
          <w:bCs/>
          <w:color w:val="1B2430"/>
        </w:rPr>
        <w:t xml:space="preserve">disposition</w:t>
      </w:r>
      <w:r>
        <w:rPr>
          <w:color w:val="1B2430"/>
        </w:rPr>
        <w:t xml:space="preserve">, grounded in the domain rules and citing the exact basis. It </w:t>
      </w:r>
      <w:r>
        <w:rPr>
          <w:i/>
          <w:iCs/>
          <w:color w:val="1B2430"/>
        </w:rPr>
        <w:t xml:space="preserve">never</w:t>
      </w:r>
      <w:r>
        <w:rPr>
          <w:color w:val="1B2430"/>
        </w:rPr>
        <w:t xml:space="preserve"> takes the action itself. From the pack’s own triage instructions:</w:t>
      </w:r>
    </w:p>
    <w:tbl>
      <w:tblPr>
        <w:tblW w:type="dxa" w:w="9360"/>
        <w:tblBorders>
          <w:top w:val="single" w:color="C9D6E0" w:sz="2"/>
          <w:left w:val="single" w:color="1F5C8C" w:sz="18"/>
          <w:bottom w:val="single" w:color="C9D6E0" w:sz="2"/>
          <w:right w:val="single" w:color="C9D6E0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7EF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F5C8C"/>
                <w:sz w:val="18"/>
                <w:szCs w:val="18"/>
                <w:caps/>
              </w:rPr>
              <w:t xml:space="preserve">Triage grounding (from the pack)</w:t>
            </w:r>
          </w:p>
          <w:p>
            <w:pPr>
              <w:spacing w:after="0" w:line="264"/>
            </w:pPr>
            <w:r>
              <w:rPr>
                <w:i/>
                <w:iCs/>
                <w:color w:val="1B2430"/>
              </w:rPr>
              <w:t xml:space="preserve">You triage corporate tax notices across IRS, state DOR, and county/city jurisdictions: assessments, penalty-and-interest notices, information mismatches, economic-nexus questionnaires, and exemption-certificate audits. Ground every recommendation in the specific record evidence — cite notice ids, account ids, entities, assessed amounts, filing history, registration status, and prior notices on the same account. Watch the jurisdictional clock first: flag any notice whose days_to_deadline puts a response window at risk, because a missed response deadline typically forfeits administrative appeal rights and lets a proposed assessment go final by default — never let research completeness justify blowing a response date; file a protective response or extension request on time and refine the substance after. Propose one disposition per notice: abate_penalty_resolved (agency error or a reasonabl…</w:t>
            </w:r>
          </w:p>
        </w:tc>
      </w:tr>
    </w:tbl>
    <w:p>
      <w:pPr>
        <w:spacing w:after="120" w:line="276"/>
      </w:pPr>
      <w:r>
        <w:rPr>
          <w:b/>
          <w:bCs/>
          <w:color w:val="1B2430"/>
        </w:rPr>
        <w:t xml:space="preserve">The dispositions it proposes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3100"/>
        <w:gridCol w:w="4200"/>
        <w:gridCol w:w="2060"/>
      </w:tblGrid>
      <w:tr>
        <w:trPr>
          <w:tblHeader/>
        </w:trPr>
        <w:tc>
          <w:tcPr>
            <w:tcW w:type="dxa" w:w="3100"/>
            <w:shd w:fill="1F5C8C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Disposition</w:t>
            </w:r>
          </w:p>
        </w:tc>
        <w:tc>
          <w:tcPr>
            <w:tcW w:type="dxa" w:w="4200"/>
            <w:shd w:fill="1F5C8C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  <w:tc>
          <w:tcPr>
            <w:tcW w:type="dxa" w:w="2060"/>
            <w:shd w:fill="1F5C8C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abate_penalty_resolved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Abated/withdrawn — agency error or reasonable cause won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B26B00"/>
                <w:sz w:val="17"/>
                <w:szCs w:val="17"/>
              </w:rPr>
              <w:t xml:space="preserve">true_positive</w:t>
            </w:r>
          </w:p>
        </w:tc>
      </w:tr>
      <w:tr>
        <w:tc>
          <w:tcPr>
            <w:tcW w:type="dxa" w:w="31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pay_assessment_valid</w:t>
            </w:r>
          </w:p>
        </w:tc>
        <w:tc>
          <w:tcPr>
            <w:tcW w:type="dxa" w:w="42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Pay — notice correct, assessment valid</w:t>
            </w:r>
          </w:p>
        </w:tc>
        <w:tc>
          <w:tcPr>
            <w:tcW w:type="dxa" w:w="2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E7D57"/>
                <w:sz w:val="17"/>
                <w:szCs w:val="17"/>
              </w:rPr>
              <w:t xml:space="preserve">false_positive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file_amended_return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File amended return — correct our filing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5B6670"/>
                <w:sz w:val="17"/>
                <w:szCs w:val="17"/>
              </w:rPr>
              <w:t xml:space="preserve">other</w:t>
            </w:r>
          </w:p>
        </w:tc>
      </w:tr>
      <w:tr>
        <w:tc>
          <w:tcPr>
            <w:tcW w:type="dxa" w:w="31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request_agency_clarification</w:t>
            </w:r>
          </w:p>
        </w:tc>
        <w:tc>
          <w:tcPr>
            <w:tcW w:type="dxa" w:w="42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Request agency clarification — facts unresolved</w:t>
            </w:r>
          </w:p>
        </w:tc>
        <w:tc>
          <w:tcPr>
            <w:tcW w:type="dxa" w:w="2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5B6670"/>
                <w:sz w:val="17"/>
                <w:szCs w:val="17"/>
              </w:rPr>
              <w:t xml:space="preserve">inconclusive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close_duplicate_notice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Close — duplicate of an already-resolved liability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5B6670"/>
                <w:sz w:val="17"/>
                <w:szCs w:val="17"/>
              </w:rPr>
              <w:t xml:space="preserve">benign</w:t>
            </w:r>
          </w:p>
        </w:tc>
      </w:tr>
    </w:tbl>
    <w:p>
      <w:pPr>
        <w:spacing w:after="120" w:line="276"/>
      </w:pPr>
      <w:r>
        <w:rPr>
          <w:b/>
          <w:bCs/>
          <w:color w:val="1B2430"/>
        </w:rPr>
        <w:t xml:space="preserve">How the team uses it: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Open </w:t>
      </w:r>
      <w:r>
        <w:rPr>
          <w:b/>
          <w:bCs/>
          <w:color w:val="1B2430"/>
        </w:rPr>
        <w:t xml:space="preserve">Cases</w:t>
      </w:r>
      <w:r>
        <w:rPr>
          <w:color w:val="1B2430"/>
        </w:rPr>
        <w:t xml:space="preserve"> — the ranked review worklist. Each row is a queued item with its context.</w:t>
      </w:r>
    </w:p>
    <w:tbl>
      <w:tblPr>
        <w:tblW w:type="dxa" w:w="8400"/>
        <w:jc w:val="center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1F5C8C"/>
          <w:sz w:val="17"/>
          <w:szCs w:val="17"/>
        </w:rPr>
        <w:t xml:space="preserve">Figure 5. </w:t>
      </w:r>
      <w:r>
        <w:rPr>
          <w:i/>
          <w:iCs/>
          <w:color w:val="5B6670"/>
          <w:sz w:val="17"/>
          <w:szCs w:val="17"/>
        </w:rPr>
        <w:t xml:space="preserve">The review worklist surface (claims demo shown; this pack drives the identical surface with its own queue).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Open an item; the </w:t>
      </w:r>
      <w:r>
        <w:rPr>
          <w:b/>
          <w:bCs/>
          <w:color w:val="1B2430"/>
        </w:rPr>
        <w:t xml:space="preserve">Overview</w:t>
      </w:r>
      <w:r>
        <w:rPr>
          <w:color w:val="1B2430"/>
        </w:rPr>
        <w:t xml:space="preserve"> shows the evidence and the AI recommendation citing the rule + source. Open </w:t>
      </w:r>
      <w:r>
        <w:rPr>
          <w:b/>
          <w:bCs/>
          <w:color w:val="1B2430"/>
        </w:rPr>
        <w:t xml:space="preserve">Proposals</w:t>
      </w:r>
      <w:r>
        <w:rPr>
          <w:color w:val="1B2430"/>
        </w:rPr>
        <w:t xml:space="preserve"> to see the disposition as a diff.</w:t>
      </w:r>
    </w:p>
    <w:tbl>
      <w:tblPr>
        <w:tblW w:type="dxa" w:w="8400"/>
        <w:jc w:val="center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1F5C8C"/>
          <w:sz w:val="17"/>
          <w:szCs w:val="17"/>
        </w:rPr>
        <w:t xml:space="preserve">Figure 6. </w:t>
      </w:r>
      <w:r>
        <w:rPr>
          <w:i/>
          <w:iCs/>
          <w:color w:val="5B6670"/>
          <w:sz w:val="17"/>
          <w:szCs w:val="17"/>
        </w:rPr>
        <w:t xml:space="preserve">A disposition proposal as a field-level diff — inert until a human approves.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Approve, edit (the correction becomes training data), or reject with a reason from the </w:t>
      </w:r>
      <w:r>
        <w:rPr>
          <w:b/>
          <w:bCs/>
          <w:color w:val="1B2430"/>
        </w:rPr>
        <w:t xml:space="preserve">Approvals</w:t>
      </w:r>
      <w:r>
        <w:rPr>
          <w:color w:val="1B2430"/>
        </w:rPr>
        <w:t xml:space="preserve"> inbox — four-eyes.</w:t>
      </w:r>
    </w:p>
    <w:tbl>
      <w:tblPr>
        <w:tblW w:type="dxa" w:w="8400"/>
        <w:jc w:val="center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1F5C8C"/>
          <w:sz w:val="17"/>
          <w:szCs w:val="17"/>
        </w:rPr>
        <w:t xml:space="preserve">Figure 7. </w:t>
      </w:r>
      <w:r>
        <w:rPr>
          <w:i/>
          <w:iCs/>
          <w:color w:val="5B6670"/>
          <w:sz w:val="17"/>
          <w:szCs w:val="17"/>
        </w:rPr>
        <w:t xml:space="preserve">The approval inbox. Every disposition is approved by someone other than the proposer — four-eyes.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1F5C8C" w:color="auto" w:val="clear"/>
        </w:rPr>
        <w:t xml:space="preserve">  governance  </w:t>
      </w:r>
      <w:r>
        <w:rPr>
          <w:b/>
          <w:bCs/>
          <w:color w:val="1B2430"/>
        </w:rPr>
        <w:t xml:space="preserve">   4.8. Keep the models honest</w:t>
      </w:r>
    </w:p>
    <w:p>
      <w:pPr>
        <w:spacing w:after="120" w:line="276"/>
      </w:pPr>
      <w:r>
        <w:rPr>
          <w:color w:val="1B2430"/>
        </w:rPr>
        <w:t xml:space="preserve">The governance agent runs autonomously under its own agent principal; when a model drifts or corrections pile up past threshold it opens 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mlops.open_retrain</w:t>
      </w:r>
      <w:r>
        <w:rPr>
          <w:color w:val="1B2430"/>
        </w:rPr>
        <w:t xml:space="preserve"> proposal with the evidence summarised. A director approves.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1F5C8C" w:color="auto" w:val="clear"/>
        </w:rPr>
        <w:t xml:space="preserve">  meta-router  </w:t>
      </w:r>
      <w:r>
        <w:rPr>
          <w:b/>
          <w:bCs/>
          <w:color w:val="1B2430"/>
        </w:rPr>
        <w:t xml:space="preserve">   4.9. The team’s front door</w:t>
      </w:r>
    </w:p>
    <w:p>
      <w:pPr>
        <w:spacing w:after="120" w:line="276"/>
      </w:pPr>
      <w:r>
        <w:rPr>
          <w:color w:val="1B2430"/>
        </w:rPr>
        <w:t xml:space="preserve">The meta-router takes a free-text request, classifies it, and delegates to the right specialist — analytics for a question, case-triage for a queued item, ml-engineer for a model. Everything still flows through the same proposal + approval gate.</w:t>
      </w:r>
    </w:p>
    <w:p>
      <w:pPr>
        <w:pStyle w:val="Heading1"/>
        <w:spacing w:before="300" w:after="70"/>
      </w:pPr>
      <w:r>
        <w:rPr>
          <w:b/>
          <w:bCs/>
          <w:color w:val="1F5C8C"/>
        </w:rPr>
        <w:t xml:space="preserve">5.  The operating cycle</w:t>
      </w:r>
    </w:p>
    <w:p>
      <w:pPr>
        <w:pStyle w:val="ListParagraph"/>
        <w:numPr>
          <w:ilvl w:val="0"/>
          <w:numId w:val="2"/>
        </w:numPr>
        <w:spacing w:after="80" w:line="274"/>
      </w:pPr>
       — onboarding proposes ingestions → the source feeds become governed datasets.
    </w:p>
    <w:p>
      <w:pPr>
        <w:pStyle w:val="ListParagraph"/>
        <w:numPr>
          <w:ilvl w:val="0"/>
          <w:numId w:val="2"/>
        </w:numPr>
        <w:spacing w:after="80" w:line="274"/>
      </w:pPr>
       — analytics + dashboards surface where attention is needed.
    </w:p>
    <w:p>
      <w:pPr>
        <w:pStyle w:val="ListParagraph"/>
        <w:numPr>
          <w:ilvl w:val="0"/>
          <w:numId w:val="2"/>
        </w:numPr>
        <w:spacing w:after="80" w:line="274"/>
      </w:pPr>
       — ml-engineer / model-training build the model; inference scores the population.
    </w:p>
    <w:p>
      <w:pPr>
        <w:pStyle w:val="ListParagraph"/>
        <w:numPr>
          <w:ilvl w:val="0"/>
          <w:numId w:val="2"/>
        </w:numPr>
        <w:spacing w:after="80" w:line="274"/>
      </w:pPr>
       — case-triage proposes dispositions on the queue; the team approves (four-eyes).
    </w:p>
    <w:p>
      <w:pPr>
        <w:pStyle w:val="ListParagraph"/>
        <w:numPr>
          <w:ilvl w:val="0"/>
          <w:numId w:val="2"/>
        </w:numPr>
        <w:spacing w:after="80" w:line="274"/>
      </w:pPr>
       — approved actions sync to the system of record in proposal-mode (pack-service adapters).
    </w:p>
    <w:p>
      <w:pPr>
        <w:pStyle w:val="ListParagraph"/>
        <w:numPr>
          <w:ilvl w:val="0"/>
          <w:numId w:val="2"/>
        </w:numPr>
        <w:spacing w:after="80" w:line="274"/>
      </w:pPr>
       — every correction trains the next model; governance opens a retrain on drift.
    </w:p>
    <w:tbl>
      <w:tblPr>
        <w:tblW w:type="dxa" w:w="9360"/>
        <w:tblBorders>
          <w:top w:val="single" w:color="C9D6E0" w:sz="2"/>
          <w:left w:val="single" w:color="1F5C8C" w:sz="18"/>
          <w:bottom w:val="single" w:color="C9D6E0" w:sz="2"/>
          <w:right w:val="single" w:color="C9D6E0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7EF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F5C8C"/>
                <w:sz w:val="18"/>
                <w:szCs w:val="18"/>
                <w:caps/>
              </w:rPr>
              <w:t xml:space="preserve">Governed automation is real</w:t>
            </w:r>
          </w:p>
          <w:p>
            <w:pPr>
              <w:spacing w:after="0" w:line="264"/>
            </w:pPr>
            <w:r>
              <w:rPr>
                <w:color w:val="1B2430"/>
              </w:rPr>
              <w:t xml:space="preserve">Decision tables let you encode deterministic rules that </w:t>
            </w:r>
            <w:r>
              <w:rPr>
                <w:b/>
                <w:bCs/>
                <w:color w:val="1B2430"/>
              </w:rPr>
              <w:t xml:space="preserve">propose</w:t>
            </w:r>
            <w:r>
              <w:rPr>
                <w:color w:val="1B2430"/>
              </w:rPr>
              <w:t xml:space="preserve"> a disposition for approval — never decide autonomously — alongside the agents.</w:t>
            </w:r>
          </w:p>
        </w:tc>
      </w:tr>
    </w:tbl>
    <w:tbl>
      <w:tblPr>
        <w:tblW w:type="dxa" w:w="8400"/>
        <w:jc w:val="center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1F5C8C"/>
          <w:sz w:val="17"/>
          <w:szCs w:val="17"/>
        </w:rPr>
        <w:t xml:space="preserve">Figure 8. </w:t>
      </w:r>
      <w:r>
        <w:rPr>
          <w:i/>
          <w:iCs/>
          <w:color w:val="5B6670"/>
          <w:sz w:val="17"/>
          <w:szCs w:val="17"/>
        </w:rPr>
        <w:t xml:space="preserve">Governed decision tables: deterministic rules that propose a disposition for human approval, versioned and approved by a named user.</w:t>
      </w:r>
    </w:p>
    <w:p>
      <w:pPr>
        <w:pStyle w:val="Heading1"/>
        <w:spacing w:before="300" w:after="70"/>
      </w:pPr>
      <w:r>
        <w:rPr>
          <w:b/>
          <w:bCs/>
          <w:color w:val="1F5C8C"/>
        </w:rPr>
        <w:t xml:space="preserve">6.  Governance &amp; the eval gate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No autonomous action. </w:t>
      </w:r>
      <w:r>
        <w:rPr>
          <w:color w:val="1B2430"/>
        </w:rPr>
        <w:t xml:space="preserve">Every consequential step is a human-approved proposal (four-eyes).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Rules as grounding. </w:t>
      </w:r>
      <w:r>
        <w:rPr>
          <w:color w:val="1B2430"/>
        </w:rPr>
        <w:t xml:space="preserve">The domain’s regulatory rules are retrieved as grounding the agents must cite (irs_procedures, state_tax_codes, wayfair_nexus, mtc_uniform_cert, streamlined_sales_tax).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Eval-gated models. </w:t>
      </w:r>
      <w:r>
        <w:rPr>
          <w:color w:val="1B2430"/>
        </w:rPr>
        <w:t xml:space="preserve">A model is promoted only after passing its eval suite; rollback = demote.</w:t>
      </w:r>
    </w:p>
    <w:tbl>
      <w:tblPr>
        <w:tblW w:type="dxa" w:w="8400"/>
        <w:jc w:val="center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1F5C8C"/>
          <w:sz w:val="17"/>
          <w:szCs w:val="17"/>
        </w:rPr>
        <w:t xml:space="preserve">Figure 9. </w:t>
      </w:r>
      <w:r>
        <w:rPr>
          <w:i/>
          <w:iCs/>
          <w:color w:val="5B6670"/>
          <w:sz w:val="17"/>
          <w:szCs w:val="17"/>
        </w:rPr>
        <w:t xml:space="preserve">The eval flywheel — the promotion gate for this vertical’s models: runs &amp; gates, scorers, and canary A/B.</w:t>
      </w:r>
    </w:p>
    <w:p>
      <w:pPr>
        <w:pStyle w:val="Heading1"/>
        <w:spacing w:before="300" w:after="70"/>
      </w:pPr>
      <w:r>
        <w:rPr>
          <w:b/>
          <w:bCs/>
          <w:color w:val="1F5C8C"/>
        </w:rPr>
        <w:t xml:space="preserve">7.  What is live today vs pack-service-deferred</w:t>
      </w:r>
    </w:p>
    <w:p>
      <w:pPr>
        <w:spacing w:after="120" w:line="276"/>
      </w:pPr>
      <w:r>
        <w:rPr>
          <w:color w:val="1B2430"/>
        </w:rPr>
        <w:t xml:space="preserve">In the spirit of no-fake: what Core materialises today is live; the rest is recorded in the install ledger as deferred, with the proposal-mode + four-eyes guarantees already holding. Nothing is stubbed.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5900"/>
        <w:gridCol w:w="3460"/>
      </w:tblGrid>
      <w:tr>
        <w:trPr>
          <w:tblHeader/>
        </w:trPr>
        <w:tc>
          <w:tcPr>
            <w:tcW w:type="dxa" w:w="5900"/>
            <w:shd w:fill="1F5C8C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3460"/>
            <w:shd w:fill="1F5C8C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Semantic models (tax_notices_core), dashboards, saved/verified queries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Review case queue + disposition taxonomy + role catalog</w:t>
            </w:r>
          </w:p>
        </w:tc>
        <w:tc>
          <w:tcPr>
            <w:tcW w:type="dxa" w:w="34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case-triage + analytics specialised to this domain (rule grounding)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account-anomaly + notice-outcome training pipeline</w:t>
            </w:r>
          </w:p>
        </w:tc>
        <w:tc>
          <w:tcPr>
            <w:tcW w:type="dxa" w:w="34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Deferred to pack-service: guardrails, agent_recipes, connection_templates, write_adapters, eval_sets, ontology, case_schemas, model_archetypes, display_labels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B26B00"/>
                <w:sz w:val="17"/>
                <w:szCs w:val="17"/>
              </w:rPr>
              <w:t xml:space="preserve">Deferred → served today via config + seed data; guarantees hold</w:t>
            </w:r>
          </w:p>
        </w:tc>
      </w:tr>
    </w:tbl>
    <w:p>
      <w:pPr>
        <w:spacing w:after="120"/>
      </w:pPr>
    </w:p>
    <w:p>
      <w:pPr>
        <w:pBdr>
          <w:bottom w:val="single" w:color="C9D6E0" w:sz="6"/>
        </w:pBdr>
        <w:spacing w:before="120" w:after="120"/>
      </w:pPr>
    </w:p>
    <w:p>
      <w:pPr>
        <w:spacing w:after="120" w:line="276"/>
      </w:pPr>
      <w:r>
        <w:rPr>
          <w:i/>
          <w:iCs/>
          <w:color w:val="5B6670"/>
          <w:sz w:val="17"/>
          <w:szCs w:val="17"/>
        </w:rPr>
        <w:t xml:space="preserve">Grounded in the real tax-notices pack (its own pack.yaml, dispositions, roles, and agent instructions). The domain-asset captions name this pack’s real models/dashboards; agent-surface screenshots are the shared, pack-agnostic surfaces (claims demo shown) — this pack drives the identical surfaces with its own data. Where a capability awaits pack-service, this playbook says so.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1F5C8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  <w:rPr>
        <w:b/>
        <w:bCs/>
        <w:color w:val="1F5C8C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B2430"/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5C8C"/>
      <w:sz w:val="30"/>
      <w:szCs w:val="30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rPr>
      <w:b/>
      <w:bCs/>
      <w:color w:val="1B2430"/>
      <w:sz w:val="23"/>
      <w:szCs w:val="23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setswtaaq_thaqajbcgge.png"/><Relationship Id="rId7" Type="http://schemas.openxmlformats.org/officeDocument/2006/relationships/image" Target="media/hypkk0bsyldx99-wg0dwz.png"/><Relationship Id="rId8" Type="http://schemas.openxmlformats.org/officeDocument/2006/relationships/image" Target="media/blhy-nsstclnqc5beasnd.png"/><Relationship Id="rId9" Type="http://schemas.openxmlformats.org/officeDocument/2006/relationships/image" Target="media/y36csnbnyu3fgou_1myq1.png"/><Relationship Id="rId10" Type="http://schemas.openxmlformats.org/officeDocument/2006/relationships/image" Target="media/fnpevsnw3in8bwhsgd19e.png"/><Relationship Id="rId11" Type="http://schemas.openxmlformats.org/officeDocument/2006/relationships/image" Target="media/lpgzxgkeamcyonbataprk.png"/><Relationship Id="rId12" Type="http://schemas.openxmlformats.org/officeDocument/2006/relationships/image" Target="media/gd5qanlqiu7_5qhscfh3n.png"/><Relationship Id="rId13" Type="http://schemas.openxmlformats.org/officeDocument/2006/relationships/image" Target="media/nckvyxv-rxbaejrochryp.png"/><Relationship Id="rId14" Type="http://schemas.openxmlformats.org/officeDocument/2006/relationships/image" Target="media/qcx84_erixmjzeusxxyjs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Windrose AI — Tax Notices Agent Playbook</dc:title>
  <dc:creator>Windrose AI</dc:creator>
  <dc:description>How to use the nine Windrose agents for Tax Notices, grounded in the tax-notices pack.</dc:description>
  <cp:lastModifiedBy>Un-named</cp:lastModifiedBy>
  <cp:revision>1</cp:revision>
  <dcterms:created xsi:type="dcterms:W3CDTF">2026-07-17T22:37:45.353Z</dcterms:created>
  <dcterms:modified xsi:type="dcterms:W3CDTF">2026-07-17T22:37:45.353Z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