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0F6E6E"/>
          <w:sz w:val="18"/>
          <w:szCs w:val="18"/>
          <w:caps/>
        </w:rPr>
        <w:t xml:space="preserve">WINDROSE AI  ·  TRADE COMPLIANCE</w:t>
      </w:r>
    </w:p>
    <w:p>
      <w:pPr>
        <w:pBdr>
          <w:bottom w:val="single" w:color="0F6E6E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trade compliance.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trade-compliance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trade-compliance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trade · customs · imports · sanctions · compliance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cbp, htsus, ofac_sdn, bis_entity_list, ear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customs and trade-compliance decisioning for US importers, customs brokers, and freight forwarders: HS classification review with GRI-ordered reasoning and reasonable-care awareness (19 USC 1484), denied-party screening adjudication (OFAC SDN, BIS Entity List, 50% rule) with evidence-based match clearing, export/dual-use license-determination escalation, origin/transshipment verification, trade-compliance KPI semantic model and dashboards (classification correction rate, screening false-positive rate, true hits, duty-risk mix, deadline runway, entered value by lane/mode), importer-lane sourcing network analytics, customs + sanctions grounding memories, and shipment-anomaly + review-outcome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C6D8D5" w:sz="2"/>
          <w:left w:val="single" w:color="B23A48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0F6E6E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Classification Analyst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Screening Analyst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Licensing Specialist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Trade Compliance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Trade Audit Lead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0F6E6E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shipment-anomaly + review-outcome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trade_core.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Trade_command_center, Screening_sanctions, Classification_duty_risk.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trade_core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C6D8D5" w:sz="2"/>
          <w:left w:val="single" w:color="0F6E6E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4F1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0F6E6E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trade-compliance program KPI questions from the governed semantic model trade_core: classification_correction_rate, screening_false_positive_rate, screening_true_hit_rate, high_duty_risk_share, avg_item_age_days (backlog aging), avg_days_to_deadline (deadline runway), avg_match_score, and the shipment surfaces (shipment_count, total_entered_value, avg_entered_value) plus partner posture (high_risk_partner_count, ctpat_partner_share). Use plain operational language for compliance and audit staff and always cite the measure names you used. Slice by item type, declared HS chapter, product category, origin cou…</w:t>
            </w:r>
          </w:p>
        </w:tc>
      </w:tr>
    </w:tbl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shipment-anomaly + review-outcome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shipment-anomaly + review-outcome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shipment-anomaly + review-outcome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review_queue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C6D8D5" w:sz="2"/>
          <w:left w:val="single" w:color="0F6E6E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4F1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0F6E6E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import trade-compliance review items for US importers, customs brokers, and freight forwarders under the reasonable-care standard (19 USC 1484), OFAC sanctions programs, and the EAR. Two item kinds arrive: HS classification / entry reviews and denied-party screening alerts. Ground every recommendation in the specific row-level evidence — cite review ids, shipment ids, partner ids, declared HS chapters, invoice descriptions, lanes, values, match scores, and the party's screening/correction history. Watch the action clock first: flag any item whose days_to_deadline puts a hold/release or corrected- entry window at risk. For classification items, apply the GRIs in order — heading terms and section/chapter notes before essential- character reasoning — and treat a declared-code vs product-description mismatch on a lane with a prior corrected entry as a reasonable-care red flag warr…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confirm_classification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Confirm — declared classification/origin verified correct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reclassify_correct_entry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Reclassify — declared code wrong, file corrected entry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sanctions_true_hit_hold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True hit — hold shipment, block and report (sanctions/denied party)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escalate_licensing_review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Escalate to export/dual-use licensing review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release_false_positive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Release — screening match cleared as false positive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C6D8D5" w:sz="2"/>
          <w:left w:val="single" w:color="0F6E6E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4F1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0F6E6E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(cbp, htsus, ofac_sdn, bis_entity_list, ear).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(trade_core),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shipment-anomaly + review-outcome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C6D8D5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trade-compliance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F6E6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0F6E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F6E6E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k0dkb2ravoxbavah4cmz.png"/><Relationship Id="rId7" Type="http://schemas.openxmlformats.org/officeDocument/2006/relationships/image" Target="media/9ysyof1fwuo0aeblrknwl.png"/><Relationship Id="rId8" Type="http://schemas.openxmlformats.org/officeDocument/2006/relationships/image" Target="media/f9mydx_1bm0edasdjplmo.png"/><Relationship Id="rId9" Type="http://schemas.openxmlformats.org/officeDocument/2006/relationships/image" Target="media/bamlh-egqllytovqzjoeh.png"/><Relationship Id="rId10" Type="http://schemas.openxmlformats.org/officeDocument/2006/relationships/image" Target="media/fsp9fy_c3ylseas680rtz.png"/><Relationship Id="rId11" Type="http://schemas.openxmlformats.org/officeDocument/2006/relationships/image" Target="media/wfhd7eg0qlfjucjxm_t1-.png"/><Relationship Id="rId12" Type="http://schemas.openxmlformats.org/officeDocument/2006/relationships/image" Target="media/f0nytad_-_wvs_cjuhg4e.png"/><Relationship Id="rId13" Type="http://schemas.openxmlformats.org/officeDocument/2006/relationships/image" Target="media/wlryzkspvmgplg2vp0c8g.png"/><Relationship Id="rId14" Type="http://schemas.openxmlformats.org/officeDocument/2006/relationships/image" Target="media/zdmgqkv3yldegojpmsdje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Trade Compliance Agent Playbook</dc:title>
  <dc:creator>Windrose AI</dc:creator>
  <dc:description>How to use the nine Windrose agents for Trade Compliance, grounded in the trade-compliance pack.</dc:description>
  <cp:lastModifiedBy>Un-named</cp:lastModifiedBy>
  <cp:revision>1</cp:revision>
  <dcterms:created xsi:type="dcterms:W3CDTF">2026-07-17T22:37:45.406Z</dcterms:created>
  <dcterms:modified xsi:type="dcterms:W3CDTF">2026-07-17T22:37:45.406Z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