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2C6E8F"/>
          <w:sz w:val="18"/>
          <w:szCs w:val="18"/>
          <w:caps/>
        </w:rPr>
        <w:t xml:space="preserve">WINDROSE AI  ·  WORKERS COMP CLAIMS</w:t>
      </w:r>
    </w:p>
    <w:p>
      <w:pPr>
        <w:pBdr>
          <w:bottom w:val="single" w:color="2C6E8F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workers comp claims.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workers-comp-claims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workers-comp-claims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insurance · workers_comp · claims · siu · bill_review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state_wc_acts, state_fee_schedules, medicare_secondary_payer, naic_ai_governance, state_fraud_bureaus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workers' compensation claims adjudication for carriers, TPAs, and self-insured employers: FNOL triage with statutory compensability-clock awareness (state accept/deny decision windows), AOE/COE compensability grounding, SIU fraud red-flag escalation (Monday-morning / unwitnessed / post-layoff clusters), medical bill review against state fee schedules with provider-cluster analytics, reserve adequacy and return-to-work tracking, claim-operations KPI semantic model and dashboards (acceptance/denial rates, SIU referral share, litigation rate, deadline runway, fee-schedule variance), state-law + NAIC AI-governance grounding memories, and bill-anomaly + compensability-outcome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BDCE4" w:sz="2"/>
          <w:left w:val="single" w:color="B23A48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WC Claims Adjuster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WC Nurse Case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WC Medical Bill Reviewer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WC Claims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WC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bill-anomaly + compensability-outcome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wc_claims_core.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Wc_claims_command_center, Compensability_clock_reserves, Medical_bill_review.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wc_claims_core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workers'-comp program KPI questions from the governed semantic model wc_claims_core: compensability_acceptance_rate, denial_rate, siu_referral_share, litigation_rate, fee_schedule_variance_rate, avg_claim_age_days (backlog aging), reserve exposure (total_incurred_reserve / avg_incurred_reserve / total_paid_to_date), and the medical-bill surfaces (bill_count, above_fee_schedule_count, total_billed_amount vs total_bill_paid_amount). Use plain operational language for claim-operations and compliance staff and always cite the measure names you used. Slice by injury type, body part, cause code, claim type (medi…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bill-anomaly + compensability-outcome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bill-anomaly + compensability-outcome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bill-anomaly + compensability-outcome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claim_queue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workers' compensation claims for a carrier/TPA under state-specific compensability law: an injury is compensable when it arises out of and occurs in the course of employment (AOE/COE), judged under the jurisdiction state on the claim. Ground every recommendation in the specific claim evidence — cite claim ids, bill ids, amounts, dates, providers, injury mechanism, and the employer context (industry, class code, safety program, experience-mod tier). Watch the statutory clock first: flag any open claim whose days_to_deadline puts the state's accept/deny (pay-or-dispute) decision window at risk, and never let an open investigation item justify silently lapsing a deadline — decide on the evidence in file or recommend the jurisdiction's delay/investigation notice. Propose one disposition per claim: accept_compensable (evidence establishes AOE/COE — note the findings), deny_not_comp…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accept_compensable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Accept — compensable (AOE/COE established)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deny_not_compensable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Deny — compensability not established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refer_utilization_review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Refer to utilization review / bill review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escalate_siu_fraud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SIU — fraud red flags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close_return_to_work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successful return to work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(state_wc_acts, state_fee_schedules, medicare_secondary_payer, naic_ai_governance, state_fraud_bureaus).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(wc_claims_core),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bill-anomaly + compensability-outcome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BDCE4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workers-comp-claims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6E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2C6E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C6E8F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r8muhdmdnp4xl4jyrlnk.png"/><Relationship Id="rId7" Type="http://schemas.openxmlformats.org/officeDocument/2006/relationships/image" Target="media/_kxvqe5jae7cjudtjqplv.png"/><Relationship Id="rId8" Type="http://schemas.openxmlformats.org/officeDocument/2006/relationships/image" Target="media/qj6vk5yo6hvd0bgajjod0.png"/><Relationship Id="rId9" Type="http://schemas.openxmlformats.org/officeDocument/2006/relationships/image" Target="media/mxqd-a7qqcc4tmjptkogo.png"/><Relationship Id="rId10" Type="http://schemas.openxmlformats.org/officeDocument/2006/relationships/image" Target="media/2o0erjsgg0iugnr-d0jov.png"/><Relationship Id="rId11" Type="http://schemas.openxmlformats.org/officeDocument/2006/relationships/image" Target="media/wwsw9zfa7vkwppc0qrllj.png"/><Relationship Id="rId12" Type="http://schemas.openxmlformats.org/officeDocument/2006/relationships/image" Target="media/-5n1tgzycfjgkdybm7pj1.png"/><Relationship Id="rId13" Type="http://schemas.openxmlformats.org/officeDocument/2006/relationships/image" Target="media/vkvs2lxqyowqqhzvvl1rr.png"/><Relationship Id="rId14" Type="http://schemas.openxmlformats.org/officeDocument/2006/relationships/image" Target="media/tqry_scfmfxkq1k62kog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Workers Comp Claims Agent Playbook</dc:title>
  <dc:creator>Windrose AI</dc:creator>
  <dc:description>How to use the nine Windrose agents for Workers Comp Claims, grounded in the workers-comp-claims pack.</dc:description>
  <cp:lastModifiedBy>Un-named</cp:lastModifiedBy>
  <cp:revision>1</cp:revision>
  <dcterms:created xsi:type="dcterms:W3CDTF">2026-07-17T22:37:45.742Z</dcterms:created>
  <dcterms:modified xsi:type="dcterms:W3CDTF">2026-07-17T22:37:45.742Z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