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Datacern AI — Partner &amp; Investor Briefing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Prepared:</w:t>
      </w:r>
      <w:r>
        <w:rPr>
          <w:sz w:val="21"/>
          <w:szCs w:val="21"/>
        </w:rPr>
        <w:t xml:space="preserve"> 2026-07-26 · </w:t>
      </w:r>
      <w:r>
        <w:rPr>
          <w:b/>
          <w:bCs/>
          <w:sz w:val="21"/>
          <w:szCs w:val="21"/>
        </w:rPr>
        <w:t xml:space="preserve">Audience:</w:t>
      </w:r>
      <w:r>
        <w:rPr>
          <w:sz w:val="21"/>
          <w:szCs w:val="21"/>
        </w:rPr>
        <w:t xml:space="preserve"> investor conversations and IT-consulting / SI partner meetings.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Rule #1 of this document: every factual claim was verified against the codebase, CI, or a recorded live run on 2026-07-26.</w:t>
      </w:r>
      <w:r>
        <w:rPr>
          <w:sz w:val="21"/>
          <w:szCs w:val="21"/>
        </w:rPr>
        <w:t xml:space="preserve"> Where a capability has a limit, the limit is stated next to the claim — not hidden in an appendix. Anything aspirational is labeled </w:t>
      </w:r>
      <w:r>
        <w:rPr>
          <w:b/>
          <w:bCs/>
          <w:sz w:val="21"/>
          <w:szCs w:val="21"/>
        </w:rPr>
        <w:t xml:space="preserve">ROADMAP</w:t>
      </w:r>
      <w:r>
        <w:rPr>
          <w:sz w:val="21"/>
          <w:szCs w:val="21"/>
        </w:rPr>
        <w:t xml:space="preserve">. Companion documents: </w:t>
      </w:r>
      <w:r>
        <w:rPr>
          <w:rFonts w:ascii="Consolas" w:cs="Consolas" w:eastAsia="Consolas" w:hAnsi="Consolas"/>
          <w:sz w:val="21"/>
          <w:szCs w:val="21"/>
        </w:rPr>
        <w:t xml:space="preserve">docs/security/SECURITY_POSTURE.md</w:t>
      </w:r>
      <w:r>
        <w:rPr>
          <w:sz w:val="21"/>
          <w:szCs w:val="21"/>
        </w:rPr>
        <w:t xml:space="preserve"> (code-cited security controls and non-claims) and </w:t>
      </w:r>
      <w:r>
        <w:rPr>
          <w:rFonts w:ascii="Consolas" w:cs="Consolas" w:eastAsia="Consolas" w:hAnsi="Consolas"/>
          <w:sz w:val="21"/>
          <w:szCs w:val="21"/>
        </w:rPr>
        <w:t xml:space="preserve">docs/demo/RUNBOOK.md</w:t>
      </w:r>
      <w:r>
        <w:rPr>
          <w:sz w:val="21"/>
          <w:szCs w:val="21"/>
        </w:rPr>
        <w:t xml:space="preserve"> (the live-verified demo, including its own "known limits" section).</w:t>
      </w:r>
    </w:p>
    <w:p>
      <w:pPr>
        <w:spacing w:after="120"/>
      </w:pPr>
      <w:r>
        <w:rPr>
          <w:sz w:val="21"/>
          <w:szCs w:val="21"/>
        </w:rPr>
        <w:t xml:space="preserve">Sections are marked </w:t>
      </w:r>
      <w:r>
        <w:rPr>
          <w:b/>
          <w:bCs/>
          <w:sz w:val="21"/>
          <w:szCs w:val="21"/>
        </w:rPr>
        <w:t xml:space="preserve">[SHARE]</w:t>
      </w:r>
      <w:r>
        <w:rPr>
          <w:sz w:val="21"/>
          <w:szCs w:val="21"/>
        </w:rPr>
        <w:t xml:space="preserve"> (safe to present or hand over) or </w:t>
      </w:r>
      <w:r>
        <w:rPr>
          <w:b/>
          <w:bCs/>
          <w:sz w:val="21"/>
          <w:szCs w:val="21"/>
        </w:rPr>
        <w:t xml:space="preserve">[INTERNAL]</w:t>
      </w:r>
      <w:r>
        <w:rPr>
          <w:sz w:val="21"/>
          <w:szCs w:val="21"/>
        </w:rPr>
        <w:t xml:space="preserve"> (your prep only).</w:t>
      </w:r>
    </w:p>
    <w:p>
      <w:pPr>
        <w:pStyle w:val="Heading2"/>
        <w:spacing w:after="120" w:before="240"/>
      </w:pPr>
      <w:r>
        <w:t xml:space="preserve">1. The 60-second pitch — [SHARE]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Datacern AI is a governed Decision Intelligence platform for regulated operations</w:t>
      </w:r>
      <w:r>
        <w:rPr>
          <w:sz w:val="21"/>
          <w:szCs w:val="21"/>
        </w:rPr>
        <w:t xml:space="preserve"> — insurance claims, banking AML, card disputes, appeals, and 20+ other case-based verticals. AI agents read the file, apply the rules, and draft the decision with cited evidence. A named human approves it — by default for every AI-proposed write, and </w:t>
      </w:r>
      <w:r>
        <w:rPr>
          <w:b/>
          <w:bCs/>
          <w:sz w:val="21"/>
          <w:szCs w:val="21"/>
        </w:rPr>
        <w:t xml:space="preserve">enforced without exception for high-risk, destructive, and admin actions</w:t>
      </w:r>
      <w:r>
        <w:rPr>
          <w:sz w:val="21"/>
          <w:szCs w:val="21"/>
        </w:rPr>
        <w:t xml:space="preserve">, where a second, different person must sign. Every human correction becomes labeled training data that retrains and re-promotes models under the same approval gate.</w:t>
      </w:r>
    </w:p>
    <w:p>
      <w:pPr>
        <w:spacing w:after="120"/>
      </w:pPr>
      <w:r>
        <w:rPr>
          <w:sz w:val="21"/>
          <w:szCs w:val="21"/>
        </w:rPr>
        <w:t xml:space="preserve">The differentiator is not "AI that decides" — it is </w:t>
      </w:r>
      <w:r>
        <w:rPr>
          <w:b/>
          <w:bCs/>
          <w:sz w:val="21"/>
          <w:szCs w:val="21"/>
        </w:rPr>
        <w:t xml:space="preserve">AI decisions your regulator can audit</w:t>
      </w:r>
      <w:r>
        <w:rPr>
          <w:sz w:val="21"/>
          <w:szCs w:val="21"/>
        </w:rPr>
        <w:t xml:space="preserve">: evidence, proposer, approver, and effect, on a tamper-evident record.</w:t>
      </w:r>
    </w:p>
    <w:p>
      <w:pPr>
        <w:spacing w:after="120"/>
      </w:pPr>
      <w:r>
        <w:rPr>
          <w:sz w:val="21"/>
          <w:szCs w:val="21"/>
        </w:rPr>
        <w:t xml:space="preserve">One platform Core, versioned. Verticals ship as installable </w:t>
      </w:r>
      <w:r>
        <w:rPr>
          <w:b/>
          <w:bCs/>
          <w:sz w:val="21"/>
          <w:szCs w:val="21"/>
        </w:rPr>
        <w:t xml:space="preserve">Capability Packs</w:t>
      </w:r>
      <w:r>
        <w:rPr>
          <w:sz w:val="21"/>
          <w:szCs w:val="21"/>
        </w:rPr>
        <w:t xml:space="preserve"> (28 built). A pack deliberately ships </w:t>
      </w:r>
      <w:r>
        <w:rPr>
          <w:b/>
          <w:bCs/>
          <w:sz w:val="21"/>
          <w:szCs w:val="21"/>
        </w:rPr>
        <w:t xml:space="preserve">zero data</w:t>
      </w:r>
      <w:r>
        <w:rPr>
          <w:sz w:val="21"/>
          <w:szCs w:val="21"/>
        </w:rPr>
        <w:t xml:space="preserve"> and refuses to install until the customer's real data satisfies its declared contract — nothing on the platform half-works by design.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And the honest close, which is part of the pitch:</w:t>
      </w:r>
      <w:r>
        <w:rPr>
          <w:sz w:val="21"/>
          <w:szCs w:val="21"/>
        </w:rPr>
        <w:t xml:space="preserve"> we are pre-revenue, pre-deployment, pre-certification. What exists is a deep, tested, single-machine-provable platform. What we're raising/partnering for is exactly the distance between that and a first production customer. §3 lists that distance item by item.</w:t>
      </w:r>
    </w:p>
    <w:p>
      <w:pPr>
        <w:pStyle w:val="Heading2"/>
        <w:spacing w:after="120" w:before="240"/>
      </w:pPr>
      <w:r>
        <w:t xml:space="preserve">2. What is verifiably built — [SHARE]</w:t>
      </w:r>
    </w:p>
    <w:p>
      <w:pPr>
        <w:spacing w:after="120"/>
      </w:pPr>
      <w:r>
        <w:rPr>
          <w:sz w:val="21"/>
          <w:szCs w:val="21"/>
        </w:rPr>
        <w:t xml:space="preserve">Every row below is checkable in the repository at the cited location. Hand this table to their engineers.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336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Verified state</w:t>
            </w:r>
          </w:p>
        </w:tc>
        <w:tc>
          <w:tcPr>
            <w:tcW w:type="dxa" w:w="336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 anchor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Core services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services: 10 Go (identity, RBAC, case, tool-plane, audit, notification, usage, chart, query, realtime), 11 Python (agents, AI gateway, data/ML plane), GraphQL BFF, Next.js UI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built-in agents, all 9 passing a live real-LLM roster test; plus tenant-defined custom agents — configuration only, locked to one vetted graph, capped at propose-only tier, mandatory tool allow-list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services/agent-runtime/app/agents/catalog.py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tests/integration/test_agent_roster_real_llm.py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Governance gate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Self-approval rejected server-side; high-risk always requires a distinct approver with no tenant opt-out; agent tool calls require signed on-behalf-of grants through a governed tool plane; a forged grant is rejected in the E2E test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agent-runtime/app/proposals/service.py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tool-plane/internal/enforce/pipeline.go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deploy/e2e/driver.py</w:t>
            </w:r>
            <w:r>
              <w:rPr>
                <w:sz w:val="18"/>
                <w:szCs w:val="18"/>
              </w:rPr>
              <w:t xml:space="preserve"> step 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 loop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corrections → labeled dataset → real model training logged to MLflow (sklearn/xgboost/lightgbm) → promotion behind a hard four-eyes gate → batch inference on new work. Proven by a 12-step E2E run on the real stack (Kafka, MinIO/Iceberg, OpenSearch, Ollama, MLflow, Temporal)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deploy/e2e/driver.py</w:t>
            </w:r>
            <w:r>
              <w:rPr>
                <w:sz w:val="18"/>
                <w:szCs w:val="18"/>
              </w:rPr>
              <w:t xml:space="preserve"> steps H–L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Vertical packs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 installable packs (27 vertical at v2.1.0 + 1 shared library), each ~20 component kinds (ontology, semantic models, dashboards, decision tables, agent configs, guardrails). Install / upgrade / rollback / drift-detection API; blocking C1–C11 cross-component coherence checker; fail-closed data-binding contract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services/pack-service/app/api/routes/installs.py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packs/packctl/coherence.py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plane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CSV/JSON/Parquet/Avro/XML plus standards parsers with tests: X12 (deep: 835/834/271/277, ACKs, control numbers, 276 write-back), FHIR, HL7v2; ISO 20022 and ACORD as narrower slices (camt.052/053/054, flat policy rows). Iceberg lakehouse on S3-compatible storage; Trino + DuckDB engines with size-based routing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services/ingestion-service/app/domain/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libs/py-common/datacern_common/iceberg.py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services/query-service/internal/engine/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 RLS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FORCE ROW LEVEL SECURITY</w:t>
            </w:r>
            <w:r>
              <w:rPr>
                <w:sz w:val="18"/>
                <w:szCs w:val="18"/>
              </w:rPr>
              <w:t xml:space="preserve"> in all 21 stateful services; tenant pinned from the verified JWT only; OPA policy checks on guarded routes; cross-tenant denials audited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docs/security/SECURITY_POSTURE.md</w:t>
            </w:r>
            <w:r>
              <w:rPr>
                <w:sz w:val="18"/>
                <w:szCs w:val="18"/>
              </w:rPr>
              <w:t xml:space="preserve"> §1–2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Enterprise identity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Per-tenant BYO OIDC IdP (real discovery/JWKS, routed by issuer); embedded white-label UI with per-user embed SSO and per-tenant frame-ancestors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identity-service/internal/domain/token_oidc.go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token_embed_oidc.go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Per-tenant hash-chained log in ClickHouse (7-year TTL) plus a separate S3 Object-Lock </w:t>
            </w:r>
            <w:r>
              <w:rPr>
                <w:b/>
                <w:bCs/>
                <w:sz w:val="18"/>
                <w:szCs w:val="18"/>
              </w:rPr>
              <w:t xml:space="preserve">COMPLIANCE-mode WORM export</w:t>
            </w:r>
            <w:r>
              <w:rPr>
                <w:sz w:val="18"/>
                <w:szCs w:val="18"/>
              </w:rPr>
              <w:t xml:space="preserve"> (7-year default); SIEM formatting in JSON/CEF/LEEF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audit-service/internal/chstore/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internal/worm/worm.go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cost control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Hierarchical hard budget caps (platform→tenant→workspace→principal→key) that fail closed; token metering per tenant/workspace/user/agent/resource; deterministic-first model ladder that degrades to the cheapest rung under budget pressure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ai-gateway/app/domain/budgets.py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ladders.py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Prompt-injection defense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Evidence fencing + sanitization + injection signatures; untrusted input forces a human approval leg (rule-of-two) at the proposal chokepoint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agent-runtime/app/graphs/evidence_guard.py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proposals/service.py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Self-serve demo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signup page provisions a real 14-day demo tenant (rate-limited, capped, TTL-reaped, audit-logged), seeds a payer-claims scenario, and shows a guided in-product walkthrough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identity-service/internal/domain/demo_public_signup.go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ui-web/src/app/live-demo/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OTel tracing + RED metrics wired in all three runtimes (opt-in via env, not always-on); health self-diagnosis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doctor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libs/go-common/otelx/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libs/py-common/datacern_common/otelx.py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Deployment artifacts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One-machine bring-up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up</w:t>
            </w:r>
            <w:r>
              <w:rPr>
                <w:sz w:val="18"/>
                <w:szCs w:val="18"/>
              </w:rPr>
              <w:t xml:space="preserve">); container builds for all services; Helm chart; Terraform for AWS/GCP/Azure; K8s manifests. </w:t>
            </w:r>
            <w:r>
              <w:rPr>
                <w:b/>
                <w:bCs/>
                <w:sz w:val="18"/>
                <w:szCs w:val="18"/>
              </w:rPr>
              <w:t xml:space="preserve">Written and CI-built, never applied to a production cloud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deploy/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Engineering quality evidence — [SHARE]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≈3,500 test functions in-repo</w:t>
      </w:r>
      <w:r>
        <w:rPr>
          <w:sz w:val="21"/>
          <w:szCs w:val="21"/>
        </w:rPr>
        <w:t xml:space="preserve"> (static count, 2026-07-26: ~1,650 Python, ~940 Go, ~940 TypeScript). Do not quote a "tests passing" number without the CI caveat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CI on the latest `main` commit: 29 of 30 executed jobs green.</w:t>
      </w:r>
      <w:r>
        <w:rPr>
          <w:sz w:val="21"/>
          <w:szCs w:val="21"/>
        </w:rPr>
        <w:t xml:space="preserve"> The one red job is a known-flaky realtime-hub timing test. The separate security-scan workflow is red on a Trivy container-CVE gate (pre-existing base-image findings, tracked). "All green" is not our claim; "green except two known, tracked items"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Full E2E journey test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deploy/e2e/driver.py</w:t>
      </w:r>
      <w:r>
        <w:rPr>
          <w:sz w:val="21"/>
          <w:szCs w:val="21"/>
        </w:rPr>
        <w:t xml:space="preserve">, 12 steps) runs the entire claims lifecycle against the real stack — real local LLM, real Kafka, real object storage, real MLflow — including negative assertions (forged grant rejected, self-approval rejected).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70 numbered BRDs + master</w:t>
      </w:r>
      <w:r>
        <w:rPr>
          <w:sz w:val="21"/>
          <w:szCs w:val="21"/>
        </w:rPr>
        <w:t xml:space="preserve"> — capabilities specified before build; docs convention enforced.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Security controls implemented and cited</w:t>
      </w:r>
      <w:r>
        <w:rPr>
          <w:sz w:val="21"/>
          <w:szCs w:val="21"/>
        </w:rP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docs/security/SECURITY_POSTURE.md</w:t>
      </w:r>
      <w:r>
        <w:rPr>
          <w:sz w:val="21"/>
          <w:szCs w:val="21"/>
        </w:rPr>
        <w:t xml:space="preserve">, which also lists what we do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claim (no SOC 2, no third-party pen test, SCIM stub, no SAML).</w:t>
      </w:r>
    </w:p>
    <w:p>
      <w:pPr>
        <w:pStyle w:val="Heading2"/>
        <w:spacing w:after="120" w:before="240"/>
      </w:pPr>
      <w:r>
        <w:t xml:space="preserve">3. What is not true yet — [SHARE the categories; know the details cold]</w:t>
      </w:r>
    </w:p>
    <w:p>
      <w:pPr>
        <w:spacing w:after="120"/>
      </w:pPr>
      <w:r>
        <w:rPr>
          <w:sz w:val="21"/>
          <w:szCs w:val="21"/>
        </w:rPr>
        <w:t xml:space="preserve">This is the section that makes the rest of the document credible. A competent diligence engineer will find all of it; better they hear it from us, framed as scoped work.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Company-stage gaps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1.	</w:t>
      </w:r>
      <w:r>
        <w:rPr>
          <w:b/>
          <w:bCs/>
          <w:sz w:val="21"/>
          <w:szCs w:val="21"/>
        </w:rPr>
        <w:t xml:space="preserve">Zero customers, zero pilots, zero revenue.</w:t>
      </w:r>
      <w:r>
        <w:rPr>
          <w:sz w:val="21"/>
          <w:szCs w:val="21"/>
        </w:rPr>
        <w:t xml:space="preserve"> The platform has never run outside development machines and CI.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2.	</w:t>
      </w:r>
      <w:r>
        <w:rPr>
          <w:b/>
          <w:bCs/>
          <w:sz w:val="21"/>
          <w:szCs w:val="21"/>
        </w:rPr>
        <w:t xml:space="preserve">No production cloud deployment.</w:t>
      </w:r>
      <w:r>
        <w:rPr>
          <w:sz w:val="21"/>
          <w:szCs w:val="21"/>
        </w:rPr>
        <w:t xml:space="preserve"> Terraform/Helm exist and build in CI but have never been applied to a real cloud account.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3.	</w:t>
      </w:r>
      <w:r>
        <w:rPr>
          <w:b/>
          <w:bCs/>
          <w:sz w:val="21"/>
          <w:szCs w:val="21"/>
        </w:rPr>
        <w:t xml:space="preserve">No compliance certifications.</w:t>
      </w:r>
      <w:r>
        <w:rPr>
          <w:sz w:val="21"/>
          <w:szCs w:val="21"/>
        </w:rPr>
        <w:t xml:space="preserve"> SOC 2 / HITRUST not started; identified internally as the #1 blocker to a first regulated customer (6–12 month lead time).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4.	</w:t>
      </w:r>
      <w:r>
        <w:rPr>
          <w:b/>
          <w:bCs/>
          <w:sz w:val="21"/>
          <w:szCs w:val="21"/>
        </w:rPr>
        <w:t xml:space="preserve">No third-party penetration test.</w:t>
      </w:r>
      <w:r>
        <w:rPr>
          <w:sz w:val="21"/>
          <w:szCs w:val="21"/>
        </w:rPr>
        <w:t xml:space="preserve"> Internal cross-tenant probes exist and pass, but cover 4 of 20+ tenant-scoped services.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5.	</w:t>
      </w:r>
      <w:r>
        <w:rPr>
          <w:b/>
          <w:bCs/>
          <w:sz w:val="21"/>
          <w:szCs w:val="21"/>
        </w:rPr>
        <w:t xml:space="preserve">Scale proven at demo volume only.</w:t>
      </w:r>
      <w:r>
        <w:rPr>
          <w:sz w:val="21"/>
          <w:szCs w:val="21"/>
        </w:rPr>
        <w:t xml:space="preserve"> A written scalability audit lists the known bottlenecks; no load testing has been run.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6.	</w:t>
      </w:r>
      <w:r>
        <w:rPr>
          <w:b/>
          <w:bCs/>
          <w:sz w:val="21"/>
          <w:szCs w:val="21"/>
        </w:rPr>
        <w:t xml:space="preserve">Single-developer bus factor.</w:t>
      </w:r>
      <w:r>
        <w:rPr>
          <w:sz w:val="21"/>
          <w:szCs w:val="21"/>
        </w:rPr>
        <w:t xml:space="preserve"> Built by one person with AI tooling; 70+ BRDs and enforced docs conventions mitigate, not eliminate.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Product gaps the code itself admits</w:t>
      </w:r>
      <w:r>
        <w:rPr>
          <w:sz w:val="21"/>
          <w:szCs w:val="21"/>
        </w:rPr>
        <w:t xml:space="preserve"> (each is a scoped, partner-sized work item — see §4)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7.	</w:t>
      </w:r>
      <w:r>
        <w:rPr>
          <w:b/>
          <w:bCs/>
          <w:sz w:val="21"/>
          <w:szCs w:val="21"/>
        </w:rPr>
        <w:t xml:space="preserve">Four-eyes is the default, not a universal.</w:t>
      </w:r>
      <w:r>
        <w:rPr>
          <w:sz w:val="21"/>
          <w:szCs w:val="21"/>
        </w:rPr>
        <w:t xml:space="preserve"> Tenants can policy-enable auto-execution for low-risk, non-destructive writes (</w:t>
      </w:r>
      <w:r>
        <w:rPr>
          <w:rFonts w:ascii="Consolas" w:cs="Consolas" w:eastAsia="Consolas" w:hAnsi="Consolas"/>
          <w:sz w:val="21"/>
          <w:szCs w:val="21"/>
        </w:rPr>
        <w:t xml:space="preserve">actor = "policy:auto"</w:t>
      </w:r>
      <w:r>
        <w:rPr>
          <w:sz w:val="21"/>
          <w:szCs w:val="21"/>
        </w:rPr>
        <w:t xml:space="preserve">), and </w:t>
      </w:r>
      <w:r>
        <w:rPr>
          <w:rFonts w:ascii="Consolas" w:cs="Consolas" w:eastAsia="Consolas" w:hAnsi="Consolas"/>
          <w:sz w:val="21"/>
          <w:szCs w:val="21"/>
        </w:rPr>
        <w:t xml:space="preserve">write-direct</w:t>
      </w:r>
      <w:r>
        <w:rPr>
          <w:sz w:val="21"/>
          <w:szCs w:val="21"/>
        </w:rPr>
        <w:t xml:space="preserve">-tier tools bypass the proposal gate. High-risk/destructive/admin actions cannot bypass a distinct human approver.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8.	</w:t>
      </w:r>
      <w:r>
        <w:rPr>
          <w:b/>
          <w:bCs/>
          <w:sz w:val="21"/>
          <w:szCs w:val="21"/>
        </w:rPr>
        <w:t xml:space="preserve">Autonomous, event-triggered agent runs are off.</w:t>
      </w:r>
      <w:r>
        <w:rPr>
          <w:sz w:val="21"/>
          <w:szCs w:val="21"/>
        </w:rPr>
        <w:t xml:space="preserve"> The runbook's own words: the intake queue fills itself once a trigger rule is written, but "the 'agent reads it and drafts' half is not running in any shipped configuration." Human-initiated agent work is the solid path today.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9.	</w:t>
      </w:r>
      <w:r>
        <w:rPr>
          <w:b/>
          <w:bCs/>
          <w:sz w:val="21"/>
          <w:szCs w:val="21"/>
        </w:rPr>
        <w:t xml:space="preserve">Entity-resolution merge approval is missing.</w:t>
      </w:r>
      <w:r>
        <w:rPr>
          <w:sz w:val="21"/>
          <w:szCs w:val="21"/>
        </w:rPr>
        <w:t xml:space="preserve"> Matching, scoring, and golden-record materialization of auto-merge clusters are real; the human review queue for borderline candidates is </w:t>
      </w:r>
      <w:r>
        <w:rPr>
          <w:b/>
          <w:bCs/>
          <w:sz w:val="21"/>
          <w:szCs w:val="21"/>
        </w:rPr>
        <w:t xml:space="preserve">read-only</w:t>
      </w:r>
      <w:r>
        <w:rPr>
          <w:sz w:val="21"/>
          <w:szCs w:val="21"/>
        </w:rPr>
        <w:t xml:space="preserve"> — no approve/reject/apply endpoint yet.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10.	</w:t>
      </w:r>
      <w:r>
        <w:rPr>
          <w:b/>
          <w:bCs/>
          <w:sz w:val="21"/>
          <w:szCs w:val="21"/>
        </w:rPr>
        <w:t xml:space="preserve">SIEM export can't authenticate.</w:t>
      </w:r>
      <w:r>
        <w:rPr>
          <w:sz w:val="21"/>
          <w:szCs w:val="21"/>
        </w:rPr>
        <w:t xml:space="preserve"> Formatting and delivery work, but credential resolution for the destination is unimplemented — a Splunk HEC / bearer-token endpoint won't accept our export today.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11.	</w:t>
      </w:r>
      <w:r>
        <w:rPr>
          <w:b/>
          <w:bCs/>
          <w:sz w:val="21"/>
          <w:szCs w:val="21"/>
        </w:rPr>
        <w:t xml:space="preserve">Cost attribution is per agent/user/resource, not per decision.</w:t>
      </w:r>
      <w:r>
        <w:rPr>
          <w:sz w:val="21"/>
          <w:szCs w:val="21"/>
        </w:rPr>
        <w:t xml:space="preserve"> There is no join key linking LLM spend to an individual governed decision; "cost per decision" is a reporting roadmap item, not a current query.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12.	</w:t>
      </w:r>
      <w:r>
        <w:rPr>
          <w:b/>
          <w:bCs/>
          <w:sz w:val="21"/>
          <w:szCs w:val="21"/>
        </w:rPr>
        <w:t xml:space="preserve">LLM providers: 3 real, 2 declared.</w:t>
      </w:r>
      <w:r>
        <w:rPr>
          <w:sz w:val="21"/>
          <w:szCs w:val="21"/>
        </w:rPr>
        <w:t xml:space="preserve"> Ollama, OpenAI/Azure-OpenAI, and Anthropic have working adapters; Bedrock and Vertex are accepted by the schema but have no adapter.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13.	</w:t>
      </w:r>
      <w:r>
        <w:rPr>
          <w:b/>
          <w:bCs/>
          <w:sz w:val="21"/>
          <w:szCs w:val="21"/>
        </w:rPr>
        <w:t xml:space="preserve">2 of 28 packs have productized demo bundles</w:t>
      </w:r>
      <w:r>
        <w:rPr>
          <w:sz w:val="21"/>
          <w:szCs w:val="21"/>
        </w:rPr>
        <w:t xml:space="preserve"> (insurance-claims-payer — the self-serve default — and card-disputes). The other 26 install and pass coherence checks but have no seeded demo scenario.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14.	</w:t>
      </w:r>
      <w:r>
        <w:rPr>
          <w:b/>
          <w:bCs/>
          <w:sz w:val="21"/>
          <w:szCs w:val="21"/>
        </w:rPr>
        <w:t xml:space="preserve">The self-serve demo-signup E2E spec is written but has never been executed</w:t>
      </w:r>
      <w:r>
        <w:rPr>
          <w:sz w:val="21"/>
          <w:szCs w:val="21"/>
        </w:rPr>
        <w:t xml:space="preserve"> (needs a super-admin credential the harness doesn't provide), and the public signup endpoint has rate limits and caps but </w:t>
      </w:r>
      <w:r>
        <w:rPr>
          <w:b/>
          <w:bCs/>
          <w:sz w:val="21"/>
          <w:szCs w:val="21"/>
        </w:rPr>
        <w:t xml:space="preserve">no CAPTCHA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15.	</w:t>
      </w:r>
      <w:r>
        <w:rPr>
          <w:b/>
          <w:bCs/>
          <w:sz w:val="21"/>
          <w:szCs w:val="21"/>
        </w:rPr>
        <w:t xml:space="preserve">SLM distillation is half-built.</w:t>
      </w:r>
      <w:r>
        <w:rPr>
          <w:sz w:val="21"/>
          <w:szCs w:val="21"/>
        </w:rPr>
        <w:t xml:space="preserve"> Training control plane and LoRA fine-tune scaffolding exist; persisting and serving the tuned model as a gateway rung is explicitly "the next increment."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16.	</w:t>
      </w:r>
      <w:r>
        <w:rPr>
          <w:b/>
          <w:bCs/>
          <w:sz w:val="21"/>
          <w:szCs w:val="21"/>
        </w:rPr>
        <w:t xml:space="preserve">BYO secrets is Python-side.</w:t>
      </w:r>
      <w:r>
        <w:rPr>
          <w:sz w:val="21"/>
          <w:szCs w:val="21"/>
        </w:rPr>
        <w:t xml:space="preserve"> Real Vault/AWS/GCP adapters for Python services; Go services have signing-key adapters only.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[INTERNAL] Disclosure line:</w:t>
      </w:r>
      <w:r>
        <w:rPr>
          <w:sz w:val="21"/>
          <w:szCs w:val="21"/>
        </w:rPr>
        <w:t xml:space="preserve"> share the numbered categories freely — they demonstrate self-knowledge. Volunteer items 7–16 when the counterpart is technical; every one has a mitigation or is a natural SOW. Do not volunteer test-failure history or internal incident notes unprompted; do answer honestly if asked.</w:t>
      </w:r>
    </w:p>
    <w:p>
      <w:pPr>
        <w:pStyle w:val="Heading2"/>
        <w:spacing w:after="120" w:before="240"/>
      </w:pPr>
      <w:r>
        <w:t xml:space="preserve">4. What we need from a partner — four workstreams — [SHARE]</w:t>
      </w:r>
    </w:p>
    <w:p>
      <w:pPr>
        <w:spacing w:after="120"/>
      </w:pPr>
      <w:r>
        <w:rPr>
          <w:sz w:val="21"/>
          <w:szCs w:val="21"/>
        </w:rPr>
        <w:t xml:space="preserve">The gap list in §3 is the work order. Concrete, scoped, and priced realistically:</w:t>
      </w:r>
    </w:p>
    <w:p>
      <w:pPr>
        <w:pStyle w:val="Heading3"/>
        <w:spacing w:after="100" w:before="200"/>
      </w:pPr>
      <w:r>
        <w:t xml:space="preserve">WS-1 · Testing &amp;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Execute the written-but-never-run suites</w:t>
      </w:r>
      <w:r>
        <w:rPr>
          <w:sz w:val="21"/>
          <w:szCs w:val="21"/>
        </w:rPr>
        <w:t xml:space="preserve">: the demo-signup Playwright journey, load profiles from the documented bottleneck list, the 16 remaining cross-tenant probe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Performance/load testing</w:t>
      </w:r>
      <w:r>
        <w:rPr>
          <w:sz w:val="21"/>
          <w:szCs w:val="21"/>
        </w:rPr>
        <w:t xml:space="preserve"> against stated targets (millions of cases per tenant).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External pen test</w:t>
      </w:r>
      <w:r>
        <w:rPr>
          <w:sz w:val="21"/>
          <w:szCs w:val="21"/>
        </w:rPr>
        <w:t xml:space="preserve"> + remediation — doubles as SOC 2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1"/>
          <w:szCs w:val="21"/>
        </w:rPr>
        <w:t xml:space="preserve">Good first SOW: 6–8 weeks, fixed scope, measurable exit criteria (load numbers, pen-test report, probe coverage).</w:t>
      </w:r>
    </w:p>
    <w:p>
      <w:pPr>
        <w:pStyle w:val="Heading3"/>
        <w:spacing w:after="100" w:before="200"/>
      </w:pPr>
      <w:r>
        <w:t xml:space="preserve">WS-2 · Offshore engineering</w:t>
      </w:r>
    </w:p>
    <w:p>
      <w:pPr>
        <w:spacing w:after="120"/>
      </w:pPr>
      <w:r>
        <w:rPr>
          <w:sz w:val="21"/>
          <w:szCs w:val="21"/>
        </w:rPr>
        <w:t xml:space="preserve">Parallelizable, Core-protected lanes, in priority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Close the named product gaps</w:t>
      </w:r>
      <w:r>
        <w:rPr>
          <w:sz w:val="21"/>
          <w:szCs w:val="21"/>
        </w:rPr>
        <w:t xml:space="preserve"> from §3: ER merge-approval endpoint, SIEM credential resolution, decision-level cost join, Bedrock/Vertex adapters, CAPTCHA on public signup. Each is a well-bounded, well-documented feature with existing patterns to 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Pack authoring</w:t>
      </w:r>
      <w:r>
        <w:rPr>
          <w:sz w:val="21"/>
          <w:szCs w:val="21"/>
        </w:rPr>
        <w:t xml:space="preserve"> (framework + authoring guide + coherence checker exist; a pack is config, not platform code) and </w:t>
      </w:r>
      <w:r>
        <w:rPr>
          <w:b/>
          <w:bCs/>
          <w:sz w:val="21"/>
          <w:szCs w:val="21"/>
        </w:rPr>
        <w:t xml:space="preserve">demo bundles for the other 26 packs</w:t>
      </w:r>
      <w:r>
        <w:rPr>
          <w:sz w:val="21"/>
          <w:szCs w:val="21"/>
        </w:rPr>
        <w:t xml:space="preserve"> — the highest-leverage sales work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Connectors</w:t>
      </w:r>
      <w:r>
        <w:rPr>
          <w:sz w:val="21"/>
          <w:szCs w:val="21"/>
        </w:rPr>
        <w:t xml:space="preserve"> (core-admin systems, Snowflake/Databricks, SFTP/EDI).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Core platform changes stay with named, vetted seniors until trust is established.</w:t>
      </w:r>
    </w:p>
    <w:p>
      <w:pPr>
        <w:pStyle w:val="Heading3"/>
        <w:spacing w:after="100" w:before="200"/>
      </w:pPr>
      <w:r>
        <w:t xml:space="preserve">WS-3 · Infrastructure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First production deployment</w:t>
      </w:r>
      <w:r>
        <w:rPr>
          <w:sz w:val="21"/>
          <w:szCs w:val="21"/>
        </w:rPr>
        <w:t xml:space="preserve"> on one cloud using the existing Terraform + Helm (never applied — this is literally workstream #1).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SRE build-out</w:t>
      </w:r>
      <w:r>
        <w:rPr>
          <w:sz w:val="21"/>
          <w:szCs w:val="21"/>
        </w:rPr>
        <w:t xml:space="preserve">: turn the wired-but-opt-in OTel/metrics into always-on monitoring, alerting, runbooks, backup/DR.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Compliance engineering</w:t>
      </w:r>
      <w:r>
        <w:rPr>
          <w:sz w:val="21"/>
          <w:szCs w:val="21"/>
        </w:rPr>
        <w:t xml:space="preserve">: SOC 2 Type II (HITRUST if healthcare-first) — the critical path to revenue; say it that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Hosted demo environment</w:t>
      </w:r>
      <w:r>
        <w:rPr>
          <w:sz w:val="21"/>
          <w:szCs w:val="21"/>
        </w:rPr>
        <w:t xml:space="preserve"> so the self-serve demo runs off a URL, not a laptop.</w:t>
      </w:r>
    </w:p>
    <w:p>
      <w:pPr>
        <w:pStyle w:val="Heading3"/>
        <w:spacing w:after="100" w:before="200"/>
      </w:pPr>
      <w:r>
        <w:t xml:space="preserve">WS-4 · GTM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Design-partner sourcing</w:t>
      </w:r>
      <w:r>
        <w:rPr>
          <w:sz w:val="21"/>
          <w:szCs w:val="21"/>
        </w:rPr>
        <w:t xml:space="preserve"> against the written ICP (regional health plans, mid-cap banks for disputes/AML). Ask directly for named, warm logos.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Pilot delivery</w:t>
      </w:r>
      <w:r>
        <w:rPr>
          <w:sz w:val="21"/>
          <w:szCs w:val="21"/>
        </w:rPr>
        <w:t xml:space="preserve"> using the 90-day pilot playbook (shadow → proposal → ROI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Collateral</w:t>
      </w:r>
      <w:r>
        <w:rPr>
          <w:sz w:val="21"/>
          <w:szCs w:val="21"/>
        </w:rPr>
        <w:t xml:space="preserve"> built from this document and the demo walkthrough page — no invented numbers, ever; the honesty is the brand.</w:t>
      </w:r>
    </w:p>
    <w:p>
      <w:pPr>
        <w:pStyle w:val="Heading2"/>
        <w:spacing w:after="120" w:before="240"/>
      </w:pPr>
      <w:r>
        <w:t xml:space="preserve">5. Partnership structure — [SHARE the model, INTERNAL the guardrails]</w:t>
      </w:r>
    </w:p>
    <w:p>
      <w:pPr>
        <w:pStyle w:val="Heading3"/>
        <w:spacing w:after="100" w:before="200"/>
      </w:pPr>
      <w:r>
        <w:t xml:space="preserve">Phasing — [SHARE]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36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336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Money flow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Prove-out (0–3 mo)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Paid services engagement: 1–2 fixed-scope SOWs from WS-1/WS-3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 pay them (or at-risk pricing if they want to earn the partnership)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Delivery partner (3–12 mo)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Certified implementation partner on jointly-closed pilots; services revenue theirs, subscription ours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pays each separately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Ecosystem (12 mo+)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Co-sell + resale margin; they publish packs on the marketplace ("an SI shipping a pack we didn't build is the moment we know we're a platform")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Referral/resale + their pack revenue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  <w:szCs w:val="21"/>
        </w:rPr>
        <w:t xml:space="preserve">Directional market economics: referral ~10–15% of first-year subscription; resale margin ~20–30%; SI services typically 1–3× platform subscription on enterprise deployments — that services pool is why this is attractive to them; say so explicitly.</w:t>
      </w:r>
    </w:p>
    <w:p>
      <w:pPr>
        <w:pStyle w:val="Heading3"/>
        <w:spacing w:after="100" w:before="200"/>
      </w:pPr>
      <w:r>
        <w:t xml:space="preserve">Non-negotiable guardrails — [INTERNAL]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1.	</w:t>
      </w:r>
      <w:r>
        <w:rPr>
          <w:b/>
          <w:bCs/>
          <w:sz w:val="21"/>
          <w:szCs w:val="21"/>
        </w:rPr>
        <w:t xml:space="preserve">IP:</w:t>
      </w:r>
      <w:r>
        <w:rPr>
          <w:sz w:val="21"/>
          <w:szCs w:val="21"/>
        </w:rPr>
        <w:t xml:space="preserve"> work-for-hire, IP assigned. No Core co-ownership, no OEM/white-label rights early, standard escrow only.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2.	</w:t>
      </w:r>
      <w:r>
        <w:rPr>
          <w:b/>
          <w:bCs/>
          <w:sz w:val="21"/>
          <w:szCs w:val="21"/>
        </w:rPr>
        <w:t xml:space="preserve">No exclusivity</w:t>
      </w:r>
      <w:r>
        <w:rPr>
          <w:sz w:val="21"/>
          <w:szCs w:val="21"/>
        </w:rPr>
        <w:t xml:space="preserve"> until earned with closed revenue; offer "first-mover preference" language instead.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3.	</w:t>
      </w:r>
      <w:r>
        <w:rPr>
          <w:b/>
          <w:bCs/>
          <w:sz w:val="21"/>
          <w:szCs w:val="21"/>
        </w:rPr>
        <w:t xml:space="preserve">No equity for services.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4.	</w:t>
      </w:r>
      <w:r>
        <w:rPr>
          <w:b/>
          <w:bCs/>
          <w:sz w:val="21"/>
          <w:szCs w:val="21"/>
        </w:rPr>
        <w:t xml:space="preserve">Code-access tiers:</w:t>
      </w:r>
      <w:r>
        <w:rPr>
          <w:sz w:val="21"/>
          <w:szCs w:val="21"/>
        </w:rPr>
        <w:t xml:space="preserve"> packs/tests/docs for offshore; Core only for named, vetted seniors; branch protection + our review as merge gate.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5.	</w:t>
      </w:r>
      <w:r>
        <w:rPr>
          <w:b/>
          <w:bCs/>
          <w:sz w:val="21"/>
          <w:szCs w:val="21"/>
        </w:rPr>
        <w:t xml:space="preserve">Offshore security:</w:t>
      </w:r>
      <w:r>
        <w:rPr>
          <w:sz w:val="21"/>
          <w:szCs w:val="21"/>
        </w:rPr>
        <w:t xml:space="preserve"> no production/customer data offshore ever; isolated dev environments (the </w:t>
      </w:r>
      <w:r>
        <w:rPr>
          <w:rFonts w:ascii="Consolas" w:cs="Consolas" w:eastAsia="Consolas" w:hAnsi="Consolas"/>
          <w:sz w:val="21"/>
          <w:szCs w:val="21"/>
        </w:rPr>
        <w:t xml:space="preserve">make up</w:t>
      </w:r>
      <w:r>
        <w:rPr>
          <w:sz w:val="21"/>
          <w:szCs w:val="21"/>
        </w:rPr>
        <w:t xml:space="preserve"> stack exists for exactly this); named resources; their ISO 27001/SOC 2 posture verified; audit rights; background checks for Core access.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6.	</w:t>
      </w:r>
      <w:r>
        <w:rPr>
          <w:b/>
          <w:bCs/>
          <w:sz w:val="21"/>
          <w:szCs w:val="21"/>
        </w:rPr>
        <w:t xml:space="preserve">Governance cadence:</w:t>
      </w:r>
      <w:r>
        <w:rPr>
          <w:sz w:val="21"/>
          <w:szCs w:val="21"/>
        </w:rPr>
        <w:t xml:space="preserve"> weekly delivery standup, monthly steering, milestone-gated payments with written acceptance criteria.</w:t>
      </w:r>
    </w:p>
    <w:p>
      <w:pPr>
        <w:pStyle w:val="Heading2"/>
        <w:spacing w:after="120" w:before="240"/>
      </w:pPr>
      <w:r>
        <w:t xml:space="preserve">6. Pricing — what to say when asked — [SHARE]</w:t>
      </w:r>
    </w:p>
    <w:p>
      <w:pPr>
        <w:spacing w:after="120"/>
      </w:pPr>
      <w:r>
        <w:rPr>
          <w:sz w:val="21"/>
          <w:szCs w:val="21"/>
        </w:rPr>
        <w:t xml:space="preserve">The pricing </w:t>
      </w:r>
      <w:r>
        <w:rPr>
          <w:i/>
          <w:iCs/>
          <w:sz w:val="21"/>
          <w:szCs w:val="21"/>
        </w:rPr>
        <w:t xml:space="preserve">architecture</w:t>
      </w:r>
      <w:r>
        <w:rPr>
          <w:sz w:val="21"/>
          <w:szCs w:val="21"/>
        </w:rPr>
        <w:t xml:space="preserve"> is designed into the product; the parts that are built vs. roadmap are marked: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1.	</w:t>
      </w:r>
      <w:r>
        <w:rPr>
          <w:b/>
          <w:bCs/>
          <w:sz w:val="21"/>
          <w:szCs w:val="21"/>
        </w:rPr>
        <w:t xml:space="preserve">Platform floor</w:t>
      </w:r>
      <w:r>
        <w:rPr>
          <w:sz w:val="21"/>
          <w:szCs w:val="21"/>
        </w:rPr>
        <w:t xml:space="preserve"> — annual subscription per tenant/use-case (commercial plans, seat/quota enforcement: </w:t>
      </w:r>
      <w:r>
        <w:rPr>
          <w:b/>
          <w:bCs/>
          <w:sz w:val="21"/>
          <w:szCs w:val="21"/>
        </w:rPr>
        <w:t xml:space="preserve">built</w:t>
      </w:r>
      <w:r>
        <w:rPr>
          <w:sz w:val="21"/>
          <w:szCs w:val="21"/>
        </w:rPr>
        <w:t xml:space="preserve">).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2.	</w:t>
      </w:r>
      <w:r>
        <w:rPr>
          <w:b/>
          <w:bCs/>
          <w:sz w:val="21"/>
          <w:szCs w:val="21"/>
        </w:rPr>
        <w:t xml:space="preserve">Usage tier</w:t>
      </w:r>
      <w:r>
        <w:rPr>
          <w:sz w:val="21"/>
          <w:szCs w:val="21"/>
        </w:rPr>
        <w:t xml:space="preserve"> — consumption pricing on metered units. Metering by tenant/workspace/user/agent and a governed-decision counter: </w:t>
      </w:r>
      <w:r>
        <w:rPr>
          <w:b/>
          <w:bCs/>
          <w:sz w:val="21"/>
          <w:szCs w:val="21"/>
        </w:rPr>
        <w:t xml:space="preserve">built</w:t>
      </w:r>
      <w:r>
        <w:rPr>
          <w:sz w:val="21"/>
          <w:szCs w:val="21"/>
        </w:rPr>
        <w:t xml:space="preserve">. Per-decision </w:t>
      </w:r>
      <w:r>
        <w:rPr>
          <w:i/>
          <w:iCs/>
          <w:sz w:val="21"/>
          <w:szCs w:val="21"/>
        </w:rPr>
        <w:t xml:space="preserve">cost</w:t>
      </w:r>
      <w:r>
        <w:rPr>
          <w:sz w:val="21"/>
          <w:szCs w:val="21"/>
        </w:rPr>
        <w:t xml:space="preserve"> attribution: </w:t>
      </w:r>
      <w:r>
        <w:rPr>
          <w:b/>
          <w:bCs/>
          <w:sz w:val="21"/>
          <w:szCs w:val="21"/>
        </w:rPr>
        <w:t xml:space="preserve">ROADMAP</w:t>
      </w:r>
      <w:r>
        <w:rPr>
          <w:sz w:val="21"/>
          <w:szCs w:val="21"/>
        </w:rPr>
        <w:t xml:space="preserve"> (§3.11).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3.	</w:t>
      </w:r>
      <w:r>
        <w:rPr>
          <w:b/>
          <w:bCs/>
          <w:sz w:val="21"/>
          <w:szCs w:val="21"/>
        </w:rPr>
        <w:t xml:space="preserve">Hard budget caps</w:t>
      </w:r>
      <w:r>
        <w:rPr>
          <w:sz w:val="21"/>
          <w:szCs w:val="21"/>
        </w:rPr>
        <w:t xml:space="preserve"> — customer-set circuit breakers that fail closed: </w:t>
      </w:r>
      <w:r>
        <w:rPr>
          <w:b/>
          <w:bCs/>
          <w:sz w:val="21"/>
          <w:szCs w:val="21"/>
        </w:rPr>
        <w:t xml:space="preserve">built</w:t>
      </w:r>
      <w:r>
        <w:rPr>
          <w:sz w:val="21"/>
          <w:szCs w:val="21"/>
        </w:rPr>
        <w:t xml:space="preserve">, and a genuine differentiator worth demoing.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4.	</w:t>
      </w:r>
      <w:r>
        <w:rPr>
          <w:b/>
          <w:bCs/>
          <w:sz w:val="21"/>
          <w:szCs w:val="21"/>
        </w:rPr>
        <w:t xml:space="preserve">Packs as priced add-ons</w:t>
      </w:r>
      <w:r>
        <w:rPr>
          <w:sz w:val="21"/>
          <w:szCs w:val="21"/>
        </w:rPr>
        <w:t xml:space="preserve"> on the Core subscription.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5.	</w:t>
      </w:r>
      <w:r>
        <w:rPr>
          <w:b/>
          <w:bCs/>
          <w:sz w:val="21"/>
          <w:szCs w:val="21"/>
        </w:rPr>
        <w:t xml:space="preserve">Bounded professional services</w:t>
      </w:r>
      <w:r>
        <w:rPr>
          <w:sz w:val="21"/>
          <w:szCs w:val="21"/>
        </w:rPr>
        <w:t xml:space="preserve"> — platform PS limited to first-pilot integration; long-tail services deliberately reserved for certified partners.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6.	</w:t>
      </w:r>
      <w:r>
        <w:rPr>
          <w:b/>
          <w:bCs/>
          <w:sz w:val="21"/>
          <w:szCs w:val="21"/>
        </w:rPr>
        <w:t xml:space="preserve">Margin thesis (ROADMAP, honest framing):</w:t>
      </w:r>
      <w:r>
        <w:rPr>
          <w:sz w:val="21"/>
          <w:szCs w:val="21"/>
        </w:rPr>
        <w:t xml:space="preserve"> deterministic-first routing and budget-degraded model ladders are built; SLM distillation is half-built. The </w:t>
      </w:r>
      <w:r>
        <w:rPr>
          <w:i/>
          <w:iCs/>
          <w:sz w:val="21"/>
          <w:szCs w:val="21"/>
        </w:rPr>
        <w:t xml:space="preserve">design goal</w:t>
      </w:r>
      <w:r>
        <w:rPr>
          <w:sz w:val="21"/>
          <w:szCs w:val="21"/>
        </w:rPr>
        <w:t xml:space="preserve"> is cost-per-decision declining with tenure. Present it as the engineered intent with the routing/budget half already real — not as an observed result, because there are no production tenants to observe.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Design-partner terms</w:t>
      </w:r>
      <w:r>
        <w:rPr>
          <w:sz w:val="21"/>
          <w:szCs w:val="21"/>
        </w:rPr>
        <w:t xml:space="preserve"> (first 3 lighthouse customers): ~60% off list year 1, co-development input, case-study rights. </w:t>
      </w:r>
      <w:r>
        <w:rPr>
          <w:b/>
          <w:bCs/>
          <w:sz w:val="21"/>
          <w:szCs w:val="21"/>
        </w:rPr>
        <w:t xml:space="preserve">List price:</w:t>
      </w:r>
      <w:r>
        <w:rPr>
          <w:sz w:val="21"/>
          <w:szCs w:val="21"/>
        </w:rPr>
        <w:t xml:space="preserve"> "finalized per-vertical with the first design-partner cohort"; if pressed for magnitude, mid-six-figure annual platform+pack ACV at enterprise scale, anchored to displaced review-labor cost.</w:t>
      </w:r>
    </w:p>
    <w:p>
      <w:pPr>
        <w:pStyle w:val="Heading2"/>
        <w:spacing w:after="120" w:before="240"/>
      </w:pPr>
      <w:r>
        <w:t xml:space="preserve">7. The demo — [SHARE]</w:t>
      </w:r>
    </w:p>
    <w:p>
      <w:pPr>
        <w:spacing w:after="120"/>
      </w:pPr>
      <w:r>
        <w:rPr>
          <w:sz w:val="21"/>
          <w:szCs w:val="21"/>
        </w:rPr>
        <w:t xml:space="preserve">Two demo modes exist. Both are real; know which one you're in.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A. Self-serve (no operator):</w:t>
      </w:r>
      <w:r>
        <w:rPr>
          <w:sz w:val="21"/>
          <w:szCs w:val="21"/>
        </w:rPr>
        <w:t xml:space="preserve"> the public page at </w:t>
      </w:r>
      <w:r>
        <w:rPr>
          <w:rFonts w:ascii="Consolas" w:cs="Consolas" w:eastAsia="Consolas" w:hAnsi="Consolas"/>
          <w:sz w:val="21"/>
          <w:szCs w:val="21"/>
        </w:rPr>
        <w:t xml:space="preserve">/live-demo</w:t>
      </w:r>
      <w:r>
        <w:rPr>
          <w:sz w:val="21"/>
          <w:szCs w:val="21"/>
        </w:rPr>
        <w:t xml:space="preserve"> provisions a real, isolated, 14-day demo tenant (payer prior-auth scenario) and walks the visitor through a 5-step guided tour in-product. Guardrails on the endpoint: 3 signups/IP/hour, 8/email-domain/day, 20 concurrent demo tenants max, disposable-email denylist, auto-teardown. </w:t>
      </w:r>
      <w:r>
        <w:rPr>
          <w:b/>
          <w:bCs/>
          <w:sz w:val="21"/>
          <w:szCs w:val="21"/>
        </w:rPr>
        <w:t xml:space="preserve">Public walkthrough page: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/welcome/walkthrough</w:t>
      </w:r>
      <w:r>
        <w:rPr>
          <w:sz w:val="21"/>
          <w:szCs w:val="21"/>
        </w:rPr>
        <w:t xml:space="preserve"> narrates the same journey with real product flows before anyone signs up.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B. Operated (the strong version, `make up` on a workstation):</w:t>
      </w:r>
      <w:r>
        <w:rPr>
          <w:sz w:val="21"/>
          <w:szCs w:val="21"/>
        </w:rPr>
        <w:t xml:space="preserve"> full platform + seeded vertical in minutes. The five beats, all live-verified: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1.	</w:t>
      </w:r>
      <w:r>
        <w:rPr>
          <w:b/>
          <w:bCs/>
          <w:sz w:val="21"/>
          <w:szCs w:val="21"/>
        </w:rPr>
        <w:t xml:space="preserve">The refusal.</w:t>
      </w:r>
      <w:r>
        <w:rPr>
          <w:sz w:val="21"/>
          <w:szCs w:val="21"/>
        </w:rPr>
        <w:t xml:space="preserve"> Install a pack against a tenant with no data → it fails closed, naming every missing field. 30 seconds; proves the governance thesis better than any slide.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2.	</w:t>
      </w:r>
      <w:r>
        <w:rPr>
          <w:b/>
          <w:bCs/>
          <w:sz w:val="21"/>
          <w:szCs w:val="21"/>
        </w:rPr>
        <w:t xml:space="preserve">Worklist → Copilot triage.</w:t>
      </w:r>
      <w:r>
        <w:rPr>
          <w:sz w:val="21"/>
          <w:szCs w:val="21"/>
        </w:rPr>
        <w:t xml:space="preserve"> Real seeded queue; open the flagged case; the agent drafts a disposition with cited evidence and confidence, against a real local LLM.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3.	</w:t>
      </w:r>
      <w:r>
        <w:rPr>
          <w:b/>
          <w:bCs/>
          <w:sz w:val="21"/>
          <w:szCs w:val="21"/>
        </w:rPr>
        <w:t xml:space="preserve">Approval inbox.</w:t>
      </w:r>
      <w:r>
        <w:rPr>
          <w:sz w:val="21"/>
          <w:szCs w:val="21"/>
        </w:rPr>
        <w:t xml:space="preserve"> Approve the proposal — and show that self-approval is rejected server-side, and high-risk requires a second person.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4.	</w:t>
      </w:r>
      <w:r>
        <w:rPr>
          <w:b/>
          <w:bCs/>
          <w:sz w:val="21"/>
          <w:szCs w:val="21"/>
        </w:rPr>
        <w:t xml:space="preserve">Learning loop.</w:t>
      </w:r>
      <w:r>
        <w:rPr>
          <w:sz w:val="21"/>
          <w:szCs w:val="21"/>
        </w:rPr>
        <w:t xml:space="preserve"> Corrections → labeled examples → the retrained model in MLflow → promoted through the same four-eyes gate → new claims scored by it. No mocks anywhere in the path.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5.	</w:t>
      </w:r>
      <w:r>
        <w:rPr>
          <w:b/>
          <w:bCs/>
          <w:sz w:val="21"/>
          <w:szCs w:val="21"/>
        </w:rPr>
        <w:t xml:space="preserve">Audit trail.</w:t>
      </w:r>
      <w:r>
        <w:rPr>
          <w:sz w:val="21"/>
          <w:szCs w:val="21"/>
        </w:rPr>
        <w:t xml:space="preserve"> Every step above as tamper-evident events with proposer, approver, and effect. Close: </w:t>
      </w:r>
      <w:r>
        <w:rPr>
          <w:i/>
          <w:iCs/>
          <w:sz w:val="21"/>
          <w:szCs w:val="21"/>
        </w:rPr>
        <w:t xml:space="preserve">"Every AI action you just saw is governed, attributed, and replayable — that's the product."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Metrics to have memorized:</w:t>
      </w:r>
      <w:r>
        <w:rPr>
          <w:sz w:val="21"/>
          <w:szCs w:val="21"/>
        </w:rPr>
        <w:t xml:space="preserve"> 23 services · 9 agents (9/9 live-tested) · 28 packs · 70+ BRDs · ≈3,500 test functions · 12-step E2E on the real stack · IaC for 3 clouds written, 0 applied.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[INTERNAL] Do-not-say list</w:t>
      </w:r>
      <w:r>
        <w:rPr>
          <w:sz w:val="21"/>
          <w:szCs w:val="21"/>
        </w:rPr>
        <w:t xml:space="preserve"> (each is checkable and currently false): "all tests green" · "four-eyes on every write, no exceptions" · "cost per decision" as a live metric · "SOC 2 in progress" · "Bedrock and Vertex supported" · "packs come with demo data" · "fully autonomous agents" · any customer/pilot reference.</w:t>
      </w:r>
    </w:p>
    <w:p>
      <w:pPr>
        <w:pStyle w:val="Heading2"/>
        <w:spacing w:after="120" w:before="240"/>
      </w:pPr>
      <w:r>
        <w:t xml:space="preserve">8. Qualify them hard — [INTERNAL]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1.	</w:t>
      </w:r>
      <w:r>
        <w:rPr>
          <w:b/>
          <w:bCs/>
          <w:sz w:val="21"/>
          <w:szCs w:val="21"/>
        </w:rPr>
        <w:t xml:space="preserve">Vertical proof:</w:t>
      </w:r>
      <w:r>
        <w:rPr>
          <w:sz w:val="21"/>
          <w:szCs w:val="21"/>
        </w:rPr>
        <w:t xml:space="preserve"> named health-plan / bank deliveries; references we can call.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2.	</w:t>
      </w:r>
      <w:r>
        <w:rPr>
          <w:b/>
          <w:bCs/>
          <w:sz w:val="21"/>
          <w:szCs w:val="21"/>
        </w:rPr>
        <w:t xml:space="preserve">GTM substance:</w:t>
      </w:r>
      <w:r>
        <w:rPr>
          <w:sz w:val="21"/>
          <w:szCs w:val="21"/>
        </w:rPr>
        <w:t xml:space="preserve"> for each promised logo — who is the sponsor, when did you last transact?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3.	</w:t>
      </w:r>
      <w:r>
        <w:rPr>
          <w:b/>
          <w:bCs/>
          <w:sz w:val="21"/>
          <w:szCs w:val="21"/>
        </w:rPr>
        <w:t xml:space="preserve">Testing credentials:</w:t>
      </w:r>
      <w:r>
        <w:rPr>
          <w:sz w:val="21"/>
          <w:szCs w:val="21"/>
        </w:rPr>
        <w:t xml:space="preserve"> a sample perf-test report and pen-test deliverable from a comparable engagement.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4.	</w:t>
      </w:r>
      <w:r>
        <w:rPr>
          <w:b/>
          <w:bCs/>
          <w:sz w:val="21"/>
          <w:szCs w:val="21"/>
        </w:rPr>
        <w:t xml:space="preserve">Offshore specifics:</w:t>
      </w:r>
      <w:r>
        <w:rPr>
          <w:sz w:val="21"/>
          <w:szCs w:val="21"/>
        </w:rPr>
        <w:t xml:space="preserve"> locations, ISO 27001/SOC 2, attrition, IP assignment and data isolation practice.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5.	</w:t>
      </w:r>
      <w:r>
        <w:rPr>
          <w:b/>
          <w:bCs/>
          <w:sz w:val="21"/>
          <w:szCs w:val="21"/>
        </w:rPr>
        <w:t xml:space="preserve">Compliance experience:</w:t>
      </w:r>
      <w:r>
        <w:rPr>
          <w:sz w:val="21"/>
          <w:szCs w:val="21"/>
        </w:rPr>
        <w:t xml:space="preserve"> have they carried a product through SOC 2 Type II / HITRUST? Real timeline and cost.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6.	</w:t>
      </w:r>
      <w:r>
        <w:rPr>
          <w:b/>
          <w:bCs/>
          <w:sz w:val="21"/>
          <w:szCs w:val="21"/>
        </w:rPr>
        <w:t xml:space="preserve">Commercial model:</w:t>
      </w:r>
      <w:r>
        <w:rPr>
          <w:sz w:val="21"/>
          <w:szCs w:val="21"/>
        </w:rPr>
        <w:t xml:space="preserve"> sample MSA/SOW, rate card, partner-tier history with other ISVs.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7.	</w:t>
      </w:r>
      <w:r>
        <w:rPr>
          <w:b/>
          <w:bCs/>
          <w:sz w:val="21"/>
          <w:szCs w:val="21"/>
        </w:rPr>
        <w:t xml:space="preserve">Skin in the game:</w:t>
      </w:r>
      <w:r>
        <w:rPr>
          <w:sz w:val="21"/>
          <w:szCs w:val="21"/>
        </w:rPr>
        <w:t xml:space="preserve"> discounted/at-risk first SOW tied to the first closed customer?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8.	</w:t>
      </w:r>
      <w:r>
        <w:rPr>
          <w:b/>
          <w:bCs/>
          <w:sz w:val="21"/>
          <w:szCs w:val="21"/>
        </w:rPr>
        <w:t xml:space="preserve">Continuity:</w:t>
      </w:r>
      <w:r>
        <w:rPr>
          <w:sz w:val="21"/>
          <w:szCs w:val="21"/>
        </w:rPr>
        <w:t xml:space="preserve"> named phase-1 team, key-person commitments.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Walk-away signals:</w:t>
      </w:r>
      <w:r>
        <w:rPr>
          <w:sz w:val="21"/>
          <w:szCs w:val="21"/>
        </w:rPr>
        <w:t xml:space="preserve"> exclusivity demands before delivery · IP co-ownership or "our own accelerator on top" ambiguity · equity for services · logo lists with no named sponsors · pushing a large offshore team onto Core · open-ended T&amp;M with no milestone gates · refusal of the offshore security terms.</w:t>
      </w:r>
    </w:p>
    <w:p>
      <w:pPr>
        <w:pStyle w:val="Heading2"/>
        <w:spacing w:after="120" w:before="240"/>
      </w:pPr>
      <w:r>
        <w:t xml:space="preserve">9. Meeting agenda — [SHARE]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1.	</w:t>
      </w:r>
      <w:r>
        <w:rPr>
          <w:sz w:val="21"/>
          <w:szCs w:val="21"/>
        </w:rPr>
        <w:t xml:space="preserve">Intros + NDA confirmation (5 min)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2.	</w:t>
      </w:r>
      <w:r>
        <w:rPr>
          <w:sz w:val="21"/>
          <w:szCs w:val="21"/>
        </w:rPr>
        <w:t xml:space="preserve">Demo — the five beats of §7B (10 min)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3.	</w:t>
      </w:r>
      <w:r>
        <w:rPr>
          <w:sz w:val="21"/>
          <w:szCs w:val="21"/>
        </w:rPr>
        <w:t xml:space="preserve">Platform state: §2 table + §3 gap list, presented together (10 min)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4.	</w:t>
      </w:r>
      <w:r>
        <w:rPr>
          <w:sz w:val="21"/>
          <w:szCs w:val="21"/>
        </w:rPr>
        <w:t xml:space="preserve">Their capabilities walkthrough (15 min)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5.	</w:t>
      </w:r>
      <w:r>
        <w:rPr>
          <w:sz w:val="21"/>
          <w:szCs w:val="21"/>
        </w:rPr>
        <w:t xml:space="preserve">The four workstreams; which two start first (15 min)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6.	</w:t>
      </w:r>
      <w:r>
        <w:rPr>
          <w:sz w:val="21"/>
          <w:szCs w:val="21"/>
        </w:rPr>
        <w:t xml:space="preserve">Partnership phasing + commercial principles (10 min)</w:t>
      </w:r>
    </w:p>
    <w:p>
      <w:pPr>
        <w:spacing w:after="60"/>
        <w:ind w:left="360" w:hanging="360"/>
      </w:pPr>
      <w:r>
        <w:rPr>
          <w:sz w:val="21"/>
          <w:szCs w:val="21"/>
        </w:rPr>
        <w:t xml:space="preserve">7.	</w:t>
      </w:r>
      <w:r>
        <w:rPr>
          <w:sz w:val="21"/>
          <w:szCs w:val="21"/>
        </w:rPr>
        <w:t xml:space="preserve">Next steps: mutual references, phase-1 SOW draft, second meeting date (5 min)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The close:</w:t>
      </w:r>
      <w:r>
        <w:rPr>
          <w:sz w:val="21"/>
          <w:szCs w:val="21"/>
        </w:rPr>
        <w:t xml:space="preserve"> "You've seen exactly what's built and exactly what isn't — the gap list is the work order, and the first two SOWs are the audition. If delivery is strong, the certified-partner services pool on every future customer is yours to lose."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949A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2026-07-26T16:28:20.621Z</dcterms:created>
  <dcterms:modified xsi:type="dcterms:W3CDTF">2026-07-26T16:28:20.621Z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