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Datacern AI — SI Partner Meeting Briefing</w:t>
      </w:r>
    </w:p>
    <w:p>
      <w:pPr>
        <w:spacing w:after="100"/>
      </w:pPr>
      <w:r>
        <w:rPr>
          <w:b/>
          <w:bCs/>
        </w:rPr>
        <w:t xml:space="preserve">Prepared:</w:t>
      </w:r>
      <w:r>
        <w:t xml:space="preserve"> 2026-07-21 · </w:t>
      </w:r>
      <w:r>
        <w:rPr>
          <w:b/>
          <w:bCs/>
        </w:rPr>
        <w:t xml:space="preserve">Audience:</w:t>
      </w:r>
      <w:r>
        <w:t xml:space="preserve"> internal prep for meeting a solution-implementation firm</w:t>
      </w:r>
    </w:p>
    <w:p>
      <w:pPr>
        <w:spacing w:after="100"/>
      </w:pPr>
      <w:r>
        <w:rPr>
          <w:b/>
          <w:bCs/>
        </w:rPr>
        <w:t xml:space="preserve">Scope of the conversation:</w:t>
      </w:r>
      <w:r>
        <w:t xml:space="preserve"> testing help, offshore engineering resources, infrastructure support, GTM assistance.</w:t>
      </w:r>
    </w:p>
    <w:p>
      <w:pPr>
        <w:spacing w:after="100"/>
      </w:pPr>
      <w:r>
        <w:t xml:space="preserve">Sections are marked </w:t>
      </w:r>
      <w:r>
        <w:rPr>
          <w:b/>
          <w:bCs/>
        </w:rPr>
        <w:t xml:space="preserve">[SHARE]</w:t>
      </w:r>
      <w:r>
        <w:t xml:space="preserve"> (safe to present/hand over) or </w:t>
      </w:r>
      <w:r>
        <w:rPr>
          <w:b/>
          <w:bCs/>
        </w:rPr>
        <w:t xml:space="preserve">[INTERNAL]</w:t>
      </w:r>
      <w:r>
        <w:t xml:space="preserve"> (your prep only — decide deliberately if/when to disclose).</w:t>
      </w:r>
    </w:p>
    <w:p>
      <w:pPr>
        <w:pStyle w:val="Heading1"/>
        <w:spacing w:after="120" w:before="300"/>
      </w:pPr>
      <w:r>
        <w:t xml:space="preserve">1. The 60-second pitch — </w:t>
      </w:r>
      <w:r>
        <w:rPr>
          <w:b/>
          <w:bCs/>
          <w:color w:val="2E7D32"/>
          <w:sz w:val="18"/>
          <w:szCs w:val="18"/>
        </w:rPr>
        <w:t xml:space="preserve">[SHARE]</w:t>
      </w:r>
    </w:p>
    <w:p>
      <w:pPr>
        <w:spacing w:after="100"/>
      </w:pPr>
      <w:r>
        <w:rPr>
          <w:b/>
          <w:bCs/>
        </w:rPr>
        <w:t xml:space="preserve">Datacern AI is a governed Decision Intelligence platform for regulated operations</w:t>
      </w:r>
      <w:r>
        <w:t xml:space="preserve"> — insurance claims, banking AML, disputes, appeals, and 20+ other case-based verticals. AI agents draft decisions with cited evidence; humans stay in command through a four-eyes approval gate; every human correction becomes training data that retrains and re-promotes models under the same governance. The differentiator is not "AI that decides" — it's </w:t>
      </w:r>
      <w:r>
        <w:rPr>
          <w:b/>
          <w:bCs/>
        </w:rPr>
        <w:t xml:space="preserve">AI decisions your regulator can audit</w:t>
      </w:r>
      <w:r>
        <w:t xml:space="preserve">, with a learning loop that makes cost-per-decision </w:t>
      </w:r>
      <w:r>
        <w:rPr>
          <w:i/>
          <w:iCs/>
        </w:rPr>
        <w:t xml:space="preserve">decline</w:t>
      </w:r>
      <w:r>
        <w:t xml:space="preserve"> over time.</w:t>
      </w:r>
    </w:p>
    <w:p>
      <w:pPr>
        <w:spacing w:after="100"/>
      </w:pPr>
      <w:r>
        <w:t xml:space="preserve">One platform Core, frozen and versioned. Verticals ship as installable </w:t>
      </w:r>
      <w:r>
        <w:rPr>
          <w:b/>
          <w:bCs/>
        </w:rPr>
        <w:t xml:space="preserve">Capability Packs</w:t>
      </w:r>
      <w:r>
        <w:t xml:space="preserve"> (28 built today) — the same model SAP/Salesforce used to build partner ecosystems.</w:t>
      </w:r>
    </w:p>
    <w:p>
      <w:pPr>
        <w:pStyle w:val="Heading1"/>
        <w:spacing w:after="120" w:before="300"/>
      </w:pPr>
      <w:r>
        <w:t xml:space="preserve">2. Platform current state — </w:t>
      </w:r>
      <w:r>
        <w:rPr>
          <w:b/>
          <w:bCs/>
          <w:color w:val="2E7D32"/>
          <w:sz w:val="18"/>
          <w:szCs w:val="18"/>
        </w:rPr>
        <w:t xml:space="preserve">[SHARE]</w:t>
      </w:r>
    </w:p>
    <w:p>
      <w:pPr>
        <w:pStyle w:val="Heading2"/>
        <w:spacing w:after="100" w:before="220"/>
      </w:pPr>
      <w:r>
        <w:t xml:space="preserve">What is built and working (all live-verified, not slideware)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68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68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23 microservices: 10 Go (identity, RBAC, case, tool-plane ×2, audit, notification, usage, chart, query, realtime), 11 Python (agents, AI gateway, data/ML plane), GraphQL BFF, Next.js UI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Agentic layer</w:t>
            </w:r>
          </w:p>
        </w:tc>
        <w:tc>
          <w:tcPr>
            <w:tcW w:type="dxa" w:w="68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 production agents (triage, copilot, ML-engineer, etc.) + tenant-defined custom agents, all guardrail-enforced (data-scope, token budgets, PII-egress redaction) and tool-gated through a governed tool plane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Governance</w:t>
            </w:r>
          </w:p>
        </w:tc>
        <w:tc>
          <w:tcPr>
            <w:tcW w:type="dxa" w:w="68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Four-eyes approval on every AI-proposed write; self-approval rejected at the API level; risk tiering; approval anti-laundering; full decision trace (input snapshot → rationale → outcome)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Learning loop</w:t>
            </w:r>
          </w:p>
        </w:tc>
        <w:tc>
          <w:tcPr>
            <w:tcW w:type="dxa" w:w="68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Proven end-to-end with real components: human correction → labeled dataset → real model training (MLflow) → governed promotion → batch inference on new work. No mocks anywhere in the demo path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Vertical packs</w:t>
            </w:r>
          </w:p>
        </w:tc>
        <w:tc>
          <w:tcPr>
            <w:tcW w:type="dxa" w:w="68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28 packs across healthcare, banking, insurance, manufacturing, logistics, trust &amp; safety. Pack framework + CLI (</w:t>
            </w:r>
            <w:r>
              <w:rPr>
                <w:rFonts w:ascii="Consolas" w:cs="Consolas" w:eastAsia="Consolas" w:hAnsi="Consolas"/>
                <w:color w:val="9C4221"/>
                <w:sz w:val="20"/>
                <w:szCs w:val="20"/>
              </w:rPr>
              <w:t xml:space="preserve">packctl</w:t>
            </w:r>
            <w:r>
              <w:rPr>
                <w:sz w:val="20"/>
                <w:szCs w:val="20"/>
              </w:rPr>
              <w:t xml:space="preserve">) + registry + install/upgrade/rollback/drift-detection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 plane</w:t>
            </w:r>
          </w:p>
        </w:tc>
        <w:tc>
          <w:tcPr>
            <w:tcW w:type="dxa" w:w="68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Ingestion (CSV/JSON/Parquet/Avro/XML + X12/FHIR/HL7v2/ISO20022/ACORD), Iceberg lakehouse on S3-compatible storage, Trino + DuckDB query engines, semantic models, entity resolution with governed golden-record merge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Enterprise readiness</w:t>
            </w:r>
          </w:p>
        </w:tc>
        <w:tc>
          <w:tcPr>
            <w:tcW w:type="dxa" w:w="68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Multi-tenant (Postgres RLS isolation), per-tenant BYO OIDC IdP, BYO secrets (Vault/AWS/Azure/GCP), SIEM audit export, 7-year WORM audit store (ClickHouse), embedded/white-label UI with per-user embed SSO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8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Distributed tracing + RED metrics across ~20 services, health self-diagnosis tooling (</w:t>
            </w:r>
            <w:r>
              <w:rPr>
                <w:rFonts w:ascii="Consolas" w:cs="Consolas" w:eastAsia="Consolas" w:hAnsi="Consolas"/>
                <w:color w:val="9C4221"/>
                <w:sz w:val="20"/>
                <w:szCs w:val="20"/>
              </w:rPr>
              <w:t xml:space="preserve">make doctor</w:t>
            </w:r>
            <w:r>
              <w:rPr>
                <w:sz w:val="20"/>
                <w:szCs w:val="20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t xml:space="preserve">Engineering quality evidence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2,500+ automated tests, all green</w:t>
      </w:r>
      <w:r>
        <w:t xml:space="preserve"> (verified 2026-07-21): ~1,960 Python tests across 11 services (largest suite: ingestion at 600), 467 UI tests, 10 Go service suites + shared libraries.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Full E2E journey test</w:t>
      </w:r>
      <w:r>
        <w:t xml:space="preserve"> runs the entire claims lifecycle against the real stack — real local LLM (Ollama), real Kafka, real object storage, real MLflow — and passes every assertion.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Live Playwright browser suite</w:t>
      </w:r>
      <w:r>
        <w:t xml:space="preserve"> against the running product (no mocked backends).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60 BRDs</w:t>
      </w:r>
      <w:r>
        <w:t xml:space="preserve"> — every capability specified before build; documentation convention enforced (analysis → design → implement → test).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posture:</w:t>
      </w:r>
      <w:r>
        <w:t xml:space="preserve"> 5-tool scan baseline in CI (SAST, dependency, secrets), hardening pass completed (SSRF, SQLi, XXE, resource-exhaustion classes), prompt-injection defenses (XPIA, rule-of-two) on the agent layer.</w:t>
      </w:r>
    </w:p>
    <w:p>
      <w:pPr>
        <w:pStyle w:val="Heading2"/>
        <w:spacing w:after="100" w:before="220"/>
      </w:pPr>
      <w:r>
        <w:t xml:space="preserve">Deployment readiness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 built:</w:t>
      </w:r>
      <w:r>
        <w:t xml:space="preserve"> GitHub Actions CI, container image builds for all 23 services, CD pipelines for AWS / GCP / Azure.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IaC built:</w:t>
      </w:r>
      <w:r>
        <w:t xml:space="preserve"> Helm chart + Terraform modules for AWS, GCP, Azure (+ a budget option), GPU node-pool support for model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Runs fully on one machine</w:t>
      </w:r>
      <w:r>
        <w:t xml:space="preserve"> for demos/dev (</w:t>
      </w:r>
      <w:r>
        <w:rPr>
          <w:rFonts w:ascii="Consolas" w:cs="Consolas" w:eastAsia="Consolas" w:hAnsi="Consolas"/>
          <w:color w:val="9C4221"/>
          <w:sz w:val="19"/>
          <w:szCs w:val="19"/>
        </w:rPr>
        <w:t xml:space="preserve">make up</w:t>
      </w:r>
      <w:r>
        <w:t xml:space="preserve"> → whole platform + seeded vertical demo in minutes) — this is also the partner's onboarding path.</w:t>
      </w:r>
    </w:p>
    <w:p>
      <w:pPr>
        <w:pStyle w:val="Heading1"/>
        <w:spacing w:after="120" w:before="300"/>
      </w:pPr>
      <w:r>
        <w:t xml:space="preserve">3. Honest current-state gaps — </w:t>
      </w:r>
      <w:r>
        <w:rPr>
          <w:b/>
          <w:bCs/>
          <w:color w:val="C0504D"/>
          <w:sz w:val="18"/>
          <w:szCs w:val="18"/>
        </w:rPr>
        <w:t xml:space="preserve">[INTERNAL]</w:t>
      </w:r>
    </w:p>
    <w:p>
      <w:pPr>
        <w:spacing w:after="100"/>
      </w:pPr>
      <w:r>
        <w:t xml:space="preserve">Know these cold; disclose selectively and frame each with its mitigation. A good partner will find them anyway in diligence — controlled candor builds trust.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Reality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Frame it as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production cloud deployment yet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Everything proven locally; Terraform/Helm exist but never applied against a real cloud account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"First production deployment is literally workstream #1 we'd hand a partner — IaC is written, needs an SRE pass"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customers / references yet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Pre-revenue; design-partner motion defined but not started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"That's the GTM ask — we bring product, partner brings relationships"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compliance certifications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 2 / HITRUST identified as the #1 blocker to the first regulated customer; 6–12 month lead time, not started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"Certification evidence-collection is an explicit workstream we'd co-staff"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Scale validated only at demo volume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Known bottleneck list exists (documented scalability audit with ~10 items, e.g., ingest memory at large commits, no clustered OLAP config)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"We have a written scalability roadmap; perf/load testing is a named ask"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Single-developer bus factor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platform built by one person + AI tooling; deep docs mitigate but don't eliminate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"60 BRDs + enforced doc convention exist precisely so a team can onboard"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SLM distillation partially gated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Training control plane done; GPU fine-tuning path needs cloud GPU capacity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Roadmap item, not a today-claim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Do not overshare in meeting #1:</w:t>
      </w:r>
      <w:r>
        <w:t xml:space="preserve"> exact test-failure history, internal incident notes, the bus-factor framing. Share the gap </w:t>
      </w:r>
      <w:r>
        <w:rPr>
          <w:i/>
          <w:iCs/>
        </w:rPr>
        <w:t xml:space="preserve">categories</w:t>
      </w:r>
      <w:r>
        <w:t xml:space="preserve"> and the mitigation posture.</w:t>
      </w:r>
    </w:p>
    <w:p>
      <w:pPr>
        <w:pStyle w:val="Heading1"/>
        <w:spacing w:after="120" w:before="300"/>
      </w:pPr>
      <w:r>
        <w:t xml:space="preserve">4. What help we need — the four workstreams — </w:t>
      </w:r>
      <w:r>
        <w:rPr>
          <w:b/>
          <w:bCs/>
          <w:color w:val="2E7D32"/>
          <w:sz w:val="18"/>
          <w:szCs w:val="18"/>
        </w:rPr>
        <w:t xml:space="preserve">[SHARE]</w:t>
      </w:r>
    </w:p>
    <w:p>
      <w:pPr>
        <w:spacing w:after="100"/>
      </w:pPr>
      <w:r>
        <w:t xml:space="preserve">Present these as concrete, scoped work packages. This shows them you're organized and lets them price realistically.</w:t>
      </w:r>
    </w:p>
    <w:p>
      <w:pPr>
        <w:pStyle w:val="Heading2"/>
        <w:spacing w:after="100" w:before="220"/>
      </w:pPr>
      <w:r>
        <w:t xml:space="preserve">WS-1 · Testing &amp; QA (their testing offer)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Independent QA pass</w:t>
      </w:r>
      <w:r>
        <w:t xml:space="preserve"> over the 28 packs and core workflows (they own test plans + execution; you provide the E2E harness that already exists).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Performance/load testing</w:t>
      </w:r>
      <w:r>
        <w:t xml:space="preserve"> against the documented scalability targets (millions of cases per tenant); the bottleneck list is written — they turn it into load profiles and burn it down.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testing:</w:t>
      </w:r>
      <w:r>
        <w:t xml:space="preserve"> external pen-test + remediation cycle; this doubles as SOC 2 evidence.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Regression automation expansion:</w:t>
      </w:r>
      <w:r>
        <w:t xml:space="preserve"> grow the live Playwright suite; wire into CI as a release gate.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Good first SOW: 6–8 weeks, fixed scope, measurable exit criteria (load numbers, pen-test report, suite coverage).</w:t>
      </w:r>
    </w:p>
    <w:p>
      <w:pPr>
        <w:pStyle w:val="Heading2"/>
        <w:spacing w:after="100" w:before="220"/>
      </w:pPr>
      <w:r>
        <w:t xml:space="preserve">WS-2 · Offshore engineering (their staffing offer)</w:t>
      </w:r>
    </w:p>
    <w:p>
      <w:pPr>
        <w:spacing w:after="100"/>
      </w:pPr>
      <w:r>
        <w:t xml:space="preserve">Parallelizable, low-core-risk work first — protect the Core: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Pack authoring</w:t>
      </w:r>
      <w:r>
        <w:t xml:space="preserve"> — the framework + authoring guide exist (</w:t>
      </w:r>
      <w:r>
        <w:rPr>
          <w:rFonts w:ascii="Consolas" w:cs="Consolas" w:eastAsia="Consolas" w:hAnsi="Consolas"/>
          <w:color w:val="9C4221"/>
          <w:sz w:val="19"/>
          <w:szCs w:val="19"/>
        </w:rPr>
        <w:t xml:space="preserve">packs/PACK_AUTHORING_GUIDE.md</w:t>
      </w:r>
      <w:r>
        <w:t xml:space="preserve">); Core stays frozen; a pack is config/content, not platform code. This is the ideal offshore lane and also proves the "SIs ship their own packs" ecosystem thesis.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Connectors</w:t>
      </w:r>
      <w:r>
        <w:t xml:space="preserve"> — source-system connectors (core-admin systems, Snowflake/Databricks, SFTP/EDI endpoints).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 automation &amp; documentation</w:t>
      </w:r>
      <w:r>
        <w:t xml:space="preserve"> (feeds WS-1).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UI polish backlog</w:t>
      </w:r>
      <w:r>
        <w:t xml:space="preserve"> under your design review.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Core platform changes stay with you (or a small vetted senior subset) until trust is established.</w:t>
      </w:r>
    </w:p>
    <w:p>
      <w:pPr>
        <w:pStyle w:val="Heading2"/>
        <w:spacing w:after="100" w:before="220"/>
      </w:pPr>
      <w:r>
        <w:t xml:space="preserve">WS-3 · Infrastructure &amp; operations (their infra offer)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First production deployment</w:t>
      </w:r>
      <w:r>
        <w:t xml:space="preserve"> on one cloud (pick one — recommend whichever their team is strongest in) using the existing Terraform + Helm.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SRE setup:</w:t>
      </w:r>
      <w:r>
        <w:t xml:space="preserve"> monitoring/alerting build-out (OTel plumbing exists), runbooks, backup/DR, cost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Compliance engineering:</w:t>
      </w:r>
      <w:r>
        <w:t xml:space="preserve"> SOC 2 Type II (and HITRUST if healthcare-first) — evidence collection, control implementation, auditor liaison. </w:t>
      </w:r>
      <w:r>
        <w:rPr>
          <w:b/>
          <w:bCs/>
        </w:rPr>
        <w:t xml:space="preserve">This is the critical path to revenue</w:t>
      </w:r>
      <w:r>
        <w:t xml:space="preserve"> and worth stating exactly that way.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Hosted demo environment</w:t>
      </w:r>
      <w:r>
        <w:t xml:space="preserve"> so prospects can be shown the product without your laptop.</w:t>
      </w:r>
    </w:p>
    <w:p>
      <w:pPr>
        <w:pStyle w:val="Heading2"/>
        <w:spacing w:after="100" w:before="220"/>
      </w:pPr>
      <w:r>
        <w:t xml:space="preserve">WS-4 · GTM (their market offer)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Design-partner sourcing</w:t>
      </w:r>
      <w:r>
        <w:t xml:space="preserve"> — the ideal customer profile is already written (regional health plans 2–5M members, mid-cap nationals, provider-sponsored plans; equivalents in banking for AML/disputes). Ask directly: </w:t>
      </w:r>
      <w:r>
        <w:rPr>
          <w:i/>
          <w:iCs/>
        </w:rPr>
        <w:t xml:space="preserve">which named logos can you introduce us to?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Pilot delivery</w:t>
      </w:r>
      <w:r>
        <w:t xml:space="preserve"> — the 90-day pilot playbook exists (shadow mode → proposal mode → ROI report); partner supplies delivery muscle.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Collateral:</w:t>
      </w:r>
      <w:r>
        <w:t xml:space="preserve"> deck, one-pager, demo video, ROI calculator — built from existing strategy/market docs.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Pricing validation</w:t>
      </w:r>
      <w:r>
        <w:t xml:space="preserve"> against a real procurement process.</w:t>
      </w:r>
    </w:p>
    <w:p>
      <w:pPr>
        <w:pStyle w:val="Heading1"/>
        <w:spacing w:after="120" w:before="300"/>
      </w:pPr>
      <w:r>
        <w:t xml:space="preserve">5. How to work together — partnership structure — [SHARE the model, INTERNAL the guardrails]</w:t>
      </w:r>
    </w:p>
    <w:p>
      <w:pPr>
        <w:pStyle w:val="Heading2"/>
        <w:spacing w:after="100" w:before="220"/>
      </w:pPr>
      <w:r>
        <w:t xml:space="preserve">Recommended phasing — </w:t>
      </w:r>
      <w:r>
        <w:rPr>
          <w:b/>
          <w:bCs/>
          <w:color w:val="2E7D32"/>
          <w:sz w:val="18"/>
          <w:szCs w:val="18"/>
        </w:rPr>
        <w:t xml:space="preserve">[SHARE]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Money flow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1. Prove-out (0–3 mo)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Paid services engagement: 1–2 fixed-scope SOWs from WS-1/WS-3. You are the client; they deliver.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pay them (or heavily discounted/at-risk if they want to earn the partnership)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2. Delivery partner (3–12 mo)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Certified implementation partner: they deliver pilots at customers you jointly close. Services revenue is theirs; platform subscription is yours.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pays each of you separately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3. Ecosystem (12 mo+)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Co-sell + reseller margin; they publish their own packs on the marketplace (this is an explicit strategic milestone — "an SI shipping a pack we didn't build is the moment we know we're a platform")</w:t>
            </w:r>
          </w:p>
        </w:tc>
        <w:tc>
          <w:tcPr>
            <w:tcW w:type="dxa" w:w="36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Referral/resale margins + their pack revenue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Market-typical economics to anchor on (directional): referral fee ~10–15% of first-year subscription; reseller margin ~20–30%; SI services revenue on an enterprise deployment typically runs 1–3× the platform subscription — </w:t>
      </w:r>
      <w:r>
        <w:rPr>
          <w:b/>
          <w:bCs/>
        </w:rPr>
        <w:t xml:space="preserve">that services pool is the reason this partnership is attractive to them; say so explicitly.</w:t>
      </w:r>
    </w:p>
    <w:p>
      <w:pPr>
        <w:pStyle w:val="Heading2"/>
        <w:spacing w:after="100" w:before="220"/>
      </w:pPr>
      <w:r>
        <w:t xml:space="preserve">Non-negotiable guardrails — </w:t>
      </w:r>
      <w:r>
        <w:rPr>
          <w:b/>
          <w:bCs/>
          <w:color w:val="C0504D"/>
          <w:sz w:val="18"/>
          <w:szCs w:val="18"/>
        </w:rPr>
        <w:t xml:space="preserve">[INTERNAL]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IP:</w:t>
      </w:r>
      <w:r>
        <w:t xml:space="preserve"> all work is work-for-hire with IP assignment to you. No co-ownership of Core, no white-label/OEM rights in early phases, no source-code escrow beyond standard terms.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No exclusivity</w:t>
      </w:r>
      <w:r>
        <w:t xml:space="preserve"> in any geography/vertical until they've earned it with closed revenue — resist this hard in meeting #1; offer "first-mover preference" language instead.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No equity for services</w:t>
      </w:r>
      <w:r>
        <w:t xml:space="preserve"> at this stage.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Code access tiers:</w:t>
      </w:r>
      <w:r>
        <w:t xml:space="preserve"> packs/tests/docs repos for offshore teams; Core access only for named, vetted seniors; branch protection + your review as merge gate.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Offshore security:</w:t>
      </w:r>
      <w:r>
        <w:t xml:space="preserve"> no production or customer data offshore, ever; isolated dev environments (the </w:t>
      </w:r>
      <w:r>
        <w:rPr>
          <w:rFonts w:ascii="Consolas" w:cs="Consolas" w:eastAsia="Consolas" w:hAnsi="Consolas"/>
          <w:color w:val="9C4221"/>
          <w:sz w:val="19"/>
          <w:szCs w:val="19"/>
        </w:rPr>
        <w:t xml:space="preserve">make up</w:t>
      </w:r>
      <w:r>
        <w:t xml:space="preserve"> local stack is purpose-built for this); named-resource lists; their ISO 27001/SOC 2 posture verified; right to audit; background checks on Core-access engineers.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Governance cadence:</w:t>
      </w:r>
      <w:r>
        <w:t xml:space="preserve"> weekly delivery standup, monthly steering, milestone-gated SOW payments with written acceptance criteria. Every SOW gets a definition of done.</w:t>
      </w:r>
    </w:p>
    <w:p>
      <w:pPr>
        <w:pStyle w:val="Heading1"/>
        <w:spacing w:after="120" w:before="300"/>
      </w:pPr>
      <w:r>
        <w:t xml:space="preserve">6. Platform pricing model — what to say when they ask — </w:t>
      </w:r>
      <w:r>
        <w:rPr>
          <w:b/>
          <w:bCs/>
          <w:color w:val="2E7D32"/>
          <w:sz w:val="18"/>
          <w:szCs w:val="18"/>
        </w:rPr>
        <w:t xml:space="preserve">[SHARE]</w:t>
      </w:r>
    </w:p>
    <w:p>
      <w:pPr>
        <w:spacing w:after="100"/>
      </w:pPr>
      <w:r>
        <w:t xml:space="preserve">The pricing architecture (already designed into the product — metering, budgets, and cost attribution are built):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Platform floor</w:t>
      </w:r>
      <w:r>
        <w:t xml:space="preserve"> — annual subscription per tenant/use-case. Predictable line the CFO can budget.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Per-decision usage</w:t>
      </w:r>
      <w:r>
        <w:t xml:space="preserve"> — consumption pricing tied to the unit of value (a governed decision), with volume tiers. Cost attribution per decision is already instrumented in the product.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Hard budget caps</w:t>
      </w:r>
      <w:r>
        <w:t xml:space="preserve"> — customer-set circuit breakers, so an AI bill can never run away. This is a </w:t>
      </w:r>
      <w:r>
        <w:rPr>
          <w:i/>
          <w:iCs/>
        </w:rPr>
        <w:t xml:space="preserve">selling</w:t>
      </w:r>
      <w:r>
        <w:t xml:space="preserve"> feature: 73% of agentic-AI projects bust budget; ours structurally can't.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Packs as add-ons</w:t>
      </w:r>
      <w:r>
        <w:t xml:space="preserve"> — each vertical pack is a separately priced module on the Core subscription.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Bounded professional services</w:t>
      </w:r>
      <w:r>
        <w:t xml:space="preserve"> — platform PS limited to first-pilot integration (~weeks 0–4); beyond that, delivery is self-serve or </w:t>
      </w:r>
      <w:r>
        <w:rPr>
          <w:b/>
          <w:bCs/>
        </w:rPr>
        <w:t xml:space="preserve">certified-partner territory</w:t>
      </w:r>
      <w:r>
        <w:t xml:space="preserve"> — i.e., the long-tail services revenue is deliberately reserved for partners like them.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The kicker:</w:t>
      </w:r>
      <w:r>
        <w:t xml:space="preserve"> cost-per-decision </w:t>
      </w:r>
      <w:r>
        <w:rPr>
          <w:i/>
          <w:iCs/>
        </w:rPr>
        <w:t xml:space="preserve">declines</w:t>
      </w:r>
      <w:r>
        <w:t xml:space="preserve"> with tenure (deterministic-first routing + model distillation), so gross margin improves per customer over time — the opposite of typical agentic-AI economics.</w:t>
      </w:r>
    </w:p>
    <w:p>
      <w:pPr>
        <w:spacing w:after="100"/>
      </w:pPr>
      <w:r>
        <w:rPr>
          <w:b/>
          <w:bCs/>
        </w:rPr>
        <w:t xml:space="preserve">Design-partner terms</w:t>
      </w:r>
      <w:r>
        <w:t xml:space="preserve"> (for the first 3 lighthouse customers): ~60% off list year 1, co-development input, case-study rights. Partner-sourced design partners still earn their referral fee on the discounted amount.</w:t>
      </w:r>
    </w:p>
    <w:p>
      <w:pPr>
        <w:spacing w:after="100"/>
      </w:pPr>
      <w:r>
        <w:rPr>
          <w:b/>
          <w:bCs/>
        </w:rPr>
        <w:t xml:space="preserve">List price:</w:t>
      </w:r>
      <w:r>
        <w:t xml:space="preserve"> position as "finalized per-vertical with the first design partner cohort" — don't quote hard numbers you'd have to walk back. If pressed for magnitude: mid-six-figure annual platform+pack ACV at enterprise scale is the design point, validated against the labor cost it displaces (a claims decision reviewed at $180/hr clinician time makes per-decision ROI enormous).</w:t>
      </w:r>
    </w:p>
    <w:p>
      <w:pPr>
        <w:pStyle w:val="Heading1"/>
        <w:spacing w:after="120" w:before="300"/>
      </w:pPr>
      <w:r>
        <w:t xml:space="preserve">7. Bring-to-meeting checklist — </w:t>
      </w:r>
      <w:r>
        <w:rPr>
          <w:b/>
          <w:bCs/>
          <w:color w:val="C0504D"/>
          <w:sz w:val="18"/>
          <w:szCs w:val="18"/>
        </w:rPr>
        <w:t xml:space="preserve">[INTERNAL]</w:t>
      </w:r>
    </w:p>
    <w:p>
      <w:pPr>
        <w:spacing w:after="100"/>
      </w:pPr>
      <w:r>
        <w:rPr>
          <w:b/>
          <w:bCs/>
        </w:rPr>
        <w:t xml:space="preserve">Before the meeting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 </w:t>
      </w:r>
      <w:r>
        <w:rPr>
          <w:b/>
          <w:bCs/>
        </w:rPr>
        <w:t xml:space="preserve">NDA signed first</w:t>
      </w:r>
      <w:r>
        <w:t xml:space="preserve"> — before demo or this document's </w:t>
      </w:r>
      <w:r>
        <w:rPr>
          <w:b/>
          <w:bCs/>
          <w:color w:val="2E7D32"/>
          <w:sz w:val="18"/>
          <w:szCs w:val="18"/>
        </w:rPr>
        <w:t xml:space="preserve">[SHARE]</w:t>
      </w:r>
      <w:r>
        <w:t xml:space="preserve"> content in written form.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 </w:t>
      </w:r>
      <w:r>
        <w:rPr>
          <w:b/>
          <w:bCs/>
        </w:rPr>
        <w:t xml:space="preserve">Demo ready:</w:t>
      </w:r>
      <w:r>
        <w:t xml:space="preserve"> </w:t>
      </w:r>
      <w:r>
        <w:rPr>
          <w:rFonts w:ascii="Consolas" w:cs="Consolas" w:eastAsia="Consolas" w:hAnsi="Consolas"/>
          <w:color w:val="9C4221"/>
          <w:sz w:val="19"/>
          <w:szCs w:val="19"/>
        </w:rPr>
        <w:t xml:space="preserve">make up</w:t>
      </w:r>
      <w:r>
        <w:t xml:space="preserve"> on your machine (full platform + claims demo seeds in minutes). Rehearse the 5-minute script below. Have MLflow (</w:t>
      </w:r>
      <w:r>
        <w:rPr>
          <w:rFonts w:ascii="Consolas" w:cs="Consolas" w:eastAsia="Consolas" w:hAnsi="Consolas"/>
          <w:color w:val="9C4221"/>
          <w:sz w:val="19"/>
          <w:szCs w:val="19"/>
        </w:rPr>
        <w:t xml:space="preserve">:5500</w:t>
      </w:r>
      <w:r>
        <w:t xml:space="preserve">), the audit trail, and the approval inbox as "wow" tabs.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 </w:t>
      </w:r>
      <w:r>
        <w:rPr>
          <w:b/>
          <w:bCs/>
        </w:rPr>
        <w:t xml:space="preserve">One-pager PDF</w:t>
      </w:r>
      <w:r>
        <w:t xml:space="preserve"> distilled from §1–2 of this doc.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 </w:t>
      </w:r>
      <w:r>
        <w:rPr>
          <w:b/>
          <w:bCs/>
        </w:rPr>
        <w:t xml:space="preserve">Architecture diagram</w:t>
      </w:r>
      <w:r>
        <w:t xml:space="preserve"> (export from </w:t>
      </w:r>
      <w:r>
        <w:rPr>
          <w:rFonts w:ascii="Consolas" w:cs="Consolas" w:eastAsia="Consolas" w:hAnsi="Consolas"/>
          <w:color w:val="9C4221"/>
          <w:sz w:val="19"/>
          <w:szCs w:val="19"/>
        </w:rPr>
        <w:t xml:space="preserve">docs/platform/PLATFORM_ARCHITECTURE.md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 </w:t>
      </w:r>
      <w:r>
        <w:rPr>
          <w:b/>
          <w:bCs/>
        </w:rPr>
        <w:t xml:space="preserve">This briefing</w:t>
      </w:r>
      <w:r>
        <w:t xml:space="preserve"> reviewed; decide your disclosure line for each </w:t>
      </w:r>
      <w:r>
        <w:rPr>
          <w:b/>
          <w:bCs/>
          <w:color w:val="C0504D"/>
          <w:sz w:val="18"/>
          <w:szCs w:val="18"/>
        </w:rPr>
        <w:t xml:space="preserve">[INTERNAL]</w:t>
      </w:r>
      <w:r>
        <w:t xml:space="preserve"> item.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 </w:t>
      </w:r>
      <w:r>
        <w:rPr>
          <w:b/>
          <w:bCs/>
        </w:rPr>
        <w:t xml:space="preserve">Rate expectations researched:</w:t>
      </w:r>
      <w:r>
        <w:t xml:space="preserve"> know blended offshore rates for their geography so their quote has a reference point.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 </w:t>
      </w:r>
      <w:r>
        <w:rPr>
          <w:b/>
          <w:bCs/>
        </w:rPr>
        <w:t xml:space="preserve">Your ask list written:</w:t>
      </w:r>
      <w:r>
        <w:t xml:space="preserve"> which 1–2 SOWs you'd actually sign first (recommend: WS-3 first prod deployment + WS-1 load/pen-test — both produce artifacts you need regardless of the partnership's fate).</w:t>
      </w:r>
    </w:p>
    <w:p>
      <w:pPr>
        <w:spacing w:after="100"/>
      </w:pPr>
      <w:r>
        <w:rPr>
          <w:b/>
          <w:bCs/>
        </w:rPr>
        <w:t xml:space="preserve">The 5-minute demo script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Login (branded Datacern UI, role-gated) → </w:t>
      </w:r>
      <w:r>
        <w:rPr>
          <w:b/>
          <w:bCs/>
        </w:rPr>
        <w:t xml:space="preserve">Cases worklist</w:t>
      </w:r>
      <w:r>
        <w:t xml:space="preserve"> — real seeded claims queue with severity/due ranking.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Open the duplicate-invoice claim → </w:t>
      </w:r>
      <w:r>
        <w:rPr>
          <w:b/>
          <w:bCs/>
        </w:rPr>
        <w:t xml:space="preserve">Copilot triages it live</w:t>
      </w:r>
      <w:r>
        <w:t xml:space="preserve"> (real local LLM, cited evidence, confidence).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Show the </w:t>
      </w:r>
      <w:r>
        <w:rPr>
          <w:b/>
          <w:bCs/>
        </w:rPr>
        <w:t xml:space="preserve">proposal in the approval inbox</w:t>
      </w:r>
      <w:r>
        <w:t xml:space="preserve"> → approve it (mention: self-approval is structurally rejected — four-eyes).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Learning loop panel:</w:t>
      </w:r>
      <w:r>
        <w:t xml:space="preserve"> corrections → labeled examples → the retrained model in MLflow → promoted to production under approval → new claims scored by it.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Audit trail:</w:t>
      </w:r>
      <w:r>
        <w:t xml:space="preserve"> every step above as immutable events. Close with: </w:t>
      </w:r>
      <w:r>
        <w:rPr>
          <w:i/>
          <w:iCs/>
        </w:rPr>
        <w:t xml:space="preserve">"every AI action you just saw is governed, attributed, and replayable — that's the product."</w:t>
      </w:r>
    </w:p>
    <w:p>
      <w:pPr>
        <w:spacing w:after="100"/>
      </w:pPr>
      <w:r>
        <w:rPr>
          <w:b/>
          <w:bCs/>
        </w:rPr>
        <w:t xml:space="preserve">Metrics to have memorized:</w:t>
      </w:r>
      <w:r>
        <w:t xml:space="preserve"> 23 services · 28 packs · 60 BRDs · 2,500+ tests green · full E2E loop with zero mocks · 3 clouds' IaC written.</w:t>
      </w:r>
    </w:p>
    <w:p>
      <w:pPr>
        <w:pStyle w:val="Heading1"/>
        <w:spacing w:after="120" w:before="300"/>
      </w:pPr>
      <w:r>
        <w:t xml:space="preserve">8. Questions to ask THEM — </w:t>
      </w:r>
      <w:r>
        <w:rPr>
          <w:b/>
          <w:bCs/>
          <w:color w:val="C0504D"/>
          <w:sz w:val="18"/>
          <w:szCs w:val="18"/>
        </w:rPr>
        <w:t xml:space="preserve">[INTERNAL]</w:t>
      </w:r>
    </w:p>
    <w:p>
      <w:pPr>
        <w:spacing w:after="100"/>
      </w:pPr>
      <w:r>
        <w:t xml:space="preserve">Qualify them as hard as they qualify you: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Vertical proof:</w:t>
      </w:r>
      <w:r>
        <w:t xml:space="preserve"> Which health plans / banks have you delivered into? Named references we can call?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GTM substance:</w:t>
      </w:r>
      <w:r>
        <w:t xml:space="preserve"> For the logos you'd introduce — who is the sponsor, what's the relationship, when did you last transact? (Separates real GTM from a slide.)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Testing credentials:</w:t>
      </w:r>
      <w:r>
        <w:t xml:space="preserve"> Show a sample performance-test report and pen-test deliverable from a comparable engagement.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Offshore specifics:</w:t>
      </w:r>
      <w:r>
        <w:t xml:space="preserve"> Locations, security certifications (ISO 27001? SOC 2?), attrition rate, how they handle IP assignment and data isolation for offshore teams.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Compliance experience:</w:t>
      </w:r>
      <w:r>
        <w:t xml:space="preserve"> Have they taken a product through SOC 2 Type II / HITRUST as the implementation partner? Timeline and cost from a real example?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Commercial model:</w:t>
      </w:r>
      <w:r>
        <w:t xml:space="preserve"> Sample MSA/SOW, rate card, and what partner tier structure they've operated in with other ISVs.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Skin in the game:</w:t>
      </w:r>
      <w:r>
        <w:t xml:space="preserve"> Would they co-invest (discounted first SOW, at-risk pricing tied to the first closed customer) to earn preferred-partner status?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Capacity &amp; continuity:</w:t>
      </w:r>
      <w:r>
        <w:t xml:space="preserve"> Named team for phase 1? Key-person continuity commitments?</w:t>
      </w:r>
    </w:p>
    <w:p>
      <w:pPr>
        <w:pStyle w:val="Heading1"/>
        <w:spacing w:after="120" w:before="300"/>
      </w:pPr>
      <w:r>
        <w:t xml:space="preserve">9. Red flags — walk-away signals — </w:t>
      </w:r>
      <w:r>
        <w:rPr>
          <w:b/>
          <w:bCs/>
          <w:color w:val="C0504D"/>
          <w:sz w:val="18"/>
          <w:szCs w:val="18"/>
        </w:rPr>
        <w:t xml:space="preserve">[INTERNAL]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Demands </w:t>
      </w:r>
      <w:r>
        <w:rPr>
          <w:b/>
          <w:bCs/>
        </w:rPr>
        <w:t xml:space="preserve">exclusivity</w:t>
      </w:r>
      <w:r>
        <w:t xml:space="preserve"> (any geography/vertical) before delivering anything.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Wants </w:t>
      </w:r>
      <w:r>
        <w:rPr>
          <w:b/>
          <w:bCs/>
        </w:rPr>
        <w:t xml:space="preserve">IP co-ownership</w:t>
      </w:r>
      <w:r>
        <w:t xml:space="preserve">, broad license to the platform, or "we'll also build our own accelerator on top" ambiguity.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Equity for services</w:t>
      </w:r>
      <w:r>
        <w:t xml:space="preserve"> pushed early.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GTM claims with </w:t>
      </w:r>
      <w:r>
        <w:rPr>
          <w:b/>
          <w:bCs/>
        </w:rPr>
        <w:t xml:space="preserve">no named sponsors</w:t>
      </w:r>
      <w:r>
        <w:t xml:space="preserve"> ("we know everyone in payer space") and reluctance to arrange reference calls.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Pushes to start with a </w:t>
      </w:r>
      <w:r>
        <w:rPr>
          <w:b/>
          <w:bCs/>
        </w:rPr>
        <w:t xml:space="preserve">large offshore team on Core</w:t>
      </w:r>
      <w:r>
        <w:t xml:space="preserve"> rather than scoped packs/testing/infra 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Vague fixed-price aversion — insists on open-ended T&amp;M with no milestone gates.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willingness to sign your IP/security terms for offshore access.</w:t>
      </w:r>
    </w:p>
    <w:p>
      <w:pPr>
        <w:pStyle w:val="Heading1"/>
        <w:spacing w:after="120" w:before="300"/>
      </w:pPr>
      <w:r>
        <w:t xml:space="preserve">10. Suggested meeting agenda — </w:t>
      </w:r>
      <w:r>
        <w:rPr>
          <w:b/>
          <w:bCs/>
          <w:color w:val="2E7D32"/>
          <w:sz w:val="18"/>
          <w:szCs w:val="18"/>
        </w:rPr>
        <w:t xml:space="preserve">[SHARE]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Intros + NDA confirmation (5 min)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Datacern demo — the claims journey (10 min)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Platform state + roadmap (10 min — §2 of this doc)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Their capabilities walkthrough — testing, offshore, infra, GTM (15 min)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The four workstreams + which two could start first (15 min)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Partnership phasing + commercial principles (10 min)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Agreed next steps: mutual reference checks, draft SOW for phase 1, second meeting date (5 min)</w:t>
      </w:r>
    </w:p>
    <w:p>
      <w:pPr>
        <w:spacing w:after="100"/>
      </w:pPr>
      <w:r>
        <w:rPr>
          <w:b/>
          <w:bCs/>
        </w:rPr>
        <w:t xml:space="preserve">Your close:</w:t>
      </w:r>
      <w:r>
        <w:t xml:space="preserve"> "We're looking for one partner to grow with — first two SOWs are the audition. If delivery is strong, the certified-partner services pool on every future customer is yours to lose."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2026-07-21T21:26:59.122Z</dcterms:created>
  <dcterms:modified xsi:type="dcterms:W3CDTF">2026-07-21T21:26:59.122Z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