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Bajaj Finance Limited — Investment Thesis &amp; Financial Analysis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FY2015–FY2026 | Consolidated Basis | Prepared as part of independent equity research project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Company Overview</w:t>
      </w:r>
    </w:p>
    <w:p>
      <w:pPr>
        <w:spacing w:after="160"/>
      </w:pPr>
      <w:r>
        <w:rPr>
          <w:sz w:val="22"/>
          <w:szCs w:val="22"/>
        </w:rPr>
        <w:t xml:space="preserve">Bajaj Finance Limited (BFL) is India's largest and most diversified non-banking financial company (NBFC), operating across consumer lending, SME/MSME finance, commercial lending, rural lending, mortgages (via subsidiary Bajaj Housing Finance), payments, and deposits. As of 31 March 2026, BFL's consolidated AUM stood at ₹5,09,975 crore, having crossed the ₹5 lakh crore milestone during FY26 — a 22% YoY increase. The company serves a customer franchise of 119.33 million, backed by a network of 4,098 locations and over 2.4 lakh active distribution points.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10-Year Financial Trend</w:t>
      </w:r>
    </w:p>
    <w:p>
      <w:pPr>
        <w:spacing w:after="160"/>
      </w:pPr>
      <w:r>
        <w:rPr>
          <w:sz w:val="22"/>
          <w:szCs w:val="22"/>
        </w:rPr>
        <w:t xml:space="preserve">Revenue grew from ₹5,392 crore in FY15 to ₹81,982 crore in FY26, a CAGR of roughly 27%, while Net Profit grew from ₹898 crore to ₹19,332 crore over the same period — a CAGR of approximately 33%. Profit growth has consistently outpaced revenue growth, reflecting improving operating leverage and a maturing cross-sell engine, though FY26 profit growth (15% after one-time provisions) moderated versus the 24% pre-provision figure, largely due to a conservative accelerated ECL provision taken in Q3 FY26.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AUM Composition &amp; Growth by Segment (FY25 vs FY26)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50"/>
        <w:gridCol w:w="1550"/>
        <w:gridCol w:w="1400"/>
        <w:gridCol w:w="165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AUM Mar-25 (₹Cr)</w:t>
            </w:r>
          </w:p>
        </w:tc>
        <w:tc>
          <w:tcPr>
            <w:tcW w:type="dxa" w:w="1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AUM Mar-26 (₹Cr)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YoY Growth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Composition Mar-26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Mortgages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1,29,461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1,62,077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31.8%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Urban B2C Loans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87,696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1,04,485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19%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20.5%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MSME Lending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48,698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51,570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10.1%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Urban Sales Finance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29,109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37,430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29%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7.3%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Commercial Lending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27,760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33,839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6.6%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Loan Against Securities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25,377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33,247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31%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6.5%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Rural B2C Loans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20,209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25,234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5.0%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Gold Loans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8,307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17,831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115%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3.5%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 Loans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11,876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15,011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2.9%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Market 2W &amp; 3W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6,628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8,325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26%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1.6%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Rural Sales Finance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7,944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10,559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2.1%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CV &amp; Tractor Finance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1,647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3,881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136%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0.9%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MFI Lending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1,258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2,198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0.4%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Captive 2W &amp; 3W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10,691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4,288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(60%)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0.8%</w:t>
            </w:r>
          </w:p>
        </w:tc>
      </w:tr>
      <w:t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4,16,661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5,09,975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22%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100.0%</w:t>
            </w:r>
          </w:p>
        </w:tc>
      </w:tr>
    </w:tbl>
    <w:p>
      <w:pPr>
        <w:spacing w:after="160" w:before="160"/>
      </w:pPr>
      <w:r>
        <w:rPr>
          <w:sz w:val="22"/>
          <w:szCs w:val="22"/>
        </w:rPr>
        <w:t xml:space="preserve">Mortgages remains the largest segment at 31.8% of AUM, growing 25% YoY on the back of strong Bajaj Housing Finance performance. Gold Loans (+115%) and CV &amp; Tractor Finance (+136%) were the fastest-growing segments, reflecting deliberate diversification into secured, lower-risk lending. Captive 2W &amp; 3W Finance is the only segment in decline (-60%), consistent with the company's strategic pullback from a high-delinquency book (GNPA of 14.35% in this segment, by far the highest in the portfolio).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Profitability &amp; Return Ratios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000"/>
        <w:gridCol w:w="2000"/>
        <w:gridCol w:w="3000"/>
      </w:tblGrid>
      <w:tr>
        <w:tc>
          <w:tcPr>
            <w:tcW w:type="dxa" w:w="2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FY25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FY26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Comment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 Total Income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₹44,955 Cr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₹54,123 Cr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+20% YoY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Return on Assets (ROA)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4.55%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4.56%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Broadly stable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Return on Equity (ROE)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19.11%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19.22%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Within 19-21% long-term band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Opex to Net Total Income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33.2%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32.8%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Improving efficiency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Capital Adequacy Ratio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21.9%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21.55%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Well above regulatory minimum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Asset Quality</w:t>
      </w:r>
    </w:p>
    <w:p>
      <w:pPr>
        <w:spacing w:after="160"/>
      </w:pPr>
      <w:r>
        <w:rPr>
          <w:sz w:val="22"/>
          <w:szCs w:val="22"/>
        </w:rPr>
        <w:t xml:space="preserve">Gross NPA improved to 1.01% (FY26) from 0.96% (FY25) while Net NPA improved to 0.41% from 0.44%, both comfortably within the company's long-term guidance corridor of &lt;1.4% GNPA and &lt;0.5% NNPA. Provisioning Coverage Ratio strengthened to 60% (from 54%), indicating a more conservative buffer. The main pockets of stress remain the Captive 2W &amp; 3W book (GNPA 14.35%) and MSME Lending (GNPA 2.65%) — both are either shrinking or being actively risk-managed, which is a reassuring sign of proactive portfolio management rather than passive deterioration.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Management Guidance vs. Actual Delivery — FY26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50"/>
        <w:gridCol w:w="2000"/>
        <w:gridCol w:w="2000"/>
      </w:tblGrid>
      <w:t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Guided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Delivered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franchise addition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14-16 MM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17.51 MM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Beat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AUM growth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24%-25%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22%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Missed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Credit cost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1.85%-1.95%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1.93%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ROE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19%-20%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19.2%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GNPA / NNPA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&lt;1.4% / &lt;0.5%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1.01% / 0.41%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Beat</w:t>
            </w:r>
          </w:p>
        </w:tc>
      </w:tr>
    </w:tbl>
    <w:p>
      <w:pPr>
        <w:spacing w:after="160" w:before="160"/>
      </w:pPr>
      <w:r>
        <w:rPr>
          <w:sz w:val="22"/>
          <w:szCs w:val="22"/>
        </w:rPr>
        <w:t xml:space="preserve">Management delivered on 11 of 12 FY26 targets set at the start of the year, missing only AUM growth (22% actual vs. 24-25% guided) — a shortfall management attributes to deliberate 'risk-first' actions in MSME businesses rather than demand weakness. This high hit-rate on self-set guidance is a strong signal of execution discipline and credible forward communication, both of which are relevant considerations in assessing management quality.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Investment View</w:t>
      </w:r>
    </w:p>
    <w:p>
      <w:pPr>
        <w:spacing w:after="100"/>
      </w:pPr>
      <w:r>
        <w:rPr>
          <w:b/>
          <w:bCs/>
          <w:color w:val="1F3864"/>
          <w:sz w:val="22"/>
          <w:szCs w:val="22"/>
        </w:rPr>
        <w:t xml:space="preserve">Bull Case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Market leadership across a highly diversified AUM base (14 lending segments; no single segment beyond 32% of book) reduces concentration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Consistent 19%+ ROE and sub-5% ROA delivery over a full decade, even through COVID and rate cycles, evidences a resilient business model.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Strong digital/AI moat (FINAI transformation) with 86.6 million app users and 94.4 million EMI cards in force, supporting low-cost customer acquisition and cross-sell.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AAA credit rating across agencies keeps funding costs competitive, aiding margin protection.</w:t>
      </w:r>
    </w:p>
    <w:p>
      <w:pPr>
        <w:spacing w:after="100" w:before="160"/>
      </w:pPr>
      <w:r>
        <w:rPr>
          <w:b/>
          <w:bCs/>
          <w:color w:val="1F3864"/>
          <w:sz w:val="22"/>
          <w:szCs w:val="22"/>
        </w:rPr>
        <w:t xml:space="preserve">Bear Case / Risks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AUM growth has undershot long-term guidance (23-25%) for two consecutive years, raising questions on whether the risk-first stance structurally caps growth going forward.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Rising GNPA in MSME (2.65%) and continued stress in the legacy 2W/3W captive book warrant monitoring, even though both are well provisioned.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Opex pressure from new Labour Codes and rapid Gold Loan branch expansion pushed Opex/NTI up sequentially in Q4 FY26, a trend to watch into FY27.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Valuation (not covered in this analysis) needs separate assessment — strong fundamentals do not automatically imply an attractive entry price.</w:t>
      </w:r>
    </w:p>
    <w:p>
      <w:pPr>
        <w:spacing w:before="200"/>
      </w:pPr>
      <w:r>
        <w:rPr>
          <w:i/>
          <w:iCs/>
          <w:sz w:val="22"/>
          <w:szCs w:val="22"/>
        </w:rPr>
        <w:t xml:space="preserve">Overall: Bajaj Finance's FY26 performance reflects a large, well-diversified, and prudently managed NBFC compounding profits at a materially faster rate than revenue, with asset quality trending better than guidance and management demonstrating high credibility on its own targets. The principal watch-item for FY27 is whether AUM growth can re-accelerate toward the 22-24% guided range without compromising the credit discipline that has kept NPAs low.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2026-07-12T17:42:03.970Z</dcterms:created>
  <dcterms:modified xsi:type="dcterms:W3CDTF">2026-07-12T17:42:03.987Z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