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64E8B4EA" w14:textId="77777777" w:rsidR="00B0399A" w:rsidRPr="00B0399A" w:rsidRDefault="00B0399A" w:rsidP="00B0399A">
      <w:pPr>
        <w:spacing w:before="100" w:beforeAutospacing="1" w:after="100" w:afterAutospacing="1" w:line="240" w:lineRule="auto"/>
        <w:rPr>
          <w:rFonts w:ascii="Calibri" w:eastAsia="Times New Roman" w:hAnsi="Calibri" w:cs="Calibri"/>
          <w:kern w:val="0"/>
          <w:sz w:val="32"/>
          <w:szCs w:val="32"/>
          <w14:ligatures w14:val="none"/>
        </w:rPr>
      </w:pPr>
      <w:r w:rsidRPr="00B0399A">
        <w:rPr>
          <w:rFonts w:ascii="Calibri" w:eastAsia="Times New Roman" w:hAnsi="Calibri" w:cs="Calibri"/>
          <w:b/>
          <w:bCs/>
          <w:kern w:val="0"/>
          <w:sz w:val="32"/>
          <w:szCs w:val="32"/>
          <w14:ligatures w14:val="none"/>
        </w:rPr>
        <w:t>Girma Dingeto</w:t>
      </w:r>
      <w:r w:rsidRPr="00B0399A">
        <w:rPr>
          <w:rFonts w:ascii="Calibri" w:eastAsia="Times New Roman" w:hAnsi="Calibri" w:cs="Calibri"/>
          <w:kern w:val="0"/>
          <w:sz w:val="32"/>
          <w:szCs w:val="32"/>
          <w14:ligatures w14:val="none"/>
        </w:rPr>
        <w:t xml:space="preserve"> </w:t>
      </w:r>
      <w:r w:rsidRPr="00B0399A">
        <w:rPr>
          <w:rFonts w:ascii="Calibri" w:eastAsia="Times New Roman" w:hAnsi="Calibri" w:cs="Calibri"/>
          <w:b/>
          <w:bCs/>
          <w:kern w:val="0"/>
          <w:sz w:val="32"/>
          <w:szCs w:val="32"/>
          <w14:ligatures w14:val="none"/>
        </w:rPr>
        <w:t>CSD380 Module 6.2 Assignment</w:t>
      </w:r>
      <w:r w:rsidRPr="00B0399A">
        <w:rPr>
          <w:rFonts w:ascii="Calibri" w:eastAsia="Times New Roman" w:hAnsi="Calibri" w:cs="Calibri"/>
          <w:kern w:val="0"/>
          <w:sz w:val="32"/>
          <w:szCs w:val="32"/>
          <w14:ligatures w14:val="none"/>
        </w:rPr>
        <w:t xml:space="preserve"> </w:t>
      </w:r>
      <w:r w:rsidRPr="00B0399A">
        <w:rPr>
          <w:rFonts w:ascii="Calibri" w:eastAsia="Times New Roman" w:hAnsi="Calibri" w:cs="Calibri"/>
          <w:b/>
          <w:bCs/>
          <w:kern w:val="0"/>
          <w:sz w:val="32"/>
          <w:szCs w:val="32"/>
          <w14:ligatures w14:val="none"/>
        </w:rPr>
        <w:t>09/13/2026</w:t>
      </w:r>
    </w:p>
    <w:p w14:paraId="343BDAA9" w14:textId="2B869401" w:rsidR="00B0399A" w:rsidRPr="00B0399A" w:rsidRDefault="00B0399A" w:rsidP="00B0399A">
      <w:pPr>
        <w:spacing w:before="100" w:beforeAutospacing="1" w:after="100" w:afterAutospacing="1" w:line="240" w:lineRule="auto"/>
        <w:rPr>
          <w:rFonts w:ascii="Calibri" w:eastAsia="Times New Roman" w:hAnsi="Calibri" w:cs="Calibri"/>
          <w:kern w:val="0"/>
          <w:sz w:val="36"/>
          <w:szCs w:val="36"/>
          <w14:ligatures w14:val="none"/>
        </w:rPr>
      </w:pPr>
      <w:r w:rsidRPr="00B0399A">
        <w:rPr>
          <w:rFonts w:ascii="Calibri" w:eastAsia="Times New Roman" w:hAnsi="Calibri" w:cs="Calibri"/>
          <w:b/>
          <w:bCs/>
          <w:kern w:val="36"/>
          <w:sz w:val="36"/>
          <w:szCs w:val="36"/>
          <w14:ligatures w14:val="none"/>
        </w:rPr>
        <w:t>Detailed Summary of Strangler Pattern at Blackboard Learn (2011)</w:t>
      </w:r>
    </w:p>
    <w:p w14:paraId="03A85CD1" w14:textId="44675D3B" w:rsid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 xml:space="preserve">The Strangler Pattern case study presented in the course textbook illustrates how Blackboard </w:t>
      </w:r>
      <w:r w:rsidRPr="00B0399A">
        <w:rPr>
          <w:rFonts w:ascii="Calibri" w:eastAsia="Times New Roman" w:hAnsi="Calibri" w:cs="Calibri"/>
          <w:kern w:val="0"/>
          <w14:ligatures w14:val="none"/>
        </w:rPr>
        <w:t>Learn,</w:t>
      </w:r>
      <w:r>
        <w:rPr>
          <w:rFonts w:ascii="Calibri" w:eastAsia="Times New Roman" w:hAnsi="Calibri" w:cs="Calibri"/>
          <w:kern w:val="0"/>
          <w14:ligatures w14:val="none"/>
        </w:rPr>
        <w:t xml:space="preserve"> </w:t>
      </w:r>
      <w:r w:rsidRPr="00B0399A">
        <w:rPr>
          <w:rFonts w:ascii="Calibri" w:eastAsia="Times New Roman" w:hAnsi="Calibri" w:cs="Calibri"/>
          <w:kern w:val="0"/>
          <w14:ligatures w14:val="none"/>
        </w:rPr>
        <w:t xml:space="preserve">one of the world’s largest and most widely used learning management </w:t>
      </w:r>
      <w:r w:rsidRPr="00B0399A">
        <w:rPr>
          <w:rFonts w:ascii="Calibri" w:eastAsia="Times New Roman" w:hAnsi="Calibri" w:cs="Calibri"/>
          <w:kern w:val="0"/>
          <w14:ligatures w14:val="none"/>
        </w:rPr>
        <w:t>systems,</w:t>
      </w:r>
      <w:r>
        <w:rPr>
          <w:rFonts w:ascii="Calibri" w:eastAsia="Times New Roman" w:hAnsi="Calibri" w:cs="Calibri"/>
          <w:kern w:val="0"/>
          <w14:ligatures w14:val="none"/>
        </w:rPr>
        <w:t xml:space="preserve"> </w:t>
      </w:r>
      <w:r w:rsidRPr="00B0399A">
        <w:rPr>
          <w:rFonts w:ascii="Calibri" w:eastAsia="Times New Roman" w:hAnsi="Calibri" w:cs="Calibri"/>
          <w:kern w:val="0"/>
          <w14:ligatures w14:val="none"/>
        </w:rPr>
        <w:t xml:space="preserve">successfully modernized its massive monolithic architecture without disrupting millions of active users. By 2011, Blackboard Learn had grown into a deeply intertwined system with years of accumulated technical debt, </w:t>
      </w:r>
      <w:r w:rsidRPr="00B0399A">
        <w:rPr>
          <w:rFonts w:ascii="Calibri" w:eastAsia="Times New Roman" w:hAnsi="Calibri" w:cs="Calibri"/>
          <w:kern w:val="0"/>
          <w14:ligatures w14:val="none"/>
        </w:rPr>
        <w:t>slow-release</w:t>
      </w:r>
      <w:r w:rsidRPr="00B0399A">
        <w:rPr>
          <w:rFonts w:ascii="Calibri" w:eastAsia="Times New Roman" w:hAnsi="Calibri" w:cs="Calibri"/>
          <w:kern w:val="0"/>
          <w14:ligatures w14:val="none"/>
        </w:rPr>
        <w:t xml:space="preserve"> cycles, and high deployment risk. The engineering organization faced a critical challenge: how to evolve the system to meet modern expectations for scalability, reliability, and development speed without attempting a risky full rewrite. The Strangler Fig Pattern provided a practical and safe solution for this transformation.</w:t>
      </w:r>
    </w:p>
    <w:p w14:paraId="79450CFA" w14:textId="3A87B7F1" w:rsidR="00B0399A" w:rsidRPr="00B0399A" w:rsidRDefault="00B0399A" w:rsidP="00B0399A">
      <w:pPr>
        <w:spacing w:before="100" w:beforeAutospacing="1" w:after="100" w:afterAutospacing="1" w:line="240" w:lineRule="auto"/>
        <w:rPr>
          <w:rFonts w:ascii="Calibri" w:eastAsia="Times New Roman" w:hAnsi="Calibri" w:cs="Calibri"/>
          <w:kern w:val="0"/>
          <w:sz w:val="36"/>
          <w:szCs w:val="36"/>
          <w14:ligatures w14:val="none"/>
        </w:rPr>
      </w:pPr>
      <w:r w:rsidRPr="00B0399A">
        <w:rPr>
          <w:rFonts w:ascii="Calibri" w:eastAsia="Times New Roman" w:hAnsi="Calibri" w:cs="Calibri"/>
          <w:b/>
          <w:bCs/>
          <w:kern w:val="0"/>
          <w:sz w:val="36"/>
          <w:szCs w:val="36"/>
          <w14:ligatures w14:val="none"/>
        </w:rPr>
        <w:t>Background, Challenges, and Why the Strangler Pattern Was Needed</w:t>
      </w:r>
    </w:p>
    <w:p w14:paraId="690FD378" w14:textId="77777777"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Blackboard Learn served thousands of institutions and millions of students worldwide. Over time, the platform became increasingly difficult to maintain. Each release required extensive manual testing, long stabilization periods, and coordination across multiple teams. Because the system was a tightly coupled monolith, even small changes could unintentionally break unrelated functionality. This fragility slowed innovation and made deployments stressful and unpredictable. As competition in the LMS market intensified, Blackboard needed to deliver new features faster, improve reliability, and support modern web standards.</w:t>
      </w:r>
    </w:p>
    <w:p w14:paraId="1F309E27" w14:textId="77777777"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A complete rewrite of the system was not feasible. Rewriting a large enterprise application from scratch is expensive, risky, and often unsuccessful. It can take years, during which the existing system must still be maintained. The textbook emphasizes that “big</w:t>
      </w:r>
      <w:r w:rsidRPr="00B0399A">
        <w:rPr>
          <w:rFonts w:ascii="Calibri" w:eastAsia="Times New Roman" w:hAnsi="Calibri" w:cs="Calibri"/>
          <w:kern w:val="0"/>
          <w14:ligatures w14:val="none"/>
        </w:rPr>
        <w:noBreakHyphen/>
        <w:t>bang rewrites” frequently fail because they attempt to replace too much at once, lack incremental feedback, and introduce massive uncertainty. Organizations often underestimate the complexity of rewriting legacy systems, and many projects collapse under their own weight.</w:t>
      </w:r>
    </w:p>
    <w:p w14:paraId="2F64889C" w14:textId="77777777" w:rsid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The Strangler Fig Pattern offered a safer alternative. Inspired by the way strangler fig trees grow around existing trees and gradually replace them, the pattern allows teams to modernize systems incrementally. Instead of rewriting everything, new components are built alongside the old system. Traffic is gradually routed to the new components, and legacy code is removed once replaced. This approach aligns perfectly with DevOps principles: small batch sizes, rapid feedback, safe deployments, and continuous improvement. It allows modernization to occur while the system remains fully operational.</w:t>
      </w:r>
    </w:p>
    <w:p w14:paraId="785B55D2" w14:textId="48BA553B"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sz w:val="36"/>
          <w:szCs w:val="36"/>
          <w14:ligatures w14:val="none"/>
        </w:rPr>
        <w:t>How Blackboard Applied the Strangler Pattern</w:t>
      </w:r>
    </w:p>
    <w:p w14:paraId="4E083C6B" w14:textId="77777777" w:rsid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Blackboard Learn adopted the Strangler Pattern by identifying components that could be isolated and rewritten as independent services. The engineering team created a routing layer that allowed requests to be directed either to legacy code or new microservices. This routing mechanism ensured backward compatibility and minimized disruption for users.</w:t>
      </w:r>
    </w:p>
    <w:p w14:paraId="6D152284" w14:textId="2D05549F"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sz w:val="27"/>
          <w:szCs w:val="27"/>
          <w14:ligatures w14:val="none"/>
        </w:rPr>
        <w:t xml:space="preserve">Key steps </w:t>
      </w:r>
      <w:r>
        <w:rPr>
          <w:rFonts w:ascii="Calibri" w:eastAsia="Times New Roman" w:hAnsi="Calibri" w:cs="Calibri"/>
          <w:b/>
          <w:bCs/>
          <w:kern w:val="0"/>
          <w:sz w:val="27"/>
          <w:szCs w:val="27"/>
          <w14:ligatures w14:val="none"/>
        </w:rPr>
        <w:t xml:space="preserve">included </w:t>
      </w:r>
      <w:r w:rsidRPr="00B0399A">
        <w:rPr>
          <w:rFonts w:ascii="Calibri" w:eastAsia="Times New Roman" w:hAnsi="Calibri" w:cs="Calibri"/>
          <w:b/>
          <w:bCs/>
          <w:kern w:val="0"/>
          <w:sz w:val="27"/>
          <w:szCs w:val="27"/>
          <w14:ligatures w14:val="none"/>
        </w:rPr>
        <w:t xml:space="preserve">in Blackboard’s </w:t>
      </w:r>
      <w:r w:rsidR="001C3CFA" w:rsidRPr="00B0399A">
        <w:rPr>
          <w:rFonts w:ascii="Calibri" w:eastAsia="Times New Roman" w:hAnsi="Calibri" w:cs="Calibri"/>
          <w:b/>
          <w:bCs/>
          <w:kern w:val="0"/>
          <w:sz w:val="27"/>
          <w:szCs w:val="27"/>
          <w14:ligatures w14:val="none"/>
        </w:rPr>
        <w:t>modernization</w:t>
      </w:r>
      <w:r w:rsidR="001C3CFA">
        <w:rPr>
          <w:rFonts w:ascii="Calibri" w:eastAsia="Times New Roman" w:hAnsi="Calibri" w:cs="Calibri"/>
          <w:b/>
          <w:bCs/>
          <w:kern w:val="0"/>
          <w:sz w:val="27"/>
          <w:szCs w:val="27"/>
          <w14:ligatures w14:val="none"/>
        </w:rPr>
        <w:t>:</w:t>
      </w:r>
    </w:p>
    <w:p w14:paraId="5EDA0768" w14:textId="76E25326" w:rsidR="00B0399A" w:rsidRPr="00B0399A" w:rsidRDefault="00B0399A" w:rsidP="00B0399A">
      <w:pPr>
        <w:numPr>
          <w:ilvl w:val="0"/>
          <w:numId w:val="5"/>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14:ligatures w14:val="none"/>
        </w:rPr>
        <w:t>Identifying high</w:t>
      </w:r>
      <w:r w:rsidRPr="00B0399A">
        <w:rPr>
          <w:rFonts w:ascii="Calibri" w:eastAsia="Times New Roman" w:hAnsi="Calibri" w:cs="Calibri"/>
          <w:b/>
          <w:bCs/>
          <w:kern w:val="0"/>
          <w14:ligatures w14:val="none"/>
        </w:rPr>
        <w:noBreakHyphen/>
        <w:t>value components</w:t>
      </w:r>
      <w:r w:rsidRPr="00B0399A">
        <w:rPr>
          <w:rFonts w:ascii="Calibri" w:eastAsia="Times New Roman" w:hAnsi="Calibri" w:cs="Calibri"/>
          <w:kern w:val="0"/>
          <w14:ligatures w14:val="none"/>
        </w:rPr>
        <w:t xml:space="preserve"> </w:t>
      </w:r>
      <w:r w:rsidRPr="00B0399A">
        <w:rPr>
          <w:rFonts w:ascii="Calibri" w:eastAsia="Times New Roman" w:hAnsi="Calibri" w:cs="Calibri"/>
          <w:kern w:val="0"/>
          <w14:ligatures w14:val="none"/>
        </w:rPr>
        <w:t>the</w:t>
      </w:r>
      <w:r w:rsidRPr="00B0399A">
        <w:rPr>
          <w:rFonts w:ascii="Calibri" w:eastAsia="Times New Roman" w:hAnsi="Calibri" w:cs="Calibri"/>
          <w:kern w:val="0"/>
          <w14:ligatures w14:val="none"/>
        </w:rPr>
        <w:t xml:space="preserve"> team focused first on areas that caused frequent issues or slowed development. These components were ideal candidates for replacement because improving them would yield immediate benefits.</w:t>
      </w:r>
    </w:p>
    <w:p w14:paraId="6D5AF885" w14:textId="77777777" w:rsidR="00B0399A" w:rsidRPr="00B0399A" w:rsidRDefault="00B0399A" w:rsidP="00B0399A">
      <w:pPr>
        <w:numPr>
          <w:ilvl w:val="0"/>
          <w:numId w:val="5"/>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14:ligatures w14:val="none"/>
        </w:rPr>
        <w:t>Creating a routing layer</w:t>
      </w:r>
      <w:r w:rsidRPr="00B0399A">
        <w:rPr>
          <w:rFonts w:ascii="Calibri" w:eastAsia="Times New Roman" w:hAnsi="Calibri" w:cs="Calibri"/>
          <w:kern w:val="0"/>
          <w14:ligatures w14:val="none"/>
        </w:rPr>
        <w:t xml:space="preserve"> A routing mechanism allowed Blackboard to direct requests to either the monolith or new services. This ensured seamless integration and safe migration without breaking existing functionality.</w:t>
      </w:r>
    </w:p>
    <w:p w14:paraId="55FCFB0E" w14:textId="77777777" w:rsidR="00B0399A" w:rsidRPr="00B0399A" w:rsidRDefault="00B0399A" w:rsidP="00B0399A">
      <w:pPr>
        <w:numPr>
          <w:ilvl w:val="0"/>
          <w:numId w:val="5"/>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14:ligatures w14:val="none"/>
        </w:rPr>
        <w:t>Building new services externally</w:t>
      </w:r>
      <w:r w:rsidRPr="00B0399A">
        <w:rPr>
          <w:rFonts w:ascii="Calibri" w:eastAsia="Times New Roman" w:hAnsi="Calibri" w:cs="Calibri"/>
          <w:kern w:val="0"/>
          <w14:ligatures w14:val="none"/>
        </w:rPr>
        <w:t xml:space="preserve"> Instead of modifying the monolith directly, new microservices were developed independently using modern frameworks, cleaner interfaces, and best architectural practices.</w:t>
      </w:r>
    </w:p>
    <w:p w14:paraId="653821EC" w14:textId="77777777" w:rsidR="00B0399A" w:rsidRPr="00B0399A" w:rsidRDefault="00B0399A" w:rsidP="00B0399A">
      <w:pPr>
        <w:numPr>
          <w:ilvl w:val="0"/>
          <w:numId w:val="5"/>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14:ligatures w14:val="none"/>
        </w:rPr>
        <w:t>Incremental migration of functionality</w:t>
      </w:r>
      <w:r w:rsidRPr="00B0399A">
        <w:rPr>
          <w:rFonts w:ascii="Calibri" w:eastAsia="Times New Roman" w:hAnsi="Calibri" w:cs="Calibri"/>
          <w:kern w:val="0"/>
          <w14:ligatures w14:val="none"/>
        </w:rPr>
        <w:t xml:space="preserve"> </w:t>
      </w:r>
      <w:proofErr w:type="gramStart"/>
      <w:r w:rsidRPr="00B0399A">
        <w:rPr>
          <w:rFonts w:ascii="Calibri" w:eastAsia="Times New Roman" w:hAnsi="Calibri" w:cs="Calibri"/>
          <w:kern w:val="0"/>
          <w14:ligatures w14:val="none"/>
        </w:rPr>
        <w:t>As</w:t>
      </w:r>
      <w:proofErr w:type="gramEnd"/>
      <w:r w:rsidRPr="00B0399A">
        <w:rPr>
          <w:rFonts w:ascii="Calibri" w:eastAsia="Times New Roman" w:hAnsi="Calibri" w:cs="Calibri"/>
          <w:kern w:val="0"/>
          <w14:ligatures w14:val="none"/>
        </w:rPr>
        <w:t xml:space="preserve"> new services became stable, traffic was shifted from legacy components to modern ones. This gradual transition reduced risk and allowed issues to be detected early.</w:t>
      </w:r>
    </w:p>
    <w:p w14:paraId="357A52C5" w14:textId="77777777" w:rsidR="00B0399A" w:rsidRPr="00B0399A" w:rsidRDefault="00B0399A" w:rsidP="00B0399A">
      <w:pPr>
        <w:numPr>
          <w:ilvl w:val="0"/>
          <w:numId w:val="5"/>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14:ligatures w14:val="none"/>
        </w:rPr>
        <w:t>Continuous testing and monitoring</w:t>
      </w:r>
      <w:r w:rsidRPr="00B0399A">
        <w:rPr>
          <w:rFonts w:ascii="Calibri" w:eastAsia="Times New Roman" w:hAnsi="Calibri" w:cs="Calibri"/>
          <w:kern w:val="0"/>
          <w14:ligatures w14:val="none"/>
        </w:rPr>
        <w:t xml:space="preserve"> Each new service was tested in production</w:t>
      </w:r>
      <w:r w:rsidRPr="00B0399A">
        <w:rPr>
          <w:rFonts w:ascii="Calibri" w:eastAsia="Times New Roman" w:hAnsi="Calibri" w:cs="Calibri"/>
          <w:kern w:val="0"/>
          <w14:ligatures w14:val="none"/>
        </w:rPr>
        <w:noBreakHyphen/>
        <w:t>like environments and monitored closely to ensure reliability. Strong observability helped detect problems quickly.</w:t>
      </w:r>
    </w:p>
    <w:p w14:paraId="30C628F5" w14:textId="77777777" w:rsidR="00B0399A" w:rsidRPr="00B0399A" w:rsidRDefault="00B0399A" w:rsidP="00B0399A">
      <w:pPr>
        <w:numPr>
          <w:ilvl w:val="0"/>
          <w:numId w:val="5"/>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14:ligatures w14:val="none"/>
        </w:rPr>
        <w:t>Gradual deprecation of legacy code</w:t>
      </w:r>
      <w:r w:rsidRPr="00B0399A">
        <w:rPr>
          <w:rFonts w:ascii="Calibri" w:eastAsia="Times New Roman" w:hAnsi="Calibri" w:cs="Calibri"/>
          <w:kern w:val="0"/>
          <w14:ligatures w14:val="none"/>
        </w:rPr>
        <w:t xml:space="preserve"> Once a component was fully replaced, the old code was removed, reducing technical debt and simplifying future development.</w:t>
      </w:r>
    </w:p>
    <w:p w14:paraId="33A9F505" w14:textId="77777777" w:rsid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This incremental approach allowed Blackboard to modernize without shutting down the system or performing risky large</w:t>
      </w:r>
      <w:r w:rsidRPr="00B0399A">
        <w:rPr>
          <w:rFonts w:ascii="Calibri" w:eastAsia="Times New Roman" w:hAnsi="Calibri" w:cs="Calibri"/>
          <w:kern w:val="0"/>
          <w14:ligatures w14:val="none"/>
        </w:rPr>
        <w:noBreakHyphen/>
        <w:t>scale deployments. It also enabled the engineering team to adopt DevOps practices such as continuous integration, continuous delivery, automated testing, and observability.</w:t>
      </w:r>
    </w:p>
    <w:p w14:paraId="44EE5C30" w14:textId="265F5E1B"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sz w:val="36"/>
          <w:szCs w:val="36"/>
          <w14:ligatures w14:val="none"/>
        </w:rPr>
        <w:t>DevOps Application, Lessons Learned, and Student Takeaways</w:t>
      </w:r>
    </w:p>
    <w:p w14:paraId="26530DFF" w14:textId="77777777" w:rsid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The Strangler Pattern is not just an architectural strategy; it is fundamentally a DevOps strategy. It embodies the principles of continuous delivery, small batch sizes, rapid feedback, and safe experimentation. Blackboard’s experience demonstrates how DevOps practices enable large organizations to modernize legacy systems effectively while maintaining operational stability.</w:t>
      </w:r>
    </w:p>
    <w:p w14:paraId="25FFE864" w14:textId="2546C07C"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sz w:val="27"/>
          <w:szCs w:val="27"/>
          <w14:ligatures w14:val="none"/>
        </w:rPr>
        <w:t>How the Strangler Pattern applies in DevOps and software development:</w:t>
      </w:r>
    </w:p>
    <w:p w14:paraId="658318D8" w14:textId="77777777"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Supports microservices adoption by enabling gradual migration from monoliths to modular services.</w:t>
      </w:r>
    </w:p>
    <w:p w14:paraId="715D1279" w14:textId="77777777"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Enables continuous delivery because new components can be deployed independently.</w:t>
      </w:r>
    </w:p>
    <w:p w14:paraId="1A9A9D67" w14:textId="77777777"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Reduces deployment risk through small, reversible changes.</w:t>
      </w:r>
    </w:p>
    <w:p w14:paraId="38952C32" w14:textId="77777777"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Improves observability by requiring strong monitoring and logging for new services.</w:t>
      </w:r>
    </w:p>
    <w:p w14:paraId="4DCD4158" w14:textId="77777777"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Encourages automation in testing, deployment, and routing.</w:t>
      </w:r>
    </w:p>
    <w:p w14:paraId="5650BC3C" w14:textId="77777777"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Supports progressive delivery through routing rules, feature flags, and canary releases.</w:t>
      </w:r>
    </w:p>
    <w:p w14:paraId="72523FE2" w14:textId="77777777"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Aligns with infrastructure</w:t>
      </w:r>
      <w:r w:rsidRPr="00B0399A">
        <w:rPr>
          <w:rFonts w:ascii="Calibri" w:eastAsia="Times New Roman" w:hAnsi="Calibri" w:cs="Calibri"/>
          <w:kern w:val="0"/>
          <w14:ligatures w14:val="none"/>
        </w:rPr>
        <w:noBreakHyphen/>
        <w:t>as</w:t>
      </w:r>
      <w:r w:rsidRPr="00B0399A">
        <w:rPr>
          <w:rFonts w:ascii="Calibri" w:eastAsia="Times New Roman" w:hAnsi="Calibri" w:cs="Calibri"/>
          <w:kern w:val="0"/>
          <w14:ligatures w14:val="none"/>
        </w:rPr>
        <w:noBreakHyphen/>
        <w:t>code by enabling repeatable environment updates.</w:t>
      </w:r>
    </w:p>
    <w:p w14:paraId="5869A521" w14:textId="77777777"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Improves collaboration between product, development, and operations teams.</w:t>
      </w:r>
    </w:p>
    <w:p w14:paraId="67F0CFB5" w14:textId="7FC37A21" w:rsidR="00B0399A" w:rsidRP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Enhance</w:t>
      </w:r>
      <w:r w:rsidRPr="00B0399A">
        <w:rPr>
          <w:rFonts w:ascii="Calibri" w:eastAsia="Times New Roman" w:hAnsi="Calibri" w:cs="Calibri"/>
          <w:kern w:val="0"/>
          <w14:ligatures w14:val="none"/>
        </w:rPr>
        <w:t xml:space="preserve"> scalability by allowing independent scaling of new services.</w:t>
      </w:r>
    </w:p>
    <w:p w14:paraId="47F54591" w14:textId="77777777" w:rsidR="00B0399A" w:rsidRDefault="00B0399A" w:rsidP="00B0399A">
      <w:pPr>
        <w:numPr>
          <w:ilvl w:val="0"/>
          <w:numId w:val="6"/>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Strengthens reliability through isolation of failures and faster recovery.</w:t>
      </w:r>
    </w:p>
    <w:p w14:paraId="40BD8FC6" w14:textId="5E1432FF"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sz w:val="27"/>
          <w:szCs w:val="27"/>
          <w14:ligatures w14:val="none"/>
        </w:rPr>
        <w:t>Important lessons learned from the case study:</w:t>
      </w:r>
    </w:p>
    <w:p w14:paraId="43417ED7"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Modernization must be incremental; big</w:t>
      </w:r>
      <w:r w:rsidRPr="00B0399A">
        <w:rPr>
          <w:rFonts w:ascii="Calibri" w:eastAsia="Times New Roman" w:hAnsi="Calibri" w:cs="Calibri"/>
          <w:kern w:val="0"/>
          <w14:ligatures w14:val="none"/>
        </w:rPr>
        <w:noBreakHyphen/>
        <w:t>bang rewrites are risky and often fail.</w:t>
      </w:r>
    </w:p>
    <w:p w14:paraId="42ABC4C3"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Routing logic is critical for safely directing traffic between old and new components.</w:t>
      </w:r>
    </w:p>
    <w:p w14:paraId="52A851B1"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Observability is essential; new services must be monitored closely.</w:t>
      </w:r>
    </w:p>
    <w:p w14:paraId="1E52DFE0"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Automation is mandatory; manual testing slows progress and increases risk.</w:t>
      </w:r>
    </w:p>
    <w:p w14:paraId="6C634F6B"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Technical debt must be removed once components are replaced.</w:t>
      </w:r>
    </w:p>
    <w:p w14:paraId="38EA9ACE"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Clear boundaries between components prevent confusion and rework.</w:t>
      </w:r>
    </w:p>
    <w:p w14:paraId="1B41B013"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DevOps culture is necessary; collaboration and shared ownership drive success.</w:t>
      </w:r>
    </w:p>
    <w:p w14:paraId="420C7735"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Small batch sizes reduce risk and accelerate feedback.</w:t>
      </w:r>
    </w:p>
    <w:p w14:paraId="73460FD5"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Rollback mechanisms must be reliable to ensure safe deployments.</w:t>
      </w:r>
    </w:p>
    <w:p w14:paraId="61DA4794" w14:textId="77777777" w:rsidR="00B0399A" w:rsidRPr="00B0399A" w:rsidRDefault="00B0399A" w:rsidP="00B0399A">
      <w:pPr>
        <w:numPr>
          <w:ilvl w:val="0"/>
          <w:numId w:val="7"/>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Patience and discipline are required; modernization is a long</w:t>
      </w:r>
      <w:r w:rsidRPr="00B0399A">
        <w:rPr>
          <w:rFonts w:ascii="Calibri" w:eastAsia="Times New Roman" w:hAnsi="Calibri" w:cs="Calibri"/>
          <w:kern w:val="0"/>
          <w14:ligatures w14:val="none"/>
        </w:rPr>
        <w:noBreakHyphen/>
        <w:t>term investment.</w:t>
      </w:r>
    </w:p>
    <w:p w14:paraId="145A68A9" w14:textId="77777777" w:rsid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 xml:space="preserve">These lessons help students </w:t>
      </w:r>
      <w:r>
        <w:rPr>
          <w:rFonts w:ascii="Calibri" w:eastAsia="Times New Roman" w:hAnsi="Calibri" w:cs="Calibri"/>
          <w:kern w:val="0"/>
          <w14:ligatures w14:val="none"/>
        </w:rPr>
        <w:t xml:space="preserve">to </w:t>
      </w:r>
      <w:r w:rsidRPr="00B0399A">
        <w:rPr>
          <w:rFonts w:ascii="Calibri" w:eastAsia="Times New Roman" w:hAnsi="Calibri" w:cs="Calibri"/>
          <w:kern w:val="0"/>
          <w14:ligatures w14:val="none"/>
        </w:rPr>
        <w:t>understand how DevOps principles apply not only to new systems but also to large, aging enterprise applications. They demonstrate that modernization is both a technical and cultural challenge requiring alignment across teams.</w:t>
      </w:r>
    </w:p>
    <w:p w14:paraId="1DD6D46E" w14:textId="47474622"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sz w:val="36"/>
          <w:szCs w:val="36"/>
          <w14:ligatures w14:val="none"/>
        </w:rPr>
        <w:t>Real</w:t>
      </w:r>
      <w:r w:rsidRPr="00B0399A">
        <w:rPr>
          <w:rFonts w:ascii="Calibri" w:eastAsia="Times New Roman" w:hAnsi="Calibri" w:cs="Calibri"/>
          <w:b/>
          <w:bCs/>
          <w:kern w:val="0"/>
          <w:sz w:val="36"/>
          <w:szCs w:val="36"/>
          <w14:ligatures w14:val="none"/>
        </w:rPr>
        <w:noBreakHyphen/>
        <w:t>World DevOps Application and Practical Value</w:t>
      </w:r>
    </w:p>
    <w:p w14:paraId="08EE7FFA" w14:textId="77777777" w:rsid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The Strangler Pattern provides several practical insights for real</w:t>
      </w:r>
      <w:r w:rsidRPr="00B0399A">
        <w:rPr>
          <w:rFonts w:ascii="Calibri" w:eastAsia="Times New Roman" w:hAnsi="Calibri" w:cs="Calibri"/>
          <w:kern w:val="0"/>
          <w14:ligatures w14:val="none"/>
        </w:rPr>
        <w:noBreakHyphen/>
        <w:t>world DevOps work. Organizations often struggle with legacy systems that slow development, increase risk, and hinder innovation. This pattern offers a proven method for evolving such systems safely and predictably.</w:t>
      </w:r>
    </w:p>
    <w:p w14:paraId="01E73311" w14:textId="1F6F391B"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sz w:val="27"/>
          <w:szCs w:val="27"/>
          <w14:ligatures w14:val="none"/>
        </w:rPr>
        <w:t>Key points from the Blackboard case study helpful for real</w:t>
      </w:r>
      <w:r w:rsidRPr="00B0399A">
        <w:rPr>
          <w:rFonts w:ascii="Calibri" w:eastAsia="Times New Roman" w:hAnsi="Calibri" w:cs="Calibri"/>
          <w:b/>
          <w:bCs/>
          <w:kern w:val="0"/>
          <w:sz w:val="27"/>
          <w:szCs w:val="27"/>
          <w14:ligatures w14:val="none"/>
        </w:rPr>
        <w:noBreakHyphen/>
        <w:t>world DevOps practice:</w:t>
      </w:r>
    </w:p>
    <w:p w14:paraId="1D9EB4AC"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Modernize without downtime by replacing components gradually.</w:t>
      </w:r>
    </w:p>
    <w:p w14:paraId="6C85E561"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Introduce microservices safely instead of migrating everything at once.</w:t>
      </w:r>
    </w:p>
    <w:p w14:paraId="67BDA23D"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Use feature flags and routing layers to control exposure of new functionality.</w:t>
      </w:r>
    </w:p>
    <w:p w14:paraId="7105DC7E"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Adopt canary releases to test new services with small user groups.</w:t>
      </w:r>
    </w:p>
    <w:p w14:paraId="08E8C1EA"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Strengthen CI/CD pipelines to support frequent, safe deployments.</w:t>
      </w:r>
    </w:p>
    <w:p w14:paraId="6463F676"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Implement strong observability to detect issues early and maintain reliability.</w:t>
      </w:r>
    </w:p>
    <w:p w14:paraId="69F2FF81"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Use infrastructure</w:t>
      </w:r>
      <w:r w:rsidRPr="00B0399A">
        <w:rPr>
          <w:rFonts w:ascii="Calibri" w:eastAsia="Times New Roman" w:hAnsi="Calibri" w:cs="Calibri"/>
          <w:kern w:val="0"/>
          <w14:ligatures w14:val="none"/>
        </w:rPr>
        <w:noBreakHyphen/>
        <w:t>as</w:t>
      </w:r>
      <w:r w:rsidRPr="00B0399A">
        <w:rPr>
          <w:rFonts w:ascii="Calibri" w:eastAsia="Times New Roman" w:hAnsi="Calibri" w:cs="Calibri"/>
          <w:kern w:val="0"/>
          <w14:ligatures w14:val="none"/>
        </w:rPr>
        <w:noBreakHyphen/>
        <w:t>code to ensure consistent environments.</w:t>
      </w:r>
    </w:p>
    <w:p w14:paraId="2A40F49F"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Apply progressive delivery to reduce risk during rollout.</w:t>
      </w:r>
    </w:p>
    <w:p w14:paraId="18F53BCD"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Remove legacy code promptly to reduce complexity.</w:t>
      </w:r>
    </w:p>
    <w:p w14:paraId="1303D841" w14:textId="77777777" w:rsidR="00B0399A" w:rsidRPr="00B0399A" w:rsidRDefault="00B0399A" w:rsidP="00B0399A">
      <w:pPr>
        <w:numPr>
          <w:ilvl w:val="0"/>
          <w:numId w:val="8"/>
        </w:num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Promote cross</w:t>
      </w:r>
      <w:r w:rsidRPr="00B0399A">
        <w:rPr>
          <w:rFonts w:ascii="Calibri" w:eastAsia="Times New Roman" w:hAnsi="Calibri" w:cs="Calibri"/>
          <w:kern w:val="0"/>
          <w14:ligatures w14:val="none"/>
        </w:rPr>
        <w:noBreakHyphen/>
        <w:t>team collaboration to ensure alignment and shared ownership.</w:t>
      </w:r>
    </w:p>
    <w:p w14:paraId="15B5BA0E" w14:textId="77777777" w:rsid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The Strangler Pattern teaches that modernization is not only a technical challenge but also a cultural one. DevOps practices—automation, collaboration, continuous improvement—are essential for success. The case study shows that even massive enterprise systems can evolve safely when DevOps principles are applied consistently</w:t>
      </w:r>
    </w:p>
    <w:p w14:paraId="34E6F89B" w14:textId="456A2FBA"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b/>
          <w:bCs/>
          <w:kern w:val="0"/>
          <w:sz w:val="36"/>
          <w:szCs w:val="36"/>
          <w14:ligatures w14:val="none"/>
        </w:rPr>
        <w:t>Conclusion</w:t>
      </w:r>
    </w:p>
    <w:p w14:paraId="1BDC130D" w14:textId="77777777" w:rsidR="00B0399A" w:rsidRPr="00B0399A" w:rsidRDefault="00B0399A" w:rsidP="00B0399A">
      <w:pPr>
        <w:spacing w:before="100" w:beforeAutospacing="1" w:after="100" w:afterAutospacing="1" w:line="240" w:lineRule="auto"/>
        <w:rPr>
          <w:rFonts w:ascii="Calibri" w:eastAsia="Times New Roman" w:hAnsi="Calibri" w:cs="Calibri"/>
          <w:kern w:val="0"/>
          <w14:ligatures w14:val="none"/>
        </w:rPr>
      </w:pPr>
      <w:r w:rsidRPr="00B0399A">
        <w:rPr>
          <w:rFonts w:ascii="Calibri" w:eastAsia="Times New Roman" w:hAnsi="Calibri" w:cs="Calibri"/>
          <w:kern w:val="0"/>
          <w14:ligatures w14:val="none"/>
        </w:rPr>
        <w:t>The Strangler Pattern at Blackboard Learn (2011) is a powerful example of how DevOps enables safe architectural evolution. It demonstrates that modernization can be achieved incrementally, without disrupting users or risking system stability. The case study provides valuable lessons for DevOps students and practitioners, showing how small batch sizes, automation, observability, and continuous delivery support long</w:t>
      </w:r>
      <w:r w:rsidRPr="00B0399A">
        <w:rPr>
          <w:rFonts w:ascii="Calibri" w:eastAsia="Times New Roman" w:hAnsi="Calibri" w:cs="Calibri"/>
          <w:kern w:val="0"/>
          <w14:ligatures w14:val="none"/>
        </w:rPr>
        <w:noBreakHyphen/>
        <w:t>term architectural transformation. It remains one of the most practical and widely applicable patterns for modernizing legacy systems in real</w:t>
      </w:r>
      <w:r w:rsidRPr="00B0399A">
        <w:rPr>
          <w:rFonts w:ascii="Calibri" w:eastAsia="Times New Roman" w:hAnsi="Calibri" w:cs="Calibri"/>
          <w:kern w:val="0"/>
          <w14:ligatures w14:val="none"/>
        </w:rPr>
        <w:noBreakHyphen/>
        <w:t>world DevOps environments.</w:t>
      </w:r>
    </w:p>
    <w:p w14:paraId="4F58BEEE" w14:textId="77777777" w:rsidR="00B0399A" w:rsidRPr="00B0399A" w:rsidRDefault="00B0399A" w:rsidP="00B0399A">
      <w:pPr>
        <w:rPr>
          <w:rFonts w:ascii="Calibri" w:hAnsi="Calibri" w:cs="Calibri"/>
        </w:rPr>
      </w:pPr>
    </w:p>
    <w:p w14:paraId="1FC24F33" w14:textId="77777777" w:rsidR="00EF6F7C" w:rsidRPr="00B0399A" w:rsidRDefault="00EF6F7C">
      <w:pPr>
        <w:rPr>
          <w:rFonts w:ascii="Calibri" w:hAnsi="Calibri" w:cs="Calibri"/>
        </w:rPr>
      </w:pPr>
    </w:p>
    <w:sectPr w:rsidR="00EF6F7C" w:rsidRPr="00B03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2FA"/>
    <w:multiLevelType w:val="multilevel"/>
    <w:tmpl w:val="4AC6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457CA"/>
    <w:multiLevelType w:val="multilevel"/>
    <w:tmpl w:val="781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30FD6"/>
    <w:multiLevelType w:val="multilevel"/>
    <w:tmpl w:val="7E6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F04D3"/>
    <w:multiLevelType w:val="multilevel"/>
    <w:tmpl w:val="A98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74916"/>
    <w:multiLevelType w:val="multilevel"/>
    <w:tmpl w:val="23B0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F220C"/>
    <w:multiLevelType w:val="multilevel"/>
    <w:tmpl w:val="A286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052828"/>
    <w:multiLevelType w:val="multilevel"/>
    <w:tmpl w:val="A734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BF7F21"/>
    <w:multiLevelType w:val="multilevel"/>
    <w:tmpl w:val="C4CA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894770">
    <w:abstractNumId w:val="5"/>
  </w:num>
  <w:num w:numId="2" w16cid:durableId="510798425">
    <w:abstractNumId w:val="3"/>
  </w:num>
  <w:num w:numId="3" w16cid:durableId="1566914561">
    <w:abstractNumId w:val="6"/>
  </w:num>
  <w:num w:numId="4" w16cid:durableId="718478209">
    <w:abstractNumId w:val="4"/>
  </w:num>
  <w:num w:numId="5" w16cid:durableId="120464486">
    <w:abstractNumId w:val="7"/>
  </w:num>
  <w:num w:numId="6" w16cid:durableId="1823158995">
    <w:abstractNumId w:val="2"/>
  </w:num>
  <w:num w:numId="7" w16cid:durableId="1714695544">
    <w:abstractNumId w:val="0"/>
  </w:num>
  <w:num w:numId="8" w16cid:durableId="737479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F7C"/>
    <w:rsid w:val="001C3CFA"/>
    <w:rsid w:val="002626BB"/>
    <w:rsid w:val="00516A59"/>
    <w:rsid w:val="00B0399A"/>
    <w:rsid w:val="00C25182"/>
    <w:rsid w:val="00EF6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FC33"/>
  <w15:chartTrackingRefBased/>
  <w15:docId w15:val="{0DA10D95-2214-44F7-835A-0F7977BD6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F7C"/>
    <w:rPr>
      <w:rFonts w:eastAsiaTheme="majorEastAsia" w:cstheme="majorBidi"/>
      <w:color w:val="272727" w:themeColor="text1" w:themeTint="D8"/>
    </w:rPr>
  </w:style>
  <w:style w:type="paragraph" w:styleId="Title">
    <w:name w:val="Title"/>
    <w:basedOn w:val="Normal"/>
    <w:next w:val="Normal"/>
    <w:link w:val="TitleChar"/>
    <w:uiPriority w:val="10"/>
    <w:qFormat/>
    <w:rsid w:val="00EF6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F7C"/>
    <w:pPr>
      <w:spacing w:before="160"/>
      <w:jc w:val="center"/>
    </w:pPr>
    <w:rPr>
      <w:i/>
      <w:iCs/>
      <w:color w:val="404040" w:themeColor="text1" w:themeTint="BF"/>
    </w:rPr>
  </w:style>
  <w:style w:type="character" w:customStyle="1" w:styleId="QuoteChar">
    <w:name w:val="Quote Char"/>
    <w:basedOn w:val="DefaultParagraphFont"/>
    <w:link w:val="Quote"/>
    <w:uiPriority w:val="29"/>
    <w:rsid w:val="00EF6F7C"/>
    <w:rPr>
      <w:i/>
      <w:iCs/>
      <w:color w:val="404040" w:themeColor="text1" w:themeTint="BF"/>
    </w:rPr>
  </w:style>
  <w:style w:type="paragraph" w:styleId="ListParagraph">
    <w:name w:val="List Paragraph"/>
    <w:basedOn w:val="Normal"/>
    <w:uiPriority w:val="34"/>
    <w:qFormat/>
    <w:rsid w:val="00EF6F7C"/>
    <w:pPr>
      <w:ind w:left="720"/>
      <w:contextualSpacing/>
    </w:pPr>
  </w:style>
  <w:style w:type="character" w:styleId="IntenseEmphasis">
    <w:name w:val="Intense Emphasis"/>
    <w:basedOn w:val="DefaultParagraphFont"/>
    <w:uiPriority w:val="21"/>
    <w:qFormat/>
    <w:rsid w:val="00EF6F7C"/>
    <w:rPr>
      <w:i/>
      <w:iCs/>
      <w:color w:val="0F4761" w:themeColor="accent1" w:themeShade="BF"/>
    </w:rPr>
  </w:style>
  <w:style w:type="paragraph" w:styleId="IntenseQuote">
    <w:name w:val="Intense Quote"/>
    <w:basedOn w:val="Normal"/>
    <w:next w:val="Normal"/>
    <w:link w:val="IntenseQuoteChar"/>
    <w:uiPriority w:val="30"/>
    <w:qFormat/>
    <w:rsid w:val="00EF6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F7C"/>
    <w:rPr>
      <w:i/>
      <w:iCs/>
      <w:color w:val="0F4761" w:themeColor="accent1" w:themeShade="BF"/>
    </w:rPr>
  </w:style>
  <w:style w:type="character" w:styleId="IntenseReference">
    <w:name w:val="Intense Reference"/>
    <w:basedOn w:val="DefaultParagraphFont"/>
    <w:uiPriority w:val="32"/>
    <w:qFormat/>
    <w:rsid w:val="00EF6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71348-3959-425D-A23F-BF8DDC90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1331</Words>
  <Characters>7592</Characters>
  <Application>Microsoft Office Word</Application>
  <DocSecurity>0</DocSecurity>
  <Lines>63</Lines>
  <Paragraphs>17</Paragraphs>
  <ScaleCrop>false</ScaleCrop>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Girma Dingeto</dc:creator>
  <cp:keywords/>
  <dc:description/>
  <cp:lastModifiedBy>Girma Dingeto</cp:lastModifiedBy>
  <cp:revision>5</cp:revision>
  <cp:lastPrinted>2026-09-13T13:36:00Z</cp:lastPrinted>
  <dcterms:created xsi:type="dcterms:W3CDTF">2026-09-13T12:38:00Z</dcterms:created>
  <dcterms:modified xsi:type="dcterms:W3CDTF">2026-09-13T13:40:00Z</dcterms:modified>
</cp:coreProperties>
</file>