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80"/>
      </w:pPr>
      <w:r>
        <w:rPr>
          <w:rFonts w:ascii="Aptos" w:hAnsi="Aptos"/>
          <w:b/>
          <w:i w:val="0"/>
          <w:color w:val="3B99D4"/>
          <w:sz w:val="20"/>
        </w:rPr>
        <w:t>ANNEX A</w:t>
      </w:r>
    </w:p>
    <w:p>
      <w:pPr>
        <w:spacing w:after="100"/>
      </w:pPr>
      <w:r>
        <w:rPr>
          <w:rFonts w:ascii="Aptos" w:hAnsi="Aptos"/>
          <w:b/>
          <w:i w:val="0"/>
          <w:color w:val="0F8F8C"/>
          <w:sz w:val="26"/>
        </w:rPr>
        <w:t>Applying the Human Rights-Based Approach in CSO Practice</w:t>
      </w:r>
    </w:p>
    <w:p>
      <w:pPr>
        <w:spacing w:after="240"/>
      </w:pPr>
      <w:r>
        <w:rPr>
          <w:rFonts w:ascii="Aptos Display" w:hAnsi="Aptos Display"/>
          <w:b/>
          <w:i w:val="0"/>
          <w:color w:val="0F172A"/>
          <w:sz w:val="50"/>
        </w:rPr>
        <w:t>Capacity-to-Action Needs Analysis</w:t>
        <w:br/>
        <w:t>and Course Design Framework</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91C852"/>
              <w:bottom w:val="single" w:sz="4" w:color="D8E6EA"/>
              <w:right w:val="single" w:sz="4" w:color="D8E6EA"/>
            </w:tcBorders>
          </w:tcPr>
          <w:p>
            <w:pPr>
              <w:spacing w:after="0"/>
            </w:pPr>
            <w:r>
              <w:rPr>
                <w:rFonts w:ascii="Aptos" w:hAnsi="Aptos"/>
                <w:b/>
                <w:i w:val="0"/>
                <w:color w:val="0F172A"/>
                <w:sz w:val="20"/>
              </w:rPr>
              <w:t>Purpose of this annex</w:t>
              <w:br/>
            </w:r>
            <w:r>
              <w:rPr>
                <w:rFonts w:ascii="Aptos" w:hAnsi="Aptos"/>
                <w:b w:val="0"/>
                <w:i w:val="0"/>
                <w:color w:val="111827"/>
                <w:sz w:val="19"/>
              </w:rPr>
              <w:t>Provide the HRBA course-design and capacity-development reference for the DEC internal pilot and subsequent selected-CSO validation. It explains the practical CSO capacity need the course is intended to address, the actions learners should be able to take, the learning design used to build those actions, the boundaries of the course, and the evidence the pilot should examine.</w:t>
            </w:r>
          </w:p>
        </w:tc>
      </w:tr>
    </w:tbl>
    <w:p>
      <w:pPr>
        <w:spacing w:after="20"/>
      </w:pPr>
    </w:p>
    <w:p>
      <w:pPr>
        <w:spacing w:before="240"/>
      </w:pPr>
      <w:r>
        <w:rPr>
          <w:rFonts w:ascii="Aptos" w:hAnsi="Aptos"/>
          <w:b/>
          <w:i w:val="0"/>
          <w:color w:val="0F172A"/>
          <w:sz w:val="21"/>
        </w:rPr>
        <w:t>Development Expertise Center (DEC)</w:t>
        <w:br/>
      </w:r>
      <w:r>
        <w:rPr>
          <w:rFonts w:ascii="Aptos" w:hAnsi="Aptos"/>
          <w:b w:val="0"/>
          <w:i w:val="0"/>
          <w:color w:val="111827"/>
          <w:sz w:val="19"/>
        </w:rPr>
        <w:t>Capacity Development Program for Local and Grassroots Civil Society Organisations</w:t>
        <w:br/>
      </w:r>
      <w:r>
        <w:rPr>
          <w:rFonts w:ascii="Aptos" w:hAnsi="Aptos"/>
          <w:b w:val="0"/>
          <w:i w:val="0"/>
          <w:color w:val="111827"/>
          <w:sz w:val="18"/>
        </w:rPr>
        <w:t>EU Civil Society Fund Plus (CSF+)  |  DEC and programme partners</w:t>
        <w:br/>
      </w:r>
      <w:r>
        <w:rPr>
          <w:rFonts w:ascii="Aptos" w:hAnsi="Aptos"/>
          <w:b w:val="0"/>
          <w:i w:val="0"/>
          <w:color w:val="475569"/>
          <w:sz w:val="18"/>
        </w:rPr>
        <w:t>August 2026</w:t>
      </w:r>
    </w:p>
    <w:tbl>
      <w:tblPr>
        <w:tblW w:type="auto" w:w="0"/>
        <w:jc w:val="left"/>
        <w:tblLook w:firstColumn="1" w:firstRow="1" w:lastColumn="0" w:lastRow="0" w:noHBand="0" w:noVBand="1" w:val="04A0"/>
      </w:tblPr>
      <w:tblGrid>
        <w:gridCol w:w="2466"/>
        <w:gridCol w:w="2466"/>
        <w:gridCol w:w="2466"/>
        <w:gridCol w:w="2466"/>
      </w:tblGrid>
      <w:tr>
        <w:trPr>
          <w:cantSplit/>
        </w:trPr>
        <w:tc>
          <w:tcPr>
            <w:tcW w:type="dxa" w:w="2268"/>
            <w:shd w:fill="0F172A"/>
          </w:tcPr>
          <w:p>
            <w:r/>
          </w:p>
        </w:tc>
        <w:tc>
          <w:tcPr>
            <w:tcW w:type="dxa" w:w="2268"/>
            <w:shd w:fill="3B99D4"/>
          </w:tcPr>
          <w:p>
            <w:r/>
          </w:p>
        </w:tc>
        <w:tc>
          <w:tcPr>
            <w:tcW w:type="dxa" w:w="2268"/>
            <w:shd w:fill="0F8F8C"/>
          </w:tcPr>
          <w:p>
            <w:r/>
          </w:p>
        </w:tc>
        <w:tc>
          <w:tcPr>
            <w:tcW w:type="dxa" w:w="2268"/>
            <w:shd w:fill="91C852"/>
          </w:tcPr>
          <w:p>
            <w:r/>
          </w:p>
        </w:tc>
      </w:tr>
    </w:tbl>
    <w:p>
      <w:r>
        <w:br w:type="page"/>
      </w:r>
    </w:p>
    <w:p>
      <w:pPr>
        <w:pStyle w:val="Heading1"/>
        <w:keepNext/>
        <w:spacing w:before="160" w:after="80"/>
      </w:pPr>
      <w:r>
        <w:rPr>
          <w:rFonts w:ascii="Aptos Display" w:hAnsi="Aptos Display"/>
          <w:b/>
          <w:i w:val="0"/>
          <w:color w:val="0F172A"/>
          <w:sz w:val="31"/>
        </w:rPr>
        <w:t>Executive Summary</w:t>
      </w:r>
    </w:p>
    <w:p>
      <w:pPr>
        <w:spacing w:before="0" w:after="80" w:line="254" w:lineRule="auto"/>
      </w:pPr>
      <w:r>
        <w:rPr>
          <w:rFonts w:ascii="Aptos" w:hAnsi="Aptos"/>
          <w:b w:val="0"/>
          <w:i w:val="0"/>
          <w:color w:val="111827"/>
          <w:sz w:val="19"/>
        </w:rPr>
        <w:t>The HRBA e-learning course is designed as a practical capacity-development intervention. Its value should be assessed by whether it helps local and grassroots CSO practitioners recognise rights-based issues, make stronger project decisions, and connect those decisions to participation, inclusion, responsibility, accountability, risk management and evidence - not by how much HRBA terminology it presents.</w:t>
      </w:r>
    </w:p>
    <w:p>
      <w:pPr>
        <w:spacing w:before="0" w:after="80" w:line="254" w:lineRule="auto"/>
      </w:pPr>
      <w:r>
        <w:rPr>
          <w:rFonts w:ascii="Aptos" w:hAnsi="Aptos"/>
          <w:b w:val="0"/>
          <w:i w:val="0"/>
          <w:color w:val="111827"/>
          <w:sz w:val="19"/>
        </w:rPr>
        <w:t>The course uses a five-module pathway: orientation, HRBA foundations, project design, implementation and MEAL, followed by a final assessment. A continuing fictional Ethiopian case, practical activities, workspaces, explanatory feedback and applied decision points are used to move the learner from concepts toward practice. The strongest design logic appears in Modules 3-5, where learners increasingly diagnose a situation, choose an action, repair a design, manage implementation choices and use evidence to adapt.</w:t>
      </w:r>
    </w:p>
    <w:tbl>
      <w:tblPr>
        <w:tblW w:type="auto" w:w="0"/>
        <w:jc w:val="center"/>
        <w:tblLook w:firstColumn="1" w:firstRow="1" w:lastColumn="0" w:lastRow="0" w:noHBand="0" w:noVBand="1" w:val="04A0"/>
      </w:tblPr>
      <w:tblGrid>
        <w:gridCol w:w="9866"/>
      </w:tblGrid>
      <w:tr>
        <w:trPr>
          <w:cantSplit/>
        </w:trPr>
        <w:tc>
          <w:tcPr>
            <w:tcW w:type="dxa" w:w="9866"/>
            <w:shd w:fill="FFF4E5"/>
            <w:tcMar>
              <w:top w:w="105" w:type="dxa"/>
              <w:start w:w="125" w:type="dxa"/>
              <w:bottom w:w="105" w:type="dxa"/>
              <w:end w:w="125" w:type="dxa"/>
            </w:tcMar>
            <w:tcBorders>
              <w:top w:val="single" w:sz="4" w:color="D8E6EA"/>
              <w:left w:val="single" w:sz="18" w:color="F59E0B"/>
              <w:bottom w:val="single" w:sz="4" w:color="D8E6EA"/>
              <w:right w:val="single" w:sz="4" w:color="D8E6EA"/>
            </w:tcBorders>
          </w:tcPr>
          <w:p>
            <w:pPr>
              <w:spacing w:after="0"/>
            </w:pPr>
            <w:r>
              <w:rPr>
                <w:rFonts w:ascii="Aptos" w:hAnsi="Aptos"/>
                <w:b/>
                <w:i w:val="0"/>
                <w:color w:val="0F172A"/>
                <w:sz w:val="20"/>
              </w:rPr>
              <w:t>Course validation position</w:t>
              <w:br/>
            </w:r>
            <w:r>
              <w:rPr>
                <w:rFonts w:ascii="Aptos" w:hAnsi="Aptos"/>
                <w:b w:val="0"/>
                <w:i w:val="0"/>
                <w:color w:val="111827"/>
                <w:sz w:val="18"/>
              </w:rPr>
              <w:t>The course is a complete Phase One pilot learning product, but its exact content, activity design, wording and wider-release visual treatment remain subject to validation. The internal pilot should confirm whether the current design provides a credible foundation for the selected-CSO pilot; the selected-CSO pilot should then test relevance, usefulness and practical fit with intended learners.</w:t>
            </w:r>
          </w:p>
        </w:tc>
      </w:tr>
    </w:tbl>
    <w:p>
      <w:pPr>
        <w:spacing w:after="20"/>
      </w:pPr>
    </w:p>
    <w:p>
      <w:pPr>
        <w:spacing w:before="0" w:after="80" w:line="254" w:lineRule="auto"/>
      </w:pPr>
      <w:r>
        <w:rPr>
          <w:rFonts w:ascii="Aptos" w:hAnsi="Aptos"/>
          <w:b w:val="0"/>
          <w:i w:val="0"/>
          <w:color w:val="111827"/>
          <w:sz w:val="19"/>
        </w:rPr>
        <w:t>The core design chain is: real CSO capacity challenge -&gt; observable practice -&gt; realistic course activity -&gt; concise supporting information or job aid -&gt; workplace application -&gt; reflection and evidence -&gt; continued capacity support. The course should not be expected to solve organisational authority, budgets, connectivity, weak systems or sensitive external relationships on its own.</w:t>
      </w:r>
    </w:p>
    <w:p>
      <w:pPr>
        <w:pStyle w:val="Heading2"/>
        <w:keepNext/>
        <w:spacing w:before="100" w:after="80"/>
      </w:pPr>
      <w:r>
        <w:rPr>
          <w:rFonts w:ascii="Aptos Display" w:hAnsi="Aptos Display"/>
          <w:b/>
          <w:i w:val="0"/>
          <w:color w:val="0F172A"/>
          <w:sz w:val="24"/>
        </w:rPr>
        <w:t>At a Glance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7"/>
              </w:rPr>
              <w:t>Element</w:t>
            </w:r>
          </w:p>
        </w:tc>
        <w:tc>
          <w:tcPr>
            <w:tcW w:type="dxa" w:w="6917"/>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7"/>
              </w:rPr>
              <w:t>Design position</w:t>
            </w:r>
          </w:p>
        </w:tc>
      </w:tr>
      <w:tr>
        <w:trPr>
          <w:cantSplit/>
        </w:trPr>
        <w:tc>
          <w:tcPr>
            <w:tcW w:type="dxa" w:w="238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Capacity result</w:t>
            </w:r>
          </w:p>
        </w:tc>
        <w:tc>
          <w:tcPr>
            <w:tcW w:type="dxa" w:w="691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Local and grassroots CSOs make more inclusive, accountable, safe, context-sensitive and evidence-informed project decisions using HRBA.</w:t>
            </w:r>
          </w:p>
        </w:tc>
      </w:tr>
      <w:tr>
        <w:trPr>
          <w:cantSplit/>
        </w:trPr>
        <w:tc>
          <w:tcPr>
            <w:tcW w:type="dxa" w:w="238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Priority actions</w:t>
            </w:r>
          </w:p>
        </w:tc>
        <w:tc>
          <w:tcPr>
            <w:tcW w:type="dxa" w:w="691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Diagnose context and inequality; clarify rights and responsibilities; analyse power, participation and exclusion; repair project design; anticipate risk; implement responsibly; use MEAL evidence; review and adapt practice.</w:t>
            </w:r>
          </w:p>
        </w:tc>
      </w:tr>
      <w:tr>
        <w:trPr>
          <w:cantSplit/>
        </w:trPr>
        <w:tc>
          <w:tcPr>
            <w:tcW w:type="dxa" w:w="238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Course response</w:t>
            </w:r>
          </w:p>
        </w:tc>
        <w:tc>
          <w:tcPr>
            <w:tcW w:type="dxa" w:w="691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Five guided modules, a continuing fictional case, practical tools, decision activities, corrective feedback, portfolio-style outputs and an applied final assessment.</w:t>
            </w:r>
          </w:p>
        </w:tc>
      </w:tr>
      <w:tr>
        <w:trPr>
          <w:cantSplit/>
        </w:trPr>
        <w:tc>
          <w:tcPr>
            <w:tcW w:type="dxa" w:w="238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Main design strength</w:t>
            </w:r>
          </w:p>
        </w:tc>
        <w:tc>
          <w:tcPr>
            <w:tcW w:type="dxa" w:w="691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The course increasingly asks learners to recognise, decide, repair, adapt and account rather than only recall concepts.</w:t>
            </w:r>
          </w:p>
        </w:tc>
      </w:tr>
      <w:tr>
        <w:trPr>
          <w:cantSplit/>
        </w:trPr>
        <w:tc>
          <w:tcPr>
            <w:tcW w:type="dxa" w:w="238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Main validation question</w:t>
            </w:r>
          </w:p>
        </w:tc>
        <w:tc>
          <w:tcPr>
            <w:tcW w:type="dxa" w:w="691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Do the activities and feedback actually improve the quality of realistic CSO decisions, and can intended learners understand and use them under realistic conditions?</w:t>
            </w:r>
          </w:p>
        </w:tc>
      </w:tr>
      <w:tr>
        <w:trPr>
          <w:cantSplit/>
        </w:trPr>
        <w:tc>
          <w:tcPr>
            <w:tcW w:type="dxa" w:w="238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Main development opportunity</w:t>
            </w:r>
          </w:p>
        </w:tc>
        <w:tc>
          <w:tcPr>
            <w:tcW w:type="dxa" w:w="691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Connect course completion to reusable job aids and a small real-work application/follow-up after the pilot.</w:t>
            </w:r>
          </w:p>
        </w:tc>
      </w:tr>
    </w:tbl>
    <w:p>
      <w:pPr>
        <w:spacing w:after="20"/>
      </w:pPr>
    </w:p>
    <w:p>
      <w:pPr>
        <w:pStyle w:val="Heading1"/>
        <w:keepNext/>
        <w:spacing w:before="160" w:after="80"/>
      </w:pPr>
      <w:r>
        <w:rPr>
          <w:rFonts w:ascii="Aptos Display" w:hAnsi="Aptos Display"/>
          <w:b/>
          <w:i w:val="0"/>
          <w:color w:val="0F172A"/>
          <w:sz w:val="31"/>
        </w:rPr>
        <w:t>1. Programme and Course Context</w:t>
      </w:r>
    </w:p>
    <w:p>
      <w:pPr>
        <w:pStyle w:val="Heading2"/>
        <w:keepNext/>
        <w:spacing w:before="100" w:after="80"/>
      </w:pPr>
      <w:r>
        <w:rPr>
          <w:rFonts w:ascii="Aptos Display" w:hAnsi="Aptos Display"/>
          <w:b/>
          <w:i w:val="0"/>
          <w:color w:val="0F172A"/>
          <w:sz w:val="24"/>
        </w:rPr>
        <w:t>1.1 Capacity-development context</w:t>
      </w:r>
    </w:p>
    <w:p>
      <w:pPr>
        <w:spacing w:before="0" w:after="80" w:line="254" w:lineRule="auto"/>
      </w:pPr>
      <w:r>
        <w:rPr>
          <w:rFonts w:ascii="Aptos" w:hAnsi="Aptos"/>
          <w:b w:val="0"/>
          <w:i w:val="0"/>
          <w:color w:val="111827"/>
          <w:sz w:val="19"/>
        </w:rPr>
        <w:t>The DEC CSO Learning Hub forms part of the Capacity Development Program for Local and Grassroots Civil Society Organisations under the EU Civil Society Fund Plus programme. The wider programme seeks to strengthen local and grassroots CSOs as capable actors in governance and inclusive development and recognises that smaller and emerging organisations may have different levels of staffing, specialist support, resources and access to structured learning.</w:t>
      </w:r>
    </w:p>
    <w:p>
      <w:pPr>
        <w:spacing w:before="0" w:after="80" w:line="254" w:lineRule="auto"/>
      </w:pPr>
      <w:r>
        <w:rPr>
          <w:rFonts w:ascii="Aptos" w:hAnsi="Aptos"/>
          <w:b w:val="0"/>
          <w:i w:val="0"/>
          <w:color w:val="111827"/>
          <w:sz w:val="19"/>
        </w:rPr>
        <w:t>The Learning Hub is therefore one component of a wider capacity-development pathway. Structured self-paced learning is expected to complement, not replace, face-to-face learning, organisational support, coaching, mentoring, knowledge sharing, peer exchange and later co-creation.</w:t>
      </w:r>
    </w:p>
    <w:p>
      <w:pPr>
        <w:pStyle w:val="Heading2"/>
        <w:keepNext/>
        <w:spacing w:before="100" w:after="80"/>
      </w:pPr>
      <w:r>
        <w:rPr>
          <w:rFonts w:ascii="Aptos Display" w:hAnsi="Aptos Display"/>
          <w:b/>
          <w:i w:val="0"/>
          <w:color w:val="0F172A"/>
          <w:sz w:val="24"/>
        </w:rPr>
        <w:t>1.2 Position of the HRBA course</w:t>
      </w:r>
    </w:p>
    <w:p>
      <w:pPr>
        <w:spacing w:before="0" w:after="80" w:line="254" w:lineRule="auto"/>
      </w:pPr>
      <w:r>
        <w:rPr>
          <w:rFonts w:ascii="Aptos" w:hAnsi="Aptos"/>
          <w:b w:val="0"/>
          <w:i w:val="0"/>
          <w:color w:val="111827"/>
          <w:sz w:val="19"/>
        </w:rPr>
        <w:t>Applying the Human Rights-Based Approach in CSO Practice supports practitioners who may not be HRBA specialists or lawyers. It is intended to make rights-based principles usable in ordinary project and organisational decisions: who is affected, who carries responsibilities, whose voice is missing, who holds influence, what risks matter, what should change in project design, how a CSO should act during implementation, and how evidence should inform adaptation and account-back.</w:t>
      </w:r>
    </w:p>
    <w:p>
      <w:pPr>
        <w:pStyle w:val="Heading2"/>
        <w:keepNext/>
        <w:spacing w:before="100" w:after="80"/>
      </w:pPr>
      <w:r>
        <w:rPr>
          <w:rFonts w:ascii="Aptos Display" w:hAnsi="Aptos Display"/>
          <w:b/>
          <w:i w:val="0"/>
          <w:color w:val="0F172A"/>
          <w:sz w:val="24"/>
        </w:rPr>
        <w:t>1.3 Course status during the pilot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649"/>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The course is</w:t>
            </w:r>
          </w:p>
        </w:tc>
        <w:tc>
          <w:tcPr>
            <w:tcW w:type="dxa" w:w="4649"/>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The course is not</w:t>
            </w:r>
          </w:p>
        </w:tc>
      </w:tr>
      <w:tr>
        <w:trPr>
          <w:cantSplit/>
        </w:trPr>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functional Phase One interactive learning product ready for structured validation.</w:t>
            </w:r>
          </w:p>
        </w:tc>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final, immutable institutional curriculum.</w:t>
            </w:r>
          </w:p>
        </w:tc>
      </w:tr>
      <w:tr>
        <w:trPr>
          <w:cantSplit/>
        </w:trPr>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Built from available programme/training resources plus additional digital-learning content needed for self-paced learning.</w:t>
            </w:r>
          </w:p>
        </w:tc>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verbatim online copy of one previous DEC classroom course or manual.</w:t>
            </w:r>
          </w:p>
        </w:tc>
      </w:tr>
      <w:tr>
        <w:trPr>
          <w:cantSplit/>
        </w:trPr>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Designed to test a coherent learning pathway from foundations through design, implementation and MEAL.</w:t>
            </w:r>
          </w:p>
        </w:tc>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Evidence that every current wording, activity, visual or assessment item is already finally approved.</w:t>
            </w:r>
          </w:p>
        </w:tc>
      </w:tr>
      <w:tr>
        <w:trPr>
          <w:cantSplit/>
        </w:trPr>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first structured learning layer within a wider capacity-development programme.</w:t>
            </w:r>
          </w:p>
        </w:tc>
        <w:tc>
          <w:tcPr>
            <w:tcW w:type="dxa" w:w="4649"/>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replacement for coaching, organisational systems, management decisions, peer learning or contextual technical support.</w:t>
            </w:r>
          </w:p>
        </w:tc>
      </w:tr>
    </w:tbl>
    <w:p>
      <w:pPr>
        <w:spacing w:after="20"/>
      </w:pPr>
    </w:p>
    <w:p>
      <w:pPr>
        <w:pStyle w:val="Heading1"/>
        <w:keepNext/>
        <w:spacing w:before="160" w:after="80"/>
      </w:pPr>
      <w:r>
        <w:rPr>
          <w:rFonts w:ascii="Aptos Display" w:hAnsi="Aptos Display"/>
          <w:b/>
          <w:i w:val="0"/>
          <w:color w:val="0F172A"/>
          <w:sz w:val="31"/>
        </w:rPr>
        <w:t>2. Evidence Basis and Design Assumptions</w:t>
      </w:r>
    </w:p>
    <w:p>
      <w:pPr>
        <w:spacing w:before="0" w:after="80" w:line="254" w:lineRule="auto"/>
      </w:pPr>
      <w:r>
        <w:rPr>
          <w:rFonts w:ascii="Aptos" w:hAnsi="Aptos"/>
          <w:b w:val="0"/>
          <w:i w:val="0"/>
          <w:color w:val="111827"/>
          <w:sz w:val="19"/>
        </w:rPr>
        <w:t>This framework draws on the existing HRBA course design and source materials, the Phase One delivery and handover documentation, the internal pilot framework, the programme ToR and contract, and authoritative HRBA references used in course development. It also consolidates the earlier course needs-analysis and design work prepared for DEC.</w:t>
      </w:r>
    </w:p>
    <w:tbl>
      <w:tblPr>
        <w:tblW w:type="auto" w:w="0"/>
        <w:jc w:val="center"/>
        <w:tblLook w:firstColumn="1" w:firstRow="1" w:lastColumn="0" w:lastRow="0" w:noHBand="0" w:noVBand="1" w:val="04A0"/>
      </w:tblPr>
      <w:tblGrid>
        <w:gridCol w:w="9866"/>
      </w:tblGrid>
      <w:tr>
        <w:trPr>
          <w:cantSplit/>
        </w:trPr>
        <w:tc>
          <w:tcPr>
            <w:tcW w:type="dxa" w:w="9866"/>
            <w:shd w:fill="EEF6FB"/>
            <w:tcMar>
              <w:top w:w="105" w:type="dxa"/>
              <w:start w:w="125" w:type="dxa"/>
              <w:bottom w:w="105" w:type="dxa"/>
              <w:end w:w="125" w:type="dxa"/>
            </w:tcMar>
            <w:tcBorders>
              <w:top w:val="single" w:sz="4" w:color="D8E6EA"/>
              <w:left w:val="single" w:sz="18" w:color="3B99D4"/>
              <w:bottom w:val="single" w:sz="4" w:color="D8E6EA"/>
              <w:right w:val="single" w:sz="4" w:color="D8E6EA"/>
            </w:tcBorders>
          </w:tcPr>
          <w:p>
            <w:pPr>
              <w:spacing w:after="0"/>
            </w:pPr>
            <w:r>
              <w:rPr>
                <w:rFonts w:ascii="Aptos" w:hAnsi="Aptos"/>
                <w:b/>
                <w:i w:val="0"/>
                <w:color w:val="0F172A"/>
                <w:sz w:val="20"/>
              </w:rPr>
              <w:t>Evidence boundary</w:t>
              <w:br/>
            </w:r>
            <w:r>
              <w:rPr>
                <w:rFonts w:ascii="Aptos" w:hAnsi="Aptos"/>
                <w:b w:val="0"/>
                <w:i w:val="0"/>
                <w:color w:val="111827"/>
                <w:sz w:val="18"/>
              </w:rPr>
              <w:t>The documents support the course's intended practice areas and the kinds of capacity challenges it is designed to address. They do not provide a statistically representative baseline showing how common each challenge is across Ethiopian CSOs. During the pilot, treat these as design assumptions to confirm, refine or reject through evidence.</w:t>
            </w:r>
          </w:p>
        </w:tc>
      </w:tr>
    </w:tbl>
    <w:p>
      <w:pPr>
        <w:spacing w:after="20"/>
      </w:pPr>
    </w:p>
    <w:p>
      <w:pPr>
        <w:pStyle w:val="Heading2"/>
        <w:keepNext/>
        <w:spacing w:before="100" w:after="80"/>
      </w:pPr>
      <w:r>
        <w:rPr>
          <w:rFonts w:ascii="Aptos Display" w:hAnsi="Aptos Display"/>
          <w:b/>
          <w:i w:val="0"/>
          <w:color w:val="0F172A"/>
          <w:sz w:val="24"/>
        </w:rPr>
        <w:t>2.1 Design logic used in this annex</w:t>
      </w:r>
    </w:p>
    <w:p>
      <w:pPr>
        <w:spacing w:before="0" w:after="80" w:line="254" w:lineRule="auto"/>
      </w:pPr>
      <w:r>
        <w:rPr>
          <w:rFonts w:ascii="Aptos" w:hAnsi="Aptos"/>
          <w:b w:val="0"/>
          <w:i w:val="0"/>
          <w:color w:val="111827"/>
          <w:sz w:val="19"/>
        </w:rPr>
        <w:t>The course design begins with the intended capacity result and works backward to the practical actions that can contribute to it. For each action, the framework asks: What should a practitioner be able to recognise or do? Why might this be difficult? What can realistic learning practice strengthen? What minimum information or tool is needed? What belongs outside the course? What evidence would show that the learning can be applied?</w:t>
      </w:r>
    </w:p>
    <w:p>
      <w:pPr>
        <w:pStyle w:val="Heading1"/>
        <w:keepNext/>
        <w:spacing w:before="160" w:after="80"/>
      </w:pPr>
      <w:r>
        <w:rPr>
          <w:rFonts w:ascii="Aptos Display" w:hAnsi="Aptos Display"/>
          <w:b/>
          <w:i w:val="0"/>
          <w:color w:val="0F172A"/>
          <w:sz w:val="31"/>
        </w:rPr>
        <w:t>3. Core Capacity Challenge</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0F8F8C"/>
              <w:bottom w:val="single" w:sz="4" w:color="D8E6EA"/>
              <w:right w:val="single" w:sz="4" w:color="D8E6EA"/>
            </w:tcBorders>
          </w:tcPr>
          <w:p>
            <w:pPr>
              <w:spacing w:after="0"/>
            </w:pPr>
            <w:r>
              <w:rPr>
                <w:rFonts w:ascii="Aptos" w:hAnsi="Aptos"/>
                <w:b/>
                <w:i w:val="0"/>
                <w:color w:val="0F172A"/>
                <w:sz w:val="20"/>
              </w:rPr>
              <w:t>Core capacity challenge</w:t>
              <w:br/>
            </w:r>
            <w:r>
              <w:rPr>
                <w:rFonts w:ascii="Aptos" w:hAnsi="Aptos"/>
                <w:b w:val="0"/>
                <w:i w:val="0"/>
                <w:color w:val="111827"/>
                <w:sz w:val="18"/>
              </w:rPr>
              <w:t>Rights-based principles can remain conceptual unless practitioners can consistently use them to analyse differences and exclusion, clarify responsibility, examine power and participation, change project design, manage implementation choices, use evidence and close accountability loops.</w:t>
            </w:r>
          </w:p>
        </w:tc>
      </w:tr>
    </w:tbl>
    <w:p>
      <w:pPr>
        <w:spacing w:after="20"/>
      </w:pPr>
    </w:p>
    <w:p>
      <w:pPr>
        <w:spacing w:before="0" w:after="80" w:line="254" w:lineRule="auto"/>
      </w:pPr>
      <w:r>
        <w:rPr>
          <w:rFonts w:ascii="Aptos" w:hAnsi="Aptos"/>
          <w:b w:val="0"/>
          <w:i w:val="0"/>
          <w:color w:val="111827"/>
          <w:sz w:val="19"/>
        </w:rPr>
        <w:t>The course should therefore not be assessed mainly against a question such as 'Did learners learn the definitions of HRBA?' A more useful question is 'Can the learner use a rights-based lens to recognise a problem, make a stronger decision and explain what should happen next?'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Practice risk</w:t>
            </w:r>
          </w:p>
        </w:tc>
        <w:tc>
          <w:tcPr>
            <w:tcW w:type="dxa" w:w="6350"/>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What it can look like in CSO work</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Broad categories hide difference</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A project refers to 'the community' without examining who faces different barriers to access, voice, influence or benefit.</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Responsibility is blurred</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The CSO does not clearly distinguish what it can do, what it can support, and what a public duty-bearer or other responsible actor must own.</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Participation becomes attendance</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Meetings are counted without checking whether people understood, spoke safely, influenced a decision or received follow-up.</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Power is under-analysed</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Formal stakeholders are listed while informal influence, gatekeeping and unequal decision power remain unexamined.</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HRBA is added without changing design</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Rights language is included but objectives, activities, intervention logic, accessibility, accountability, risk or indicators remain unchanged.</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Implementation drifts</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sound design becomes less inclusive or accountable when pressures, role confusion or new risks emerge.</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MEAL counts activity more than change</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Monitoring records outputs without asking who benefited, who was missed, what changed and what should adapt.</w:t>
            </w:r>
          </w:p>
        </w:tc>
      </w:tr>
      <w:tr>
        <w:trPr>
          <w:cantSplit/>
        </w:trPr>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Learning does not transfer</w:t>
            </w:r>
          </w:p>
        </w:tc>
        <w:tc>
          <w:tcPr>
            <w:tcW w:type="dxa" w:w="635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 practitioner completes the course but has no structured opportunity to use one tool or change one real work decision.</w:t>
            </w:r>
          </w:p>
        </w:tc>
      </w:tr>
    </w:tbl>
    <w:p>
      <w:pPr>
        <w:spacing w:after="20"/>
      </w:pPr>
    </w:p>
    <w:p>
      <w:pPr>
        <w:pStyle w:val="Heading1"/>
        <w:keepNext/>
        <w:spacing w:before="160" w:after="80"/>
      </w:pPr>
      <w:r>
        <w:rPr>
          <w:rFonts w:ascii="Aptos Display" w:hAnsi="Aptos Display"/>
          <w:b/>
          <w:i w:val="0"/>
          <w:color w:val="0F172A"/>
          <w:sz w:val="31"/>
        </w:rPr>
        <w:t>4. Intended Capacity and Practice Result</w:t>
      </w:r>
    </w:p>
    <w:tbl>
      <w:tblPr>
        <w:tblW w:type="auto" w:w="0"/>
        <w:jc w:val="center"/>
        <w:tblLook w:firstColumn="1" w:firstRow="1" w:lastColumn="0" w:lastRow="0" w:noHBand="0" w:noVBand="1" w:val="04A0"/>
      </w:tblPr>
      <w:tblGrid>
        <w:gridCol w:w="9866"/>
      </w:tblGrid>
      <w:tr>
        <w:trPr>
          <w:cantSplit/>
        </w:trPr>
        <w:tc>
          <w:tcPr>
            <w:tcW w:type="dxa" w:w="9866"/>
            <w:shd w:fill="EEF6FB"/>
            <w:tcMar>
              <w:top w:w="105" w:type="dxa"/>
              <w:start w:w="125" w:type="dxa"/>
              <w:bottom w:w="105" w:type="dxa"/>
              <w:end w:w="125" w:type="dxa"/>
            </w:tcMar>
            <w:tcBorders>
              <w:top w:val="single" w:sz="4" w:color="D8E6EA"/>
              <w:left w:val="single" w:sz="18" w:color="3B99D4"/>
              <w:bottom w:val="single" w:sz="4" w:color="D8E6EA"/>
              <w:right w:val="single" w:sz="4" w:color="D8E6EA"/>
            </w:tcBorders>
          </w:tcPr>
          <w:p>
            <w:pPr>
              <w:spacing w:after="0"/>
            </w:pPr>
            <w:r>
              <w:rPr>
                <w:rFonts w:ascii="Aptos" w:hAnsi="Aptos"/>
                <w:b/>
                <w:i w:val="0"/>
                <w:color w:val="0F172A"/>
                <w:sz w:val="20"/>
              </w:rPr>
              <w:t>Recommended capacity result</w:t>
              <w:br/>
            </w:r>
            <w:r>
              <w:rPr>
                <w:rFonts w:ascii="Aptos" w:hAnsi="Aptos"/>
                <w:b w:val="0"/>
                <w:i w:val="0"/>
                <w:color w:val="111827"/>
                <w:sz w:val="18"/>
              </w:rPr>
              <w:t>Local and grassroots CSOs make more inclusive, accountable, safe, context-sensitive and evidence-informed project decisions using HRBA across analysis and design, implementation and MEAL.</w:t>
            </w:r>
          </w:p>
        </w:tc>
      </w:tr>
    </w:tbl>
    <w:p>
      <w:pPr>
        <w:spacing w:after="20"/>
      </w:pPr>
    </w:p>
    <w:p>
      <w:pPr>
        <w:spacing w:before="0" w:after="80" w:line="254" w:lineRule="auto"/>
      </w:pPr>
      <w:r>
        <w:rPr>
          <w:rFonts w:ascii="Aptos" w:hAnsi="Aptos"/>
          <w:b w:val="0"/>
          <w:i w:val="0"/>
          <w:color w:val="111827"/>
          <w:sz w:val="19"/>
        </w:rPr>
        <w:t>A quantitative target should be set only after a suitable baseline exists. The pilot can help DEC define practical indicators and identify feasible ways of observing change. The measures below are proposed evidence areas, not claims about current prevalence.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15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5"/>
              </w:rPr>
              <w:t>Practice indicator</w:t>
            </w:r>
          </w:p>
        </w:tc>
        <w:tc>
          <w:tcPr>
            <w:tcW w:type="dxa" w:w="4706"/>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5"/>
              </w:rPr>
              <w:t>Observable evidence</w:t>
            </w:r>
          </w:p>
        </w:tc>
        <w:tc>
          <w:tcPr>
            <w:tcW w:type="dxa" w:w="243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5"/>
              </w:rPr>
              <w:t>Possible evidence source</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Differentiated analysis</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Affected groups are not treated as one homogeneous 'community'; relevant barriers and exclusion patterns are identified.</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Course practice; proposal/design review</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Rights and responsibility</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Relevant rights-holders, duty-bearers and realistic CSO roles are distinguished.</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Scenario; actor map; project review</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Meaningful participation</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Participation includes access to information, safe voice, influence and follow-up/account-back.</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Participation plan; activity design</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Power and risk</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Power, gatekeeping, exclusion and do-no-harm risks are considered before decisions are made.</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Power/risk tool; project review</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Design response</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HRBA analysis changes objectives, activities, logic, accessibility, assumptions or indicators where needed.</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Design repair; proposal review</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Implementation adaptation</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Teams notice exclusion/accountability problems and adapt proportionately.</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Implementation review; case task</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MEAL for decisions</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Evidence examines who benefited or was missed and informs adaptation and account-back.</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MEAL plan; review records</w:t>
            </w:r>
          </w:p>
        </w:tc>
      </w:tr>
      <w:tr>
        <w:trPr>
          <w:cantSplit/>
        </w:trPr>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Workplace application</w:t>
            </w:r>
          </w:p>
        </w:tc>
        <w:tc>
          <w:tcPr>
            <w:tcW w:type="dxa" w:w="470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A practitioner can show one real decision or tool they used or adapted after the course.</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2-4 week follow-up</w:t>
            </w:r>
          </w:p>
        </w:tc>
      </w:tr>
    </w:tbl>
    <w:p>
      <w:pPr>
        <w:spacing w:after="20"/>
      </w:pPr>
    </w:p>
    <w:p>
      <w:pPr>
        <w:pStyle w:val="Heading1"/>
        <w:keepNext/>
        <w:spacing w:before="160" w:after="80"/>
      </w:pPr>
      <w:r>
        <w:rPr>
          <w:rFonts w:ascii="Aptos Display" w:hAnsi="Aptos Display"/>
          <w:b/>
          <w:i w:val="0"/>
          <w:color w:val="0F172A"/>
          <w:sz w:val="31"/>
        </w:rPr>
        <w:t>5. HRBA Capacity-to-Action Map</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097"/>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4"/>
              </w:rPr>
              <w:t>Priority action</w:t>
            </w:r>
          </w:p>
        </w:tc>
        <w:tc>
          <w:tcPr>
            <w:tcW w:type="dxa" w:w="294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4"/>
              </w:rPr>
              <w:t>What it means in CSO practice</w:t>
            </w:r>
          </w:p>
        </w:tc>
        <w:tc>
          <w:tcPr>
            <w:tcW w:type="dxa" w:w="2891"/>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4"/>
              </w:rPr>
              <w:t>Existing course practice</w:t>
            </w:r>
          </w:p>
        </w:tc>
        <w:tc>
          <w:tcPr>
            <w:tcW w:type="dxa" w:w="1530"/>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4"/>
              </w:rPr>
              <w:t>Minimum support</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1. Diagnose context and inequality before acting</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Ask who is affected differently, who is missing, what barriers exist and why.</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Context &amp; Inequality Scan; rights-holder/barrier work; root-cause/capacity-gap work.</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Everyday Rights Lens; short context/barrier prompts.</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2. Clarify rights, responsibilities and CSO role</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Distinguish rights-holders, duty-bearers, supporting actors and what the CSO can appropriately do.</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Module 2 actor work; Module 3 responsibility mapping; Module 4 role-boundary decisions.</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Rights-holder / duty-bearer / CSO role reference.</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3. Analyse power, participation and exclusion</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Identify influence, gatekeeping, weak voice and whether participation creates meaningful influence.</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Power &amp; Influence Map; Gender &amp; Disability Design Check; Participation &amp; Accountability Pathway.</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Power questions; meaningful-participation check.</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4. Convert analysis into better project design</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Change objectives, activities, logic, accessibility, assumptions or indicators when analysis shows a gap.</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HRBA Project Design Repair; plan review; final design snapshot.</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Design-repair checklist.</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5. Anticipate risk and do no harm</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Identify exposure, retaliation, confidentiality, exclusion and role/engagement risks before acting.</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Risk &amp; Do-No-Harm work; safer engagement decisions.</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Risk and mitigation prompts.</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6. Implement HRBA responsibly</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Communicate, coordinate, engage and follow up without replacing duty-bearer responsibilities.</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Module 4 responsibility-boundary, engagement and adaptation scenarios.</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Responsibility-boundary guide.</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7. Use MEAL evidence for accountability and adaptation</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Move beyond counts; examine who benefited, who was missed, what changed and what should adapt.</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Indicator repair; safe evidence/disaggregation; feedback-response; evidence-to-action; reporting.</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4"/>
              </w:rPr>
              <w:t>HRBA MEAL lens; indicator/evidence job aids.</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8. Review and adapt practice</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Use evidence and reflection to identify a realistic next action rather than treating course completion as the end.</w:t>
            </w:r>
          </w:p>
        </w:tc>
        <w:tc>
          <w:tcPr>
            <w:tcW w:type="dxa" w:w="289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Portfolio-style outputs; final reflection; later application follow-up.</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4"/>
              </w:rPr>
              <w:t>Portfolio summary + short action prompt.</w:t>
            </w:r>
          </w:p>
        </w:tc>
      </w:tr>
    </w:tbl>
    <w:p>
      <w:pPr>
        <w:spacing w:after="20"/>
      </w:pPr>
    </w:p>
    <w:p>
      <w:pPr>
        <w:pStyle w:val="Heading1"/>
        <w:keepNext/>
        <w:spacing w:before="160" w:after="80"/>
      </w:pPr>
      <w:r>
        <w:rPr>
          <w:rFonts w:ascii="Aptos Display" w:hAnsi="Aptos Display"/>
          <w:b/>
          <w:i w:val="0"/>
          <w:color w:val="0F172A"/>
          <w:sz w:val="31"/>
        </w:rPr>
        <w:t>6. Needs and Barrier Analysis</w:t>
      </w:r>
    </w:p>
    <w:p>
      <w:pPr>
        <w:spacing w:before="0" w:after="80" w:line="254" w:lineRule="auto"/>
      </w:pPr>
      <w:r>
        <w:rPr>
          <w:rFonts w:ascii="Aptos" w:hAnsi="Aptos"/>
          <w:b w:val="0"/>
          <w:i w:val="0"/>
          <w:color w:val="111827"/>
          <w:sz w:val="19"/>
        </w:rPr>
        <w:t>A capacity-development response should separate learning needs from enabling conditions. The course can strengthen knowledge, analysis and decision skills; it cannot by itself provide authority, budget, staff time, data systems or responsive external institutions.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871"/>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5"/>
              </w:rPr>
              <w:t>Likely barrier</w:t>
            </w:r>
          </w:p>
        </w:tc>
        <w:tc>
          <w:tcPr>
            <w:tcW w:type="dxa" w:w="3231"/>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5"/>
              </w:rPr>
              <w:t>Example</w:t>
            </w:r>
          </w:p>
        </w:tc>
        <w:tc>
          <w:tcPr>
            <w:tcW w:type="dxa" w:w="1701"/>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5"/>
              </w:rPr>
              <w:t>Course contribution</w:t>
            </w:r>
          </w:p>
        </w:tc>
        <w:tc>
          <w:tcPr>
            <w:tcW w:type="dxa" w:w="249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5"/>
              </w:rPr>
              <w:t>Complementary response</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Concept/role gap</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Rights-holder, duty-bearer and CSO roles are confused.</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Strong</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Scenario practice + concise role job aid.</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Decision-skill gap</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Practitioner knows HRBA principles but cannot apply them to a project choice.</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Strong - practice essential</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Decision scenarios + design studio.</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Analysis gap</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Broad 'community' analysis masks differentiated barriers.</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Strong</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Context/inequality + barrier mapping.</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Power-analysis gap</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Formal actors are mapped but informal influence is missed.</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Strong</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Power &amp; Influence practice.</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Participation gap</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Attendance is treated as evidence of meaningful participation.</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Moderate/strong</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Influence-focused practice + participation checklist + organisational process.</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Accountability gap</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Feedback is collected without a response or account-back.</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Moderate</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Course practice + organisational feedback procedure.</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HRBA added late</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Rights language is added after project design is already fixed.</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Moderate/strong</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Design repair + project-review requirement.</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Resource constraint</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Accessibility or participation improvements lack time, staff, budget or data.</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Limited</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Management/resource decision; minimum viable tools.</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Authority constraint</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Learner sees a needed change but cannot modify project decisions.</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Limited</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Supervisor/programme-management involvement.</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Weak MEAL systems</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Teams lack systems for disaggregation, feedback or adaptive review.</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Moderate</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Module 5 + organisational MEAL support.</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Internet/device constraint</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Learner access is limited by device or internet conditions.</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Limited</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Low-data/accessible design and technical support.</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Sensitive engagement risk</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Accountability or duty-bearer engagement creates contextual risk.</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Limited on its own</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5"/>
              </w:rPr>
              <w:t>Context-specific risk assessment, safeguarding and management support.</w:t>
            </w:r>
          </w:p>
        </w:tc>
      </w:tr>
      <w:tr>
        <w:trPr>
          <w:cantSplit/>
        </w:trPr>
        <w:tc>
          <w:tcPr>
            <w:tcW w:type="dxa" w:w="187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Transfer gap</w:t>
            </w:r>
          </w:p>
        </w:tc>
        <w:tc>
          <w:tcPr>
            <w:tcW w:type="dxa" w:w="323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Learning is not revisited after course completion.</w:t>
            </w:r>
          </w:p>
        </w:tc>
        <w:tc>
          <w:tcPr>
            <w:tcW w:type="dxa" w:w="1701"/>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Moderate</w:t>
            </w:r>
          </w:p>
        </w:tc>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5"/>
              </w:rPr>
              <w:t>Follow-up, peer learning, coaching and job aids.</w:t>
            </w:r>
          </w:p>
        </w:tc>
      </w:tr>
    </w:tbl>
    <w:p>
      <w:pPr>
        <w:spacing w:after="20"/>
      </w:pPr>
    </w:p>
    <w:p>
      <w:pPr>
        <w:pStyle w:val="Heading1"/>
        <w:keepNext/>
        <w:spacing w:before="160" w:after="80"/>
      </w:pPr>
      <w:r>
        <w:rPr>
          <w:rFonts w:ascii="Aptos Display" w:hAnsi="Aptos Display"/>
          <w:b/>
          <w:i w:val="0"/>
          <w:color w:val="0F172A"/>
          <w:sz w:val="31"/>
        </w:rPr>
        <w:t>7. Course Design Response</w:t>
      </w:r>
    </w:p>
    <w:p>
      <w:pPr>
        <w:pStyle w:val="Heading2"/>
        <w:keepNext/>
        <w:spacing w:before="100" w:after="80"/>
      </w:pPr>
      <w:r>
        <w:rPr>
          <w:rFonts w:ascii="Aptos Display" w:hAnsi="Aptos Display"/>
          <w:b/>
          <w:i w:val="0"/>
          <w:color w:val="0F172A"/>
          <w:sz w:val="24"/>
        </w:rPr>
        <w:t>7.1 Design principles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Principle</w:t>
            </w:r>
          </w:p>
        </w:tc>
        <w:tc>
          <w:tcPr>
            <w:tcW w:type="dxa" w:w="7030"/>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Implication for the HRBA course</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Start from practice</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Introduce a realistic situation or decision early; use explanations and references to support the decision rather than front-loading information.</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Use one coherent case</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The continuing fictional Jiru Amba/Awra case provides continuity and a safe practice environment without requiring confidential real cases.</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Build capability progressively</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Move from noticing an HRBA issue to diagnosing it, choosing what should change, implementing responsibly and using evidence to adapt.</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Make feedback instructional</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Feedback should explain why a choice is weak or strong and help the learner improve the next decision.</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Keep information proportionate</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Learners should internalise a compact decision lens; detailed legal/technical references should remain available as references or job aids.</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Produce reusable outputs</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Activities should create tools, snapshots or prompts that can be adapted outside the course rather than existing only as quiz answers.</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Design for realistic access</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Choose interaction patterns that are clear and reliable on ordinary smartphones/computers and under variable internet connectivity.</w:t>
            </w:r>
          </w:p>
        </w:tc>
      </w:tr>
      <w:tr>
        <w:trPr>
          <w:cantSplit/>
        </w:trPr>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Separate course needs from wider capacity needs</w:t>
            </w:r>
          </w:p>
        </w:tc>
        <w:tc>
          <w:tcPr>
            <w:tcW w:type="dxa" w:w="70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When the barrier is organisational, managerial, technical or contextual, the wider programme response should complement the course.</w:t>
            </w:r>
          </w:p>
        </w:tc>
      </w:tr>
    </w:tbl>
    <w:p>
      <w:pPr>
        <w:spacing w:after="20"/>
      </w:pPr>
    </w:p>
    <w:p>
      <w:pPr>
        <w:pStyle w:val="Heading2"/>
        <w:keepNext/>
        <w:spacing w:before="100" w:after="80"/>
      </w:pPr>
      <w:r>
        <w:rPr>
          <w:rFonts w:ascii="Aptos Display" w:hAnsi="Aptos Display"/>
          <w:b/>
          <w:i w:val="0"/>
          <w:color w:val="0F172A"/>
          <w:sz w:val="24"/>
        </w:rPr>
        <w:t>7.2 Preferred activity pattern</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0F8F8C"/>
              <w:bottom w:val="single" w:sz="4" w:color="D8E6EA"/>
              <w:right w:val="single" w:sz="4" w:color="D8E6EA"/>
            </w:tcBorders>
          </w:tcPr>
          <w:p>
            <w:pPr>
              <w:spacing w:after="0"/>
            </w:pPr>
            <w:r>
              <w:rPr>
                <w:rFonts w:ascii="Aptos" w:hAnsi="Aptos"/>
                <w:b/>
                <w:i w:val="0"/>
                <w:color w:val="0F172A"/>
                <w:sz w:val="20"/>
              </w:rPr>
              <w:t>Learning activity pattern</w:t>
              <w:br/>
            </w:r>
            <w:r>
              <w:rPr>
                <w:rFonts w:ascii="Aptos" w:hAnsi="Aptos"/>
                <w:b w:val="0"/>
                <w:i w:val="0"/>
                <w:color w:val="111827"/>
                <w:sz w:val="18"/>
              </w:rPr>
              <w:t>Situation -&gt; learner choice/action -&gt; explanatory feedback -&gt; optional concise reference/tool -&gt; revised choice or carry-forward output</w:t>
            </w:r>
          </w:p>
        </w:tc>
      </w:tr>
    </w:tbl>
    <w:p>
      <w:pPr>
        <w:spacing w:after="20"/>
      </w:pPr>
    </w:p>
    <w:p>
      <w:pPr>
        <w:spacing w:before="0" w:after="80" w:line="254" w:lineRule="auto"/>
      </w:pPr>
      <w:r>
        <w:rPr>
          <w:rFonts w:ascii="Aptos" w:hAnsi="Aptos"/>
          <w:b w:val="0"/>
          <w:i w:val="0"/>
          <w:color w:val="111827"/>
          <w:sz w:val="19"/>
        </w:rPr>
        <w:t>For HRBA, the important learning is often a decision under incomplete or competing considerations. A strong activity should therefore require the learner to notice what matters, choose a proportionate action and understand the consequence of that choice. Difficulty is appropriate when it comes from the decision itself; it becomes a design problem when it comes from unclear instructions, hidden rules, weak feedback or an invalid completion path.</w:t>
      </w:r>
    </w:p>
    <w:p>
      <w:pPr>
        <w:pStyle w:val="Heading2"/>
        <w:keepNext/>
        <w:spacing w:before="100" w:after="80"/>
      </w:pPr>
      <w:r>
        <w:rPr>
          <w:rFonts w:ascii="Aptos Display" w:hAnsi="Aptos Display"/>
          <w:b/>
          <w:i w:val="0"/>
          <w:color w:val="0F172A"/>
          <w:sz w:val="24"/>
        </w:rPr>
        <w:t>7.3 Design for ordinary devices and internet conditions</w:t>
      </w:r>
    </w:p>
    <w:p>
      <w:pPr>
        <w:spacing w:before="0" w:after="80" w:line="254" w:lineRule="auto"/>
      </w:pPr>
      <w:r>
        <w:rPr>
          <w:rFonts w:ascii="Aptos" w:hAnsi="Aptos"/>
          <w:b w:val="0"/>
          <w:i w:val="0"/>
          <w:color w:val="111827"/>
          <w:sz w:val="19"/>
        </w:rPr>
        <w:t>The course should not equate technical complexity with learning quality. A simple click/tap selection, card choice or scenario decision can be preferable to a precision-heavy interaction if it achieves the same learning purpose more reliably on smaller touchscreens, ordinary devices and variable internet connections. The pilot should review whether interactions are clear, usable and educationally purposeful - not whether they are visually elaborate.</w:t>
      </w:r>
    </w:p>
    <w:p>
      <w:pPr>
        <w:pStyle w:val="Heading1"/>
        <w:keepNext/>
        <w:spacing w:before="160" w:after="80"/>
      </w:pPr>
      <w:r>
        <w:rPr>
          <w:rFonts w:ascii="Aptos Display" w:hAnsi="Aptos Display"/>
          <w:b/>
          <w:i w:val="0"/>
          <w:color w:val="0F172A"/>
          <w:sz w:val="31"/>
        </w:rPr>
        <w:t>8. Module-by-Module Design Logic</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64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3"/>
              </w:rPr>
              <w:t>Course stage</w:t>
            </w:r>
          </w:p>
        </w:tc>
        <w:tc>
          <w:tcPr>
            <w:tcW w:type="dxa" w:w="198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3"/>
              </w:rPr>
              <w:t>Design purpose</w:t>
            </w:r>
          </w:p>
        </w:tc>
        <w:tc>
          <w:tcPr>
            <w:tcW w:type="dxa" w:w="243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3"/>
              </w:rPr>
              <w:t>Priority practitioner action</w:t>
            </w:r>
          </w:p>
        </w:tc>
        <w:tc>
          <w:tcPr>
            <w:tcW w:type="dxa" w:w="294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3"/>
              </w:rPr>
              <w:t>Key learning practice</w:t>
            </w:r>
          </w:p>
        </w:tc>
        <w:tc>
          <w:tcPr>
            <w:tcW w:type="dxa" w:w="226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3"/>
              </w:rPr>
              <w:t>Pilot validation focus</w:t>
            </w:r>
          </w:p>
        </w:tc>
      </w:tr>
      <w:tr>
        <w:trPr>
          <w:cantSplit/>
        </w:trPr>
        <w:tc>
          <w:tcPr>
            <w:tcW w:type="dxa" w:w="164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Module 1 - Starting the HRBA Learning Journey</w:t>
            </w:r>
          </w:p>
        </w:tc>
        <w:tc>
          <w:tcPr>
            <w:tcW w:type="dxa" w:w="198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Orient the learner and establish HRBA as a practical lens.</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Recognise that HRBA should influence ordinary CSO decisions.</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Short orientation, reflection, safe practice expectations, portfolio start.</w:t>
            </w:r>
          </w:p>
        </w:tc>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Is the purpose clear without overloading the learner before practice begins?</w:t>
            </w:r>
          </w:p>
        </w:tc>
      </w:tr>
      <w:tr>
        <w:trPr>
          <w:cantSplit/>
        </w:trPr>
        <w:tc>
          <w:tcPr>
            <w:tcW w:type="dxa" w:w="164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Module 2 - Foundations of HRBA</w:t>
            </w:r>
          </w:p>
        </w:tc>
        <w:tc>
          <w:tcPr>
            <w:tcW w:type="dxa" w:w="198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Build the minimum mental model needed for later decisions.</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Distinguish rights-holders, duty-bearers, CSO role, participation, inclusion, accountability and power.</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Everyday Rights Lens; actor/role scenarios; participation and power examples; checks with explanation.</w:t>
            </w:r>
          </w:p>
        </w:tc>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Are the concepts practical enough for non-specialists and sufficient for later modules?</w:t>
            </w:r>
          </w:p>
        </w:tc>
      </w:tr>
      <w:tr>
        <w:trPr>
          <w:cantSplit/>
        </w:trPr>
        <w:tc>
          <w:tcPr>
            <w:tcW w:type="dxa" w:w="164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Module 3 - Applying HRBA in Project Design</w:t>
            </w:r>
          </w:p>
        </w:tc>
        <w:tc>
          <w:tcPr>
            <w:tcW w:type="dxa" w:w="198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Function as a guided project-design studio.</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Diagnose context/inequality, map barriers/responsibility/power, design participation/accountability, manage risk and repair project design.</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Context Scan; standards/reference mapping; rights-holder/barrier map; responsibility map; power map; root-cause/capacity gaps; gender/disability check; participation/accountability pathway; risk board; design repair; logic/indicators; final snapshot.</w:t>
            </w:r>
          </w:p>
        </w:tc>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Does analysis actually lead to stronger design decisions? Are outputs usable and sequenced well?</w:t>
            </w:r>
          </w:p>
        </w:tc>
      </w:tr>
      <w:tr>
        <w:trPr>
          <w:cantSplit/>
        </w:trPr>
        <w:tc>
          <w:tcPr>
            <w:tcW w:type="dxa" w:w="164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Module 4 - Applying HRBA During Implementation</w:t>
            </w:r>
          </w:p>
        </w:tc>
        <w:tc>
          <w:tcPr>
            <w:tcW w:type="dxa" w:w="198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Keep HRBA active when implementation pressures emerge.</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Maintain participation, role boundaries, responsible engagement, communication, follow-up and adaptation.</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Responsibility-boundary decisions; constructive engagement; implementation/adaptation scenarios.</w:t>
            </w:r>
          </w:p>
        </w:tc>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Are role boundaries clear? Is the correct route learnable? Does feedback support proportionate action?</w:t>
            </w:r>
          </w:p>
        </w:tc>
      </w:tr>
      <w:tr>
        <w:trPr>
          <w:cantSplit/>
        </w:trPr>
        <w:tc>
          <w:tcPr>
            <w:tcW w:type="dxa" w:w="164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Module 5 - HRBA in MEAL</w:t>
            </w:r>
          </w:p>
        </w:tc>
        <w:tc>
          <w:tcPr>
            <w:tcW w:type="dxa" w:w="198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Use evidence for accountability, learning and adaptation.</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Repair indicators, use safe/disaggregated evidence, close feedback loops, interpret findings and adapt.</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Indicator repair; safe evidence/disaggregation; feedback-response; qualitative evidence; evidence-to-action; transparent reporting; learning/account-back plan.</w:t>
            </w:r>
          </w:p>
        </w:tc>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3"/>
              </w:rPr>
              <w:t>Does evidence lead to decisions, not only reporting? Are ethics, inclusion and accountability visible?</w:t>
            </w:r>
          </w:p>
        </w:tc>
      </w:tr>
      <w:tr>
        <w:trPr>
          <w:cantSplit/>
        </w:trPr>
        <w:tc>
          <w:tcPr>
            <w:tcW w:type="dxa" w:w="164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Final Assessment</w:t>
            </w:r>
          </w:p>
        </w:tc>
        <w:tc>
          <w:tcPr>
            <w:tcW w:type="dxa" w:w="198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Test integrated course capability.</w:t>
            </w:r>
          </w:p>
        </w:tc>
        <w:tc>
          <w:tcPr>
            <w:tcW w:type="dxa" w:w="243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Choose or justify appropriate HRBA actions in realistic situations.</w:t>
            </w:r>
          </w:p>
        </w:tc>
        <w:tc>
          <w:tcPr>
            <w:tcW w:type="dxa" w:w="294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Applied assessment drawing on decisions practised across Modules 2-5.</w:t>
            </w:r>
          </w:p>
        </w:tc>
        <w:tc>
          <w:tcPr>
            <w:tcW w:type="dxa" w:w="226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3"/>
              </w:rPr>
              <w:t>Does the assessment test practised decisions rather than trivia or detailed legal recall?</w:t>
            </w:r>
          </w:p>
        </w:tc>
      </w:tr>
    </w:tbl>
    <w:p>
      <w:pPr>
        <w:spacing w:after="20"/>
      </w:pPr>
    </w:p>
    <w:p>
      <w:pPr>
        <w:pStyle w:val="Heading1"/>
        <w:keepNext/>
        <w:spacing w:before="160" w:after="80"/>
      </w:pPr>
      <w:r>
        <w:rPr>
          <w:rFonts w:ascii="Aptos Display" w:hAnsi="Aptos Display"/>
          <w:b/>
          <w:i w:val="0"/>
          <w:color w:val="0F172A"/>
          <w:sz w:val="31"/>
        </w:rPr>
        <w:t>9. Minimum Information and Reusable Job Aids</w:t>
      </w:r>
    </w:p>
    <w:p>
      <w:pPr>
        <w:spacing w:before="0" w:after="80" w:line="254" w:lineRule="auto"/>
      </w:pPr>
      <w:r>
        <w:rPr>
          <w:rFonts w:ascii="Aptos" w:hAnsi="Aptos"/>
          <w:b w:val="0"/>
          <w:i w:val="0"/>
          <w:color w:val="111827"/>
          <w:sz w:val="19"/>
        </w:rPr>
        <w:t>The course should ask learners to internalise a compact HRBA decision lens. Detailed standards, legal references and technical guidance should be available when needed rather than treated as memorisation content.</w:t>
      </w:r>
    </w:p>
    <w:p>
      <w:pPr>
        <w:pStyle w:val="Heading2"/>
        <w:keepNext/>
        <w:spacing w:before="100" w:after="80"/>
      </w:pPr>
      <w:r>
        <w:rPr>
          <w:rFonts w:ascii="Aptos Display" w:hAnsi="Aptos Display"/>
          <w:b/>
          <w:i w:val="0"/>
          <w:color w:val="0F172A"/>
          <w:sz w:val="24"/>
        </w:rPr>
        <w:t>9.1 Compact decision lens worth internalising</w:t>
      </w:r>
    </w:p>
    <w:p>
      <w:pPr>
        <w:pStyle w:val="ListNumber"/>
        <w:spacing w:after="30" w:line="245" w:lineRule="auto"/>
      </w:pPr>
      <w:r>
        <w:rPr>
          <w:rFonts w:ascii="Aptos" w:hAnsi="Aptos"/>
          <w:b w:val="0"/>
          <w:i w:val="0"/>
          <w:color w:val="111827"/>
          <w:sz w:val="18"/>
        </w:rPr>
        <w:t>Who holds rights in this situation?</w:t>
      </w:r>
    </w:p>
    <w:p>
      <w:pPr>
        <w:pStyle w:val="ListNumber"/>
        <w:spacing w:after="30" w:line="245" w:lineRule="auto"/>
      </w:pPr>
      <w:r>
        <w:rPr>
          <w:rFonts w:ascii="Aptos" w:hAnsi="Aptos"/>
          <w:b w:val="0"/>
          <w:i w:val="0"/>
          <w:color w:val="111827"/>
          <w:sz w:val="18"/>
        </w:rPr>
        <w:t>Who carries responsibilities, and what is the appropriate role of the CSO?</w:t>
      </w:r>
    </w:p>
    <w:p>
      <w:pPr>
        <w:pStyle w:val="ListNumber"/>
        <w:spacing w:after="30" w:line="245" w:lineRule="auto"/>
      </w:pPr>
      <w:r>
        <w:rPr>
          <w:rFonts w:ascii="Aptos" w:hAnsi="Aptos"/>
          <w:b w:val="0"/>
          <w:i w:val="0"/>
          <w:color w:val="111827"/>
          <w:sz w:val="18"/>
        </w:rPr>
        <w:t>Who is excluded, blocked or affected differently?</w:t>
      </w:r>
    </w:p>
    <w:p>
      <w:pPr>
        <w:pStyle w:val="ListNumber"/>
        <w:spacing w:after="30" w:line="245" w:lineRule="auto"/>
      </w:pPr>
      <w:r>
        <w:rPr>
          <w:rFonts w:ascii="Aptos" w:hAnsi="Aptos"/>
          <w:b w:val="0"/>
          <w:i w:val="0"/>
          <w:color w:val="111827"/>
          <w:sz w:val="18"/>
        </w:rPr>
        <w:t>Who influences the decision, formally or informally?</w:t>
      </w:r>
    </w:p>
    <w:p>
      <w:pPr>
        <w:pStyle w:val="ListNumber"/>
        <w:spacing w:after="30" w:line="245" w:lineRule="auto"/>
      </w:pPr>
      <w:r>
        <w:rPr>
          <w:rFonts w:ascii="Aptos" w:hAnsi="Aptos"/>
          <w:b w:val="0"/>
          <w:i w:val="0"/>
          <w:color w:val="111827"/>
          <w:sz w:val="18"/>
        </w:rPr>
        <w:t>Can relevant people participate meaningfully and safely?</w:t>
      </w:r>
    </w:p>
    <w:p>
      <w:pPr>
        <w:pStyle w:val="ListNumber"/>
        <w:spacing w:after="30" w:line="245" w:lineRule="auto"/>
      </w:pPr>
      <w:r>
        <w:rPr>
          <w:rFonts w:ascii="Aptos" w:hAnsi="Aptos"/>
          <w:b w:val="0"/>
          <w:i w:val="0"/>
          <w:color w:val="111827"/>
          <w:sz w:val="18"/>
        </w:rPr>
        <w:t>How will accountability, response and account-back happen?</w:t>
      </w:r>
    </w:p>
    <w:p>
      <w:pPr>
        <w:pStyle w:val="ListNumber"/>
        <w:spacing w:after="30" w:line="245" w:lineRule="auto"/>
      </w:pPr>
      <w:r>
        <w:rPr>
          <w:rFonts w:ascii="Aptos" w:hAnsi="Aptos"/>
          <w:b w:val="0"/>
          <w:i w:val="0"/>
          <w:color w:val="111827"/>
          <w:sz w:val="18"/>
        </w:rPr>
        <w:t>What risks or harm could arise, and how can they be reduced?</w:t>
      </w:r>
    </w:p>
    <w:p>
      <w:pPr>
        <w:pStyle w:val="ListNumber"/>
        <w:spacing w:after="30" w:line="245" w:lineRule="auto"/>
      </w:pPr>
      <w:r>
        <w:rPr>
          <w:rFonts w:ascii="Aptos" w:hAnsi="Aptos"/>
          <w:b w:val="0"/>
          <w:i w:val="0"/>
          <w:color w:val="111827"/>
          <w:sz w:val="18"/>
        </w:rPr>
        <w:t>What evidence will show who benefited, who was missed and what should change?</w:t>
      </w:r>
    </w:p>
    <w:p>
      <w:pPr>
        <w:pStyle w:val="Heading2"/>
        <w:keepNext/>
        <w:spacing w:before="100" w:after="80"/>
      </w:pPr>
      <w:r>
        <w:rPr>
          <w:rFonts w:ascii="Aptos Display" w:hAnsi="Aptos Display"/>
          <w:b/>
          <w:i w:val="0"/>
          <w:color w:val="0F172A"/>
          <w:sz w:val="24"/>
        </w:rPr>
        <w:t>9.2 Better provided as references or job aids</w:t>
      </w:r>
    </w:p>
    <w:p>
      <w:pPr>
        <w:pStyle w:val="ListBullet"/>
        <w:spacing w:after="30" w:line="245" w:lineRule="auto"/>
      </w:pPr>
      <w:r>
        <w:rPr>
          <w:rFonts w:ascii="Aptos" w:hAnsi="Aptos"/>
          <w:b w:val="0"/>
          <w:i w:val="0"/>
          <w:color w:val="111827"/>
          <w:sz w:val="18"/>
        </w:rPr>
        <w:t>Detailed legal and policy references.</w:t>
      </w:r>
    </w:p>
    <w:p>
      <w:pPr>
        <w:pStyle w:val="ListBullet"/>
        <w:spacing w:after="30" w:line="245" w:lineRule="auto"/>
      </w:pPr>
      <w:r>
        <w:rPr>
          <w:rFonts w:ascii="Aptos" w:hAnsi="Aptos"/>
          <w:b w:val="0"/>
          <w:i w:val="0"/>
          <w:color w:val="111827"/>
          <w:sz w:val="18"/>
        </w:rPr>
        <w:t>Full HRBA standards/reference notes.</w:t>
      </w:r>
    </w:p>
    <w:p>
      <w:pPr>
        <w:pStyle w:val="ListBullet"/>
        <w:spacing w:after="30" w:line="245" w:lineRule="auto"/>
      </w:pPr>
      <w:r>
        <w:rPr>
          <w:rFonts w:ascii="Aptos" w:hAnsi="Aptos"/>
          <w:b w:val="0"/>
          <w:i w:val="0"/>
          <w:color w:val="111827"/>
          <w:sz w:val="18"/>
        </w:rPr>
        <w:t>Context and inequality scan template.</w:t>
      </w:r>
    </w:p>
    <w:p>
      <w:pPr>
        <w:pStyle w:val="ListBullet"/>
        <w:spacing w:after="30" w:line="245" w:lineRule="auto"/>
      </w:pPr>
      <w:r>
        <w:rPr>
          <w:rFonts w:ascii="Aptos" w:hAnsi="Aptos"/>
          <w:b w:val="0"/>
          <w:i w:val="0"/>
          <w:color w:val="111827"/>
          <w:sz w:val="18"/>
        </w:rPr>
        <w:t>Rights-holder / duty-bearer / CSO role reference.</w:t>
      </w:r>
    </w:p>
    <w:p>
      <w:pPr>
        <w:pStyle w:val="ListBullet"/>
        <w:spacing w:after="30" w:line="245" w:lineRule="auto"/>
      </w:pPr>
      <w:r>
        <w:rPr>
          <w:rFonts w:ascii="Aptos" w:hAnsi="Aptos"/>
          <w:b w:val="0"/>
          <w:i w:val="0"/>
          <w:color w:val="111827"/>
          <w:sz w:val="18"/>
        </w:rPr>
        <w:t>Power and meaningful-participation checklist.</w:t>
      </w:r>
    </w:p>
    <w:p>
      <w:pPr>
        <w:pStyle w:val="ListBullet"/>
        <w:spacing w:after="30" w:line="245" w:lineRule="auto"/>
      </w:pPr>
      <w:r>
        <w:rPr>
          <w:rFonts w:ascii="Aptos" w:hAnsi="Aptos"/>
          <w:b w:val="0"/>
          <w:i w:val="0"/>
          <w:color w:val="111827"/>
          <w:sz w:val="18"/>
        </w:rPr>
        <w:t>Gender and disability design check.</w:t>
      </w:r>
    </w:p>
    <w:p>
      <w:pPr>
        <w:pStyle w:val="ListBullet"/>
        <w:spacing w:after="30" w:line="245" w:lineRule="auto"/>
      </w:pPr>
      <w:r>
        <w:rPr>
          <w:rFonts w:ascii="Aptos" w:hAnsi="Aptos"/>
          <w:b w:val="0"/>
          <w:i w:val="0"/>
          <w:color w:val="111827"/>
          <w:sz w:val="18"/>
        </w:rPr>
        <w:t>Risk and do-no-harm prompts.</w:t>
      </w:r>
    </w:p>
    <w:p>
      <w:pPr>
        <w:pStyle w:val="ListBullet"/>
        <w:spacing w:after="30" w:line="245" w:lineRule="auto"/>
      </w:pPr>
      <w:r>
        <w:rPr>
          <w:rFonts w:ascii="Aptos" w:hAnsi="Aptos"/>
          <w:b w:val="0"/>
          <w:i w:val="0"/>
          <w:color w:val="111827"/>
          <w:sz w:val="18"/>
        </w:rPr>
        <w:t>Project-design repair checklist.</w:t>
      </w:r>
    </w:p>
    <w:p>
      <w:pPr>
        <w:pStyle w:val="ListBullet"/>
        <w:spacing w:after="30" w:line="245" w:lineRule="auto"/>
      </w:pPr>
      <w:r>
        <w:rPr>
          <w:rFonts w:ascii="Aptos" w:hAnsi="Aptos"/>
          <w:b w:val="0"/>
          <w:i w:val="0"/>
          <w:color w:val="111827"/>
          <w:sz w:val="18"/>
        </w:rPr>
        <w:t>Responsibility-boundary guide.</w:t>
      </w:r>
    </w:p>
    <w:p>
      <w:pPr>
        <w:pStyle w:val="ListBullet"/>
        <w:spacing w:after="30" w:line="245" w:lineRule="auto"/>
      </w:pPr>
      <w:r>
        <w:rPr>
          <w:rFonts w:ascii="Aptos" w:hAnsi="Aptos"/>
          <w:b w:val="0"/>
          <w:i w:val="0"/>
          <w:color w:val="111827"/>
          <w:sz w:val="18"/>
        </w:rPr>
        <w:t>HRBA indicator and safe-evidence guidance.</w:t>
      </w:r>
    </w:p>
    <w:p>
      <w:pPr>
        <w:pStyle w:val="ListBullet"/>
        <w:spacing w:after="30" w:line="245" w:lineRule="auto"/>
      </w:pPr>
      <w:r>
        <w:rPr>
          <w:rFonts w:ascii="Aptos" w:hAnsi="Aptos"/>
          <w:b w:val="0"/>
          <w:i w:val="0"/>
          <w:color w:val="111827"/>
          <w:sz w:val="18"/>
        </w:rPr>
        <w:t>Feedback-response/account-back checklist.</w:t>
      </w:r>
    </w:p>
    <w:p>
      <w:pPr>
        <w:pStyle w:val="Heading1"/>
        <w:keepNext/>
        <w:spacing w:before="160" w:after="80"/>
      </w:pPr>
      <w:r>
        <w:rPr>
          <w:rFonts w:ascii="Aptos Display" w:hAnsi="Aptos Display"/>
          <w:b/>
          <w:i w:val="0"/>
          <w:color w:val="0F172A"/>
          <w:sz w:val="31"/>
        </w:rPr>
        <w:t>10. How This Framework Should Be Used in the Internal Pilot</w:t>
      </w:r>
    </w:p>
    <w:p>
      <w:pPr>
        <w:spacing w:before="0" w:after="80" w:line="254" w:lineRule="auto"/>
      </w:pPr>
      <w:r>
        <w:rPr>
          <w:rFonts w:ascii="Aptos" w:hAnsi="Aptos"/>
          <w:b w:val="0"/>
          <w:i w:val="0"/>
          <w:color w:val="111827"/>
          <w:sz w:val="19"/>
        </w:rPr>
        <w:t>This annex is not an additional questionnaire. It is a reference for interpreting evidence from the Quick Finding form, Final Course Review, learner records, support experience and coordinator checks. Internal reviewers should use it to understand what the HRBA course is trying to build and what kinds of findings matter most at this stage.</w:t>
      </w:r>
    </w:p>
    <w:p>
      <w:pPr>
        <w:pStyle w:val="Heading2"/>
        <w:keepNext/>
        <w:spacing w:before="100" w:after="80"/>
      </w:pPr>
      <w:r>
        <w:rPr>
          <w:rFonts w:ascii="Aptos Display" w:hAnsi="Aptos Display"/>
          <w:b/>
          <w:i w:val="0"/>
          <w:color w:val="0F172A"/>
          <w:sz w:val="24"/>
        </w:rPr>
        <w:t>10.1 Main review questions</w:t>
      </w:r>
    </w:p>
    <w:p>
      <w:pPr>
        <w:pStyle w:val="ListBullet"/>
        <w:spacing w:after="30" w:line="245" w:lineRule="auto"/>
      </w:pPr>
      <w:r>
        <w:rPr>
          <w:rFonts w:ascii="Aptos" w:hAnsi="Aptos"/>
          <w:b w:val="0"/>
          <w:i w:val="0"/>
          <w:color w:val="111827"/>
          <w:sz w:val="18"/>
        </w:rPr>
        <w:t>Does the course move HRBA beyond definitions and terminology into practical CSO decisions?</w:t>
      </w:r>
    </w:p>
    <w:p>
      <w:pPr>
        <w:pStyle w:val="ListBullet"/>
        <w:spacing w:after="30" w:line="245" w:lineRule="auto"/>
      </w:pPr>
      <w:r>
        <w:rPr>
          <w:rFonts w:ascii="Aptos" w:hAnsi="Aptos"/>
          <w:b w:val="0"/>
          <w:i w:val="0"/>
          <w:color w:val="111827"/>
          <w:sz w:val="18"/>
        </w:rPr>
        <w:t>Does the learner distinguish rights-holders, duty-bearers and the appropriate role of a CSO?</w:t>
      </w:r>
    </w:p>
    <w:p>
      <w:pPr>
        <w:pStyle w:val="ListBullet"/>
        <w:spacing w:after="30" w:line="245" w:lineRule="auto"/>
      </w:pPr>
      <w:r>
        <w:rPr>
          <w:rFonts w:ascii="Aptos" w:hAnsi="Aptos"/>
          <w:b w:val="0"/>
          <w:i w:val="0"/>
          <w:color w:val="111827"/>
          <w:sz w:val="18"/>
        </w:rPr>
        <w:t>Does participation mean more than attendance - including access, voice, influence and follow-up?</w:t>
      </w:r>
    </w:p>
    <w:p>
      <w:pPr>
        <w:pStyle w:val="ListBullet"/>
        <w:spacing w:after="30" w:line="245" w:lineRule="auto"/>
      </w:pPr>
      <w:r>
        <w:rPr>
          <w:rFonts w:ascii="Aptos" w:hAnsi="Aptos"/>
          <w:b w:val="0"/>
          <w:i w:val="0"/>
          <w:color w:val="111827"/>
          <w:sz w:val="18"/>
        </w:rPr>
        <w:t>Do power, exclusion, gender, disability and other barriers affect the decisions the learner is asked to make?</w:t>
      </w:r>
    </w:p>
    <w:p>
      <w:pPr>
        <w:pStyle w:val="ListBullet"/>
        <w:spacing w:after="30" w:line="245" w:lineRule="auto"/>
      </w:pPr>
      <w:r>
        <w:rPr>
          <w:rFonts w:ascii="Aptos" w:hAnsi="Aptos"/>
          <w:b w:val="0"/>
          <w:i w:val="0"/>
          <w:color w:val="111827"/>
          <w:sz w:val="18"/>
        </w:rPr>
        <w:t>Does Module 3 analysis lead to actual changes in project design?</w:t>
      </w:r>
    </w:p>
    <w:p>
      <w:pPr>
        <w:pStyle w:val="ListBullet"/>
        <w:spacing w:after="30" w:line="245" w:lineRule="auto"/>
      </w:pPr>
      <w:r>
        <w:rPr>
          <w:rFonts w:ascii="Aptos" w:hAnsi="Aptos"/>
          <w:b w:val="0"/>
          <w:i w:val="0"/>
          <w:color w:val="111827"/>
          <w:sz w:val="18"/>
        </w:rPr>
        <w:t>Does Module 4 maintain clear responsibility boundaries and use constructive engagement and adaptation?</w:t>
      </w:r>
    </w:p>
    <w:p>
      <w:pPr>
        <w:pStyle w:val="ListBullet"/>
        <w:spacing w:after="30" w:line="245" w:lineRule="auto"/>
      </w:pPr>
      <w:r>
        <w:rPr>
          <w:rFonts w:ascii="Aptos" w:hAnsi="Aptos"/>
          <w:b w:val="0"/>
          <w:i w:val="0"/>
          <w:color w:val="111827"/>
          <w:sz w:val="18"/>
        </w:rPr>
        <w:t>Does Module 5 connect evidence with accountability, learning and management decisions?</w:t>
      </w:r>
    </w:p>
    <w:p>
      <w:pPr>
        <w:pStyle w:val="ListBullet"/>
        <w:spacing w:after="30" w:line="245" w:lineRule="auto"/>
      </w:pPr>
      <w:r>
        <w:rPr>
          <w:rFonts w:ascii="Aptos" w:hAnsi="Aptos"/>
          <w:b w:val="0"/>
          <w:i w:val="0"/>
          <w:color w:val="111827"/>
          <w:sz w:val="18"/>
        </w:rPr>
        <w:t>Does corrective feedback help the learner understand and improve a weak choice?</w:t>
      </w:r>
    </w:p>
    <w:p>
      <w:pPr>
        <w:pStyle w:val="ListBullet"/>
        <w:spacing w:after="30" w:line="245" w:lineRule="auto"/>
      </w:pPr>
      <w:r>
        <w:rPr>
          <w:rFonts w:ascii="Aptos" w:hAnsi="Aptos"/>
          <w:b w:val="0"/>
          <w:i w:val="0"/>
          <w:color w:val="111827"/>
          <w:sz w:val="18"/>
        </w:rPr>
        <w:t>Does the final assessment test the same practical decisions that the course helps the learner practise?</w:t>
      </w:r>
    </w:p>
    <w:p>
      <w:pPr>
        <w:pStyle w:val="ListBullet"/>
        <w:spacing w:after="30" w:line="245" w:lineRule="auto"/>
      </w:pPr>
      <w:r>
        <w:rPr>
          <w:rFonts w:ascii="Aptos" w:hAnsi="Aptos"/>
          <w:b w:val="0"/>
          <w:i w:val="0"/>
          <w:color w:val="111827"/>
          <w:sz w:val="18"/>
        </w:rPr>
        <w:t>Can the learner identify at least one tool, question or activity that could realistically be adapted to CSO work?</w:t>
      </w:r>
    </w:p>
    <w:p>
      <w:pPr>
        <w:pStyle w:val="Heading2"/>
        <w:keepNext/>
        <w:spacing w:before="100" w:after="80"/>
      </w:pPr>
      <w:r>
        <w:rPr>
          <w:rFonts w:ascii="Aptos Display" w:hAnsi="Aptos Display"/>
          <w:b/>
          <w:i w:val="0"/>
          <w:color w:val="0F172A"/>
          <w:sz w:val="24"/>
        </w:rPr>
        <w:t>10.2 Link to the six Internal Pilot review domains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Internal Pilot domain</w:t>
            </w:r>
          </w:p>
        </w:tc>
        <w:tc>
          <w:tcPr>
            <w:tcW w:type="dxa" w:w="680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What this annex adds for HRBA review</w:t>
            </w:r>
          </w:p>
        </w:tc>
      </w:tr>
      <w:tr>
        <w:trPr>
          <w:cantSplit/>
        </w:trPr>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1. Access &amp; Entry</w:t>
            </w:r>
          </w:p>
        </w:tc>
        <w:tc>
          <w:tcPr>
            <w:tcW w:type="dxa" w:w="680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No additional HRBA-specific content review; confirm that learners can reach and continue the course reliably.</w:t>
            </w:r>
          </w:p>
        </w:tc>
      </w:tr>
      <w:tr>
        <w:trPr>
          <w:cantSplit/>
        </w:trPr>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2. Learning Experience</w:t>
            </w:r>
          </w:p>
        </w:tc>
        <w:tc>
          <w:tcPr>
            <w:tcW w:type="dxa" w:w="680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Check instructions, pacing, feedback, activity clarity and whether the practice sequence is understandable on ordinary devices.</w:t>
            </w:r>
          </w:p>
        </w:tc>
      </w:tr>
      <w:tr>
        <w:trPr>
          <w:cantSplit/>
        </w:trPr>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3. Learning &amp; Better Decisions</w:t>
            </w:r>
          </w:p>
        </w:tc>
        <w:tc>
          <w:tcPr>
            <w:tcW w:type="dxa" w:w="680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Primary Capacity-to-Action domain: review whether the course improves rights/responsibility, power/participation, design, implementation and MEAL decisions.</w:t>
            </w:r>
          </w:p>
        </w:tc>
      </w:tr>
      <w:tr>
        <w:trPr>
          <w:cantSplit/>
        </w:trPr>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4. Context &amp; Relevance</w:t>
            </w:r>
          </w:p>
        </w:tc>
        <w:tc>
          <w:tcPr>
            <w:tcW w:type="dxa" w:w="680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Review whether language, case situations, constraints and tools are credible and adaptable for local and grassroots CSOs.</w:t>
            </w:r>
          </w:p>
        </w:tc>
      </w:tr>
      <w:tr>
        <w:trPr>
          <w:cantSplit/>
        </w:trPr>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5. Application &amp; Transfer</w:t>
            </w:r>
          </w:p>
        </w:tc>
        <w:tc>
          <w:tcPr>
            <w:tcW w:type="dxa" w:w="680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Review whether the learner can identify a concrete CSO use for at least one tool/action and what support may be needed for transfer.</w:t>
            </w:r>
          </w:p>
        </w:tc>
      </w:tr>
      <w:tr>
        <w:trPr>
          <w:cantSplit/>
        </w:trPr>
        <w:tc>
          <w:tcPr>
            <w:tcW w:type="dxa" w:w="249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6. DEC Operational Readiness</w:t>
            </w:r>
          </w:p>
        </w:tc>
        <w:tc>
          <w:tcPr>
            <w:tcW w:type="dxa" w:w="680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Review whether course support, issue interpretation and evidence are manageable for DEC; distinguish course changes from wider capacity support.</w:t>
            </w:r>
          </w:p>
        </w:tc>
      </w:tr>
    </w:tbl>
    <w:p>
      <w:pPr>
        <w:spacing w:after="20"/>
      </w:pPr>
    </w:p>
    <w:p>
      <w:pPr>
        <w:pStyle w:val="Heading2"/>
        <w:keepNext/>
        <w:spacing w:before="100" w:after="80"/>
      </w:pPr>
      <w:r>
        <w:rPr>
          <w:rFonts w:ascii="Aptos Display" w:hAnsi="Aptos Display"/>
          <w:b/>
          <w:i w:val="0"/>
          <w:color w:val="0F172A"/>
          <w:sz w:val="24"/>
        </w:rPr>
        <w:t>10.3 Pilot decision horizons for HRBA findings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60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Decision horizon</w:t>
            </w:r>
          </w:p>
        </w:tc>
        <w:tc>
          <w:tcPr>
            <w:tcW w:type="dxa" w:w="6690"/>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HRBA examples</w:t>
            </w:r>
          </w:p>
        </w:tc>
      </w:tr>
      <w:tr>
        <w:trPr>
          <w:cantSplit/>
        </w:trPr>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During internal pilot</w:t>
            </w:r>
          </w:p>
        </w:tc>
        <w:tc>
          <w:tcPr>
            <w:tcW w:type="dxa" w:w="669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No valid answer/completion route; materially wrong or harmful content; severe feedback trap; core activity cannot be completed; major access or progression failure.</w:t>
            </w:r>
          </w:p>
        </w:tc>
      </w:tr>
      <w:tr>
        <w:trPr>
          <w:cantSplit/>
        </w:trPr>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Before selected-CSO pilot</w:t>
            </w:r>
          </w:p>
        </w:tc>
        <w:tc>
          <w:tcPr>
            <w:tcW w:type="dxa" w:w="669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Important unclear instructions; misleading feedback; assessment mismatch; major contextual weakness; repeated Fragile learning path; important readability/accessibility issue.</w:t>
            </w:r>
          </w:p>
        </w:tc>
      </w:tr>
      <w:tr>
        <w:trPr>
          <w:cantSplit/>
        </w:trPr>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Validate during selected-CSO pilot</w:t>
            </w:r>
          </w:p>
        </w:tc>
        <w:tc>
          <w:tcPr>
            <w:tcW w:type="dxa" w:w="669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Questions of local relevance, language fit, perceived usefulness, tool adaptability and variation across intended CSO roles.</w:t>
            </w:r>
          </w:p>
        </w:tc>
      </w:tr>
      <w:tr>
        <w:trPr>
          <w:cantSplit/>
        </w:trPr>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Before wider release</w:t>
            </w:r>
          </w:p>
        </w:tc>
        <w:tc>
          <w:tcPr>
            <w:tcW w:type="dxa" w:w="669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Final job-aid package, refined visuals/media, non-blocking pacing improvements and final consistency/polish after content/design validation.</w:t>
            </w:r>
          </w:p>
        </w:tc>
      </w:tr>
      <w:tr>
        <w:trPr>
          <w:cantSplit/>
        </w:trPr>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Later programme / phase</w:t>
            </w:r>
          </w:p>
        </w:tc>
        <w:tc>
          <w:tcPr>
            <w:tcW w:type="dxa" w:w="669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Peer learning, mentoring, organisational follow-up, local-language expansion, deeper coaching or co-creation support.</w:t>
            </w:r>
          </w:p>
        </w:tc>
      </w:tr>
      <w:tr>
        <w:trPr>
          <w:cantSplit/>
        </w:trPr>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Retain / no change</w:t>
            </w:r>
          </w:p>
        </w:tc>
        <w:tc>
          <w:tcPr>
            <w:tcW w:type="dxa" w:w="669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Activities, feedback, cases or tools that consistently support clear and useful decisions.</w:t>
            </w:r>
          </w:p>
        </w:tc>
      </w:tr>
    </w:tbl>
    <w:p>
      <w:pPr>
        <w:spacing w:after="20"/>
      </w:pPr>
    </w:p>
    <w:p>
      <w:pPr>
        <w:pStyle w:val="Heading1"/>
        <w:keepNext/>
        <w:spacing w:before="160" w:after="80"/>
      </w:pPr>
      <w:r>
        <w:rPr>
          <w:rFonts w:ascii="Aptos Display" w:hAnsi="Aptos Display"/>
          <w:b/>
          <w:i w:val="0"/>
          <w:color w:val="0F172A"/>
          <w:sz w:val="31"/>
        </w:rPr>
        <w:t>11. Practice Transfer Beyond the Course</w:t>
      </w:r>
    </w:p>
    <w:p>
      <w:pPr>
        <w:spacing w:before="0" w:after="80" w:line="254" w:lineRule="auto"/>
      </w:pPr>
      <w:r>
        <w:rPr>
          <w:rFonts w:ascii="Aptos" w:hAnsi="Aptos"/>
          <w:b w:val="0"/>
          <w:i w:val="0"/>
          <w:color w:val="111827"/>
          <w:sz w:val="19"/>
        </w:rPr>
        <w:t>The most important extension after course validation is a small practice bridge. The learner should have an opportunity to use or adapt one HRBA question, tool or decision approach in actual work and report what changed. This should be tested as a programme-level follow-up rather than added as another large course module.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47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Timing</w:t>
            </w:r>
          </w:p>
        </w:tc>
        <w:tc>
          <w:tcPr>
            <w:tcW w:type="dxa" w:w="2154"/>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Step</w:t>
            </w:r>
          </w:p>
        </w:tc>
        <w:tc>
          <w:tcPr>
            <w:tcW w:type="dxa" w:w="4252"/>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Examples</w:t>
            </w:r>
          </w:p>
        </w:tc>
        <w:tc>
          <w:tcPr>
            <w:tcW w:type="dxa" w:w="1530"/>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Evidence</w:t>
            </w:r>
          </w:p>
        </w:tc>
      </w:tr>
      <w:tr>
        <w:trPr>
          <w:cantSplit/>
        </w:trPr>
        <w:tc>
          <w:tcPr>
            <w:tcW w:type="dxa" w:w="147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Within 1 week</w:t>
            </w:r>
          </w:p>
        </w:tc>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Choose one real HRBA action</w:t>
            </w:r>
          </w:p>
        </w:tc>
        <w:tc>
          <w:tcPr>
            <w:tcW w:type="dxa" w:w="425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Review one participation process; revise one indicator; check actor responsibilities; review one activity for exclusion; improve one feedback mechanism; review one objective; conduct a small power/barrier check.</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Specific commitment linked to current work.</w:t>
            </w:r>
          </w:p>
        </w:tc>
      </w:tr>
      <w:tr>
        <w:trPr>
          <w:cantSplit/>
        </w:trPr>
        <w:tc>
          <w:tcPr>
            <w:tcW w:type="dxa" w:w="147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2-4 weeks</w:t>
            </w:r>
          </w:p>
        </w:tc>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Short application follow-up</w:t>
            </w:r>
          </w:p>
        </w:tc>
        <w:tc>
          <w:tcPr>
            <w:tcW w:type="dxa" w:w="4252"/>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What did you try? What did you notice? What changed? What was difficult? What will you adjust?</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Evidence of use and barriers.</w:t>
            </w:r>
          </w:p>
        </w:tc>
      </w:tr>
      <w:tr>
        <w:trPr>
          <w:cantSplit/>
        </w:trPr>
        <w:tc>
          <w:tcPr>
            <w:tcW w:type="dxa" w:w="147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6-12 weeks</w:t>
            </w:r>
          </w:p>
        </w:tc>
        <w:tc>
          <w:tcPr>
            <w:tcW w:type="dxa" w:w="2154"/>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Optional peer/coaching reflection</w:t>
            </w:r>
          </w:p>
        </w:tc>
        <w:tc>
          <w:tcPr>
            <w:tcW w:type="dxa" w:w="425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Review one anonymised adapted tool or decision with a peer, supervisor or coach.</w:t>
            </w:r>
          </w:p>
        </w:tc>
        <w:tc>
          <w:tcPr>
            <w:tcW w:type="dxa" w:w="1530"/>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Deeper transfer and organisational learning.</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4E5"/>
            <w:tcMar>
              <w:top w:w="105" w:type="dxa"/>
              <w:start w:w="125" w:type="dxa"/>
              <w:bottom w:w="105" w:type="dxa"/>
              <w:end w:w="125" w:type="dxa"/>
            </w:tcMar>
            <w:tcBorders>
              <w:top w:val="single" w:sz="4" w:color="D8E6EA"/>
              <w:left w:val="single" w:sz="18" w:color="F59E0B"/>
              <w:bottom w:val="single" w:sz="4" w:color="D8E6EA"/>
              <w:right w:val="single" w:sz="4" w:color="D8E6EA"/>
            </w:tcBorders>
          </w:tcPr>
          <w:p>
            <w:pPr>
              <w:spacing w:after="0"/>
            </w:pPr>
            <w:r>
              <w:rPr>
                <w:rFonts w:ascii="Aptos" w:hAnsi="Aptos"/>
                <w:b/>
                <w:i w:val="0"/>
                <w:color w:val="0F172A"/>
                <w:sz w:val="20"/>
              </w:rPr>
              <w:t>Strong transfer evidence</w:t>
              <w:br/>
            </w:r>
            <w:r>
              <w:rPr>
                <w:rFonts w:ascii="Aptos" w:hAnsi="Aptos"/>
                <w:b w:val="0"/>
                <w:i w:val="0"/>
                <w:color w:val="111827"/>
                <w:sz w:val="18"/>
              </w:rPr>
              <w:t>Not simply: 'I used the template.' Better: 'Using the tool helped us notice X, so we changed decision Y.'</w:t>
            </w:r>
          </w:p>
        </w:tc>
      </w:tr>
    </w:tbl>
    <w:p>
      <w:pPr>
        <w:spacing w:after="20"/>
      </w:pPr>
    </w:p>
    <w:p>
      <w:pPr>
        <w:pStyle w:val="Heading1"/>
        <w:keepNext/>
        <w:spacing w:before="160" w:after="80"/>
      </w:pPr>
      <w:r>
        <w:rPr>
          <w:rFonts w:ascii="Aptos Display" w:hAnsi="Aptos Display"/>
          <w:b/>
          <w:i w:val="0"/>
          <w:color w:val="0F172A"/>
          <w:sz w:val="31"/>
        </w:rPr>
        <w:t>12. Evaluation and Learning Evidence</w:t>
      </w:r>
    </w:p>
    <w:p>
      <w:pPr>
        <w:spacing w:before="0" w:after="80" w:line="254" w:lineRule="auto"/>
      </w:pPr>
      <w:r>
        <w:rPr>
          <w:rFonts w:ascii="Aptos" w:hAnsi="Aptos"/>
          <w:b w:val="0"/>
          <w:i w:val="0"/>
          <w:color w:val="111827"/>
          <w:sz w:val="19"/>
        </w:rPr>
        <w:t>Completion and assessment data remain useful, but they should not be the only evidence of success. A stronger evaluation chain follows the learner from course decisions toward workplace use and organisational practice.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097"/>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Evidence level</w:t>
            </w:r>
          </w:p>
        </w:tc>
        <w:tc>
          <w:tcPr>
            <w:tcW w:type="dxa" w:w="4592"/>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Core question</w:t>
            </w:r>
          </w:p>
        </w:tc>
        <w:tc>
          <w:tcPr>
            <w:tcW w:type="dxa" w:w="2608"/>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6"/>
              </w:rPr>
              <w:t>Possible source</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1. Course practice</w:t>
            </w:r>
          </w:p>
        </w:tc>
        <w:tc>
          <w:tcPr>
            <w:tcW w:type="dxa" w:w="459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Can learners make sound HRBA decisions in realistic course situations?</w:t>
            </w:r>
          </w:p>
        </w:tc>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Decision activities, workspaces, final assessment.</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2. Transfer readiness</w:t>
            </w:r>
          </w:p>
        </w:tc>
        <w:tc>
          <w:tcPr>
            <w:tcW w:type="dxa" w:w="4592"/>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Can learners identify exactly where and how they could use an HRBA tool or question?</w:t>
            </w:r>
          </w:p>
        </w:tc>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Final review and practical-use example.</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3. Workplace behaviour</w:t>
            </w:r>
          </w:p>
        </w:tc>
        <w:tc>
          <w:tcPr>
            <w:tcW w:type="dxa" w:w="459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Did the learner actually use or adapt a tool or decision approach after the course?</w:t>
            </w:r>
          </w:p>
        </w:tc>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6"/>
              </w:rPr>
              <w:t>2-4 week follow-up.</w:t>
            </w:r>
          </w:p>
        </w:tc>
      </w:tr>
      <w:tr>
        <w:trPr>
          <w:cantSplit/>
        </w:trPr>
        <w:tc>
          <w:tcPr>
            <w:tcW w:type="dxa" w:w="2097"/>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4. Organisational practice</w:t>
            </w:r>
          </w:p>
        </w:tc>
        <w:tc>
          <w:tcPr>
            <w:tcW w:type="dxa" w:w="4592"/>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Did a project decision, plan, indicator, participation mechanism, accountability process or review practice change?</w:t>
            </w:r>
          </w:p>
        </w:tc>
        <w:tc>
          <w:tcPr>
            <w:tcW w:type="dxa" w:w="2608"/>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6"/>
              </w:rPr>
              <w:t>Optional document/tool review, supervisor or peer reflection.</w:t>
            </w:r>
          </w:p>
        </w:tc>
      </w:tr>
    </w:tbl>
    <w:p>
      <w:pPr>
        <w:spacing w:after="20"/>
      </w:pPr>
    </w:p>
    <w:p>
      <w:pPr>
        <w:pStyle w:val="Heading2"/>
        <w:keepNext/>
        <w:spacing w:before="100" w:after="80"/>
      </w:pPr>
      <w:r>
        <w:rPr>
          <w:rFonts w:ascii="Aptos Display" w:hAnsi="Aptos Display"/>
          <w:b/>
          <w:i w:val="0"/>
          <w:color w:val="0F172A"/>
          <w:sz w:val="24"/>
        </w:rPr>
        <w:t>12.1 Suggested post-course follow-up questions</w:t>
      </w:r>
    </w:p>
    <w:p>
      <w:pPr>
        <w:pStyle w:val="ListBullet"/>
        <w:spacing w:after="30" w:line="245" w:lineRule="auto"/>
      </w:pPr>
      <w:r>
        <w:rPr>
          <w:rFonts w:ascii="Aptos" w:hAnsi="Aptos"/>
          <w:b w:val="0"/>
          <w:i w:val="0"/>
          <w:color w:val="111827"/>
          <w:sz w:val="18"/>
        </w:rPr>
        <w:t>Since completing the course, identify one project or organisational decision where you used an HRBA approach. What did you notice, and what did you do differently as a result?</w:t>
      </w:r>
    </w:p>
    <w:p>
      <w:pPr>
        <w:pStyle w:val="ListBullet"/>
        <w:spacing w:after="30" w:line="245" w:lineRule="auto"/>
      </w:pPr>
      <w:r>
        <w:rPr>
          <w:rFonts w:ascii="Aptos" w:hAnsi="Aptos"/>
          <w:b w:val="0"/>
          <w:i w:val="0"/>
          <w:color w:val="111827"/>
          <w:sz w:val="18"/>
        </w:rPr>
        <w:t>What prevented or limited application? Main categories may include knowledge/practice, tool/process, time/resource, management/authority, external environment, risk/sensitivity, connectivity/access, or not currently relevant.</w:t>
      </w:r>
    </w:p>
    <w:p>
      <w:pPr>
        <w:pStyle w:val="ListBullet"/>
        <w:spacing w:after="30" w:line="245" w:lineRule="auto"/>
      </w:pPr>
      <w:r>
        <w:rPr>
          <w:rFonts w:ascii="Aptos" w:hAnsi="Aptos"/>
          <w:b w:val="0"/>
          <w:i w:val="0"/>
          <w:color w:val="111827"/>
          <w:sz w:val="18"/>
        </w:rPr>
        <w:t>What additional support would make the next application easier: job aid, peer learning, coaching, management support, organisational process change, or another form of capacity support?</w:t>
      </w:r>
    </w:p>
    <w:p>
      <w:pPr>
        <w:pStyle w:val="Heading1"/>
        <w:keepNext/>
        <w:spacing w:before="160" w:after="80"/>
      </w:pPr>
      <w:r>
        <w:rPr>
          <w:rFonts w:ascii="Aptos Display" w:hAnsi="Aptos Display"/>
          <w:b/>
          <w:i w:val="0"/>
          <w:color w:val="0F172A"/>
          <w:sz w:val="31"/>
        </w:rPr>
        <w:t>13. Course Boundaries: What Learning Alone Cannot Solve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082"/>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7"/>
              </w:rPr>
              <w:t>Need or constraint</w:t>
            </w:r>
          </w:p>
        </w:tc>
        <w:tc>
          <w:tcPr>
            <w:tcW w:type="dxa" w:w="5216"/>
            <w:shd w:fill="0F172A"/>
            <w:tcMar>
              <w:top w:w="80" w:type="dxa"/>
              <w:start w:w="95" w:type="dxa"/>
              <w:bottom w:w="80" w:type="dxa"/>
              <w:end w:w="95" w:type="dxa"/>
            </w:tcMar>
            <w:tcBorders>
              <w:top w:val="single" w:sz="4" w:color="D8E6EA"/>
              <w:left w:val="single" w:sz="4" w:color="D8E6EA"/>
              <w:bottom w:val="single" w:sz="4" w:color="D8E6EA"/>
              <w:right w:val="single" w:sz="4" w:color="D8E6EA"/>
            </w:tcBorders>
            <w:vAlign w:val="center"/>
          </w:tcPr>
          <w:p>
            <w:pPr>
              <w:spacing w:after="0"/>
            </w:pPr>
            <w:r>
              <w:rPr>
                <w:rFonts w:ascii="Aptos" w:hAnsi="Aptos"/>
                <w:b/>
                <w:i w:val="0"/>
                <w:color w:val="FFFFFF"/>
                <w:sz w:val="17"/>
              </w:rPr>
              <w:t>Complementary response</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Lack of budget for accessibility or participation measures</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Management/resource decision.</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Learner lacks authority to change project design</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Supervisor/programme-management involvement.</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No organisational feedback/accountability process</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Process/SOP improvement plus learning.</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Weak MEAL systems or data infrastructure</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Organisational MEAL support.</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Duty-bearer engagement is constrained or slow</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Relationship/engagement strategy.</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Sensitive accountability issue creates risk</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Context-specific risk assessment, safeguarding and management decision.</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Poor connectivity or device limitations</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vAlign w:val="top"/>
          </w:tcPr>
          <w:p>
            <w:pPr>
              <w:spacing w:after="0" w:line="240" w:lineRule="auto"/>
            </w:pPr>
            <w:r>
              <w:rPr>
                <w:rFonts w:ascii="Aptos" w:hAnsi="Aptos"/>
                <w:b w:val="0"/>
                <w:i w:val="0"/>
                <w:color w:val="111827"/>
                <w:sz w:val="17"/>
              </w:rPr>
              <w:t>Low-data/accessible delivery and technical arrangements.</w:t>
            </w:r>
          </w:p>
        </w:tc>
      </w:tr>
      <w:tr>
        <w:trPr>
          <w:cantSplit/>
        </w:trPr>
        <w:tc>
          <w:tcPr>
            <w:tcW w:type="dxa" w:w="4082"/>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Need for sector or local adaptation</w:t>
            </w:r>
          </w:p>
        </w:tc>
        <w:tc>
          <w:tcPr>
            <w:tcW w:type="dxa" w:w="5216"/>
            <w:tcMar>
              <w:top w:w="80" w:type="dxa"/>
              <w:start w:w="95" w:type="dxa"/>
              <w:bottom w:w="80" w:type="dxa"/>
              <w:end w:w="95" w:type="dxa"/>
            </w:tcMar>
            <w:tcBorders>
              <w:top w:val="single" w:sz="4" w:color="D8E6EA"/>
              <w:left w:val="single" w:sz="4" w:color="D8E6EA"/>
              <w:bottom w:val="single" w:sz="4" w:color="D8E6EA"/>
              <w:right w:val="single" w:sz="4" w:color="D8E6EA"/>
            </w:tcBorders>
            <w:shd w:fill="F8FAFC"/>
            <w:vAlign w:val="top"/>
          </w:tcPr>
          <w:p>
            <w:pPr>
              <w:spacing w:after="0" w:line="240" w:lineRule="auto"/>
            </w:pPr>
            <w:r>
              <w:rPr>
                <w:rFonts w:ascii="Aptos" w:hAnsi="Aptos"/>
                <w:b w:val="0"/>
                <w:i w:val="0"/>
                <w:color w:val="111827"/>
                <w:sz w:val="17"/>
              </w:rPr>
              <w:t>Peer learning, coaching or facilitated contextualisation.</w:t>
            </w:r>
          </w:p>
        </w:tc>
      </w:tr>
    </w:tbl>
    <w:p>
      <w:pPr>
        <w:spacing w:after="20"/>
      </w:pPr>
    </w:p>
    <w:p>
      <w:pPr>
        <w:pStyle w:val="Heading1"/>
        <w:keepNext/>
        <w:spacing w:before="160" w:after="80"/>
      </w:pPr>
      <w:r>
        <w:rPr>
          <w:rFonts w:ascii="Aptos Display" w:hAnsi="Aptos Display"/>
          <w:b/>
          <w:i w:val="0"/>
          <w:color w:val="0F172A"/>
          <w:sz w:val="31"/>
        </w:rPr>
        <w:t>14. Design Review Priorities</w:t>
      </w:r>
    </w:p>
    <w:p>
      <w:pPr>
        <w:pStyle w:val="Heading2"/>
        <w:keepNext/>
        <w:spacing w:before="100" w:after="80"/>
      </w:pPr>
      <w:r>
        <w:rPr>
          <w:rFonts w:ascii="Aptos Display" w:hAnsi="Aptos Display"/>
          <w:b/>
          <w:i w:val="0"/>
          <w:color w:val="0F172A"/>
          <w:sz w:val="24"/>
        </w:rPr>
        <w:t>14.1 Retain if pilot evidence supports them</w:t>
      </w:r>
    </w:p>
    <w:p>
      <w:pPr>
        <w:pStyle w:val="ListBullet"/>
        <w:spacing w:after="30" w:line="245" w:lineRule="auto"/>
      </w:pPr>
      <w:r>
        <w:rPr>
          <w:rFonts w:ascii="Aptos" w:hAnsi="Aptos"/>
          <w:b w:val="0"/>
          <w:i w:val="0"/>
          <w:color w:val="111827"/>
          <w:sz w:val="18"/>
        </w:rPr>
        <w:t>The continuing fictional Ethiopian CSO/community case as a safe, coherent practice environment.</w:t>
      </w:r>
    </w:p>
    <w:p>
      <w:pPr>
        <w:pStyle w:val="ListBullet"/>
        <w:spacing w:after="30" w:line="245" w:lineRule="auto"/>
      </w:pPr>
      <w:r>
        <w:rPr>
          <w:rFonts w:ascii="Aptos" w:hAnsi="Aptos"/>
          <w:b w:val="0"/>
          <w:i w:val="0"/>
          <w:color w:val="111827"/>
          <w:sz w:val="18"/>
        </w:rPr>
        <w:t>The progression from foundations to project design, implementation and MEAL.</w:t>
      </w:r>
    </w:p>
    <w:p>
      <w:pPr>
        <w:pStyle w:val="ListBullet"/>
        <w:spacing w:after="30" w:line="245" w:lineRule="auto"/>
      </w:pPr>
      <w:r>
        <w:rPr>
          <w:rFonts w:ascii="Aptos" w:hAnsi="Aptos"/>
          <w:b w:val="0"/>
          <w:i w:val="0"/>
          <w:color w:val="111827"/>
          <w:sz w:val="18"/>
        </w:rPr>
        <w:t>Module 3's design-studio sequence and reusable outputs.</w:t>
      </w:r>
    </w:p>
    <w:p>
      <w:pPr>
        <w:pStyle w:val="ListBullet"/>
        <w:spacing w:after="30" w:line="245" w:lineRule="auto"/>
      </w:pPr>
      <w:r>
        <w:rPr>
          <w:rFonts w:ascii="Aptos" w:hAnsi="Aptos"/>
          <w:b w:val="0"/>
          <w:i w:val="0"/>
          <w:color w:val="111827"/>
          <w:sz w:val="18"/>
        </w:rPr>
        <w:t>Responsibility-boundary and constructive-engagement decisions in Module 4.</w:t>
      </w:r>
    </w:p>
    <w:p>
      <w:pPr>
        <w:pStyle w:val="ListBullet"/>
        <w:spacing w:after="30" w:line="245" w:lineRule="auto"/>
      </w:pPr>
      <w:r>
        <w:rPr>
          <w:rFonts w:ascii="Aptos" w:hAnsi="Aptos"/>
          <w:b w:val="0"/>
          <w:i w:val="0"/>
          <w:color w:val="111827"/>
          <w:sz w:val="18"/>
        </w:rPr>
        <w:t>Module 5's evidence -&gt; interpretation -&gt; decision -&gt; adaptation -&gt; account-back sequence.</w:t>
      </w:r>
    </w:p>
    <w:p>
      <w:pPr>
        <w:pStyle w:val="ListBullet"/>
        <w:spacing w:after="30" w:line="245" w:lineRule="auto"/>
      </w:pPr>
      <w:r>
        <w:rPr>
          <w:rFonts w:ascii="Aptos" w:hAnsi="Aptos"/>
          <w:b w:val="0"/>
          <w:i w:val="0"/>
          <w:color w:val="111827"/>
          <w:sz w:val="18"/>
        </w:rPr>
        <w:t>Corrective feedback that explains why a decision is weak or strong.</w:t>
      </w:r>
    </w:p>
    <w:p>
      <w:pPr>
        <w:pStyle w:val="ListBullet"/>
        <w:spacing w:after="30" w:line="245" w:lineRule="auto"/>
      </w:pPr>
      <w:r>
        <w:rPr>
          <w:rFonts w:ascii="Aptos" w:hAnsi="Aptos"/>
          <w:b w:val="0"/>
          <w:i w:val="0"/>
          <w:color w:val="111827"/>
          <w:sz w:val="18"/>
        </w:rPr>
        <w:t>An applied final assessment focused on the decisions practised in the course.</w:t>
      </w:r>
    </w:p>
    <w:p>
      <w:pPr>
        <w:pStyle w:val="Heading2"/>
        <w:keepNext/>
        <w:spacing w:before="100" w:after="80"/>
      </w:pPr>
      <w:r>
        <w:rPr>
          <w:rFonts w:ascii="Aptos Display" w:hAnsi="Aptos Display"/>
          <w:b/>
          <w:i w:val="0"/>
          <w:color w:val="0F172A"/>
          <w:sz w:val="24"/>
        </w:rPr>
        <w:t>14.2 Strengthen or validate through the pilot</w:t>
      </w:r>
    </w:p>
    <w:p>
      <w:pPr>
        <w:pStyle w:val="ListBullet"/>
        <w:spacing w:after="30" w:line="245" w:lineRule="auto"/>
      </w:pPr>
      <w:r>
        <w:rPr>
          <w:rFonts w:ascii="Aptos" w:hAnsi="Aptos"/>
          <w:b w:val="0"/>
          <w:i w:val="0"/>
          <w:color w:val="111827"/>
          <w:sz w:val="18"/>
        </w:rPr>
        <w:t>Confirm that foundational content is concise enough and directly supports later practice.</w:t>
      </w:r>
    </w:p>
    <w:p>
      <w:pPr>
        <w:pStyle w:val="ListBullet"/>
        <w:spacing w:after="30" w:line="245" w:lineRule="auto"/>
      </w:pPr>
      <w:r>
        <w:rPr>
          <w:rFonts w:ascii="Aptos" w:hAnsi="Aptos"/>
          <w:b w:val="0"/>
          <w:i w:val="0"/>
          <w:color w:val="111827"/>
          <w:sz w:val="18"/>
        </w:rPr>
        <w:t>Confirm that required activities have clear instructions, valid completion paths and useful feedback.</w:t>
      </w:r>
    </w:p>
    <w:p>
      <w:pPr>
        <w:pStyle w:val="ListBullet"/>
        <w:spacing w:after="30" w:line="245" w:lineRule="auto"/>
      </w:pPr>
      <w:r>
        <w:rPr>
          <w:rFonts w:ascii="Aptos" w:hAnsi="Aptos"/>
          <w:b w:val="0"/>
          <w:i w:val="0"/>
          <w:color w:val="111827"/>
          <w:sz w:val="18"/>
        </w:rPr>
        <w:t>Check whether the final assessment remains dominated by applied decisions rather than recall.</w:t>
      </w:r>
    </w:p>
    <w:p>
      <w:pPr>
        <w:pStyle w:val="ListBullet"/>
        <w:spacing w:after="30" w:line="245" w:lineRule="auto"/>
      </w:pPr>
      <w:r>
        <w:rPr>
          <w:rFonts w:ascii="Aptos" w:hAnsi="Aptos"/>
          <w:b w:val="0"/>
          <w:i w:val="0"/>
          <w:color w:val="111827"/>
          <w:sz w:val="18"/>
        </w:rPr>
        <w:t>Identify which course tools should be included in a concise downloadable HRBA Action Pack after validation.</w:t>
      </w:r>
    </w:p>
    <w:p>
      <w:pPr>
        <w:pStyle w:val="ListBullet"/>
        <w:spacing w:after="30" w:line="245" w:lineRule="auto"/>
      </w:pPr>
      <w:r>
        <w:rPr>
          <w:rFonts w:ascii="Aptos" w:hAnsi="Aptos"/>
          <w:b w:val="0"/>
          <w:i w:val="0"/>
          <w:color w:val="111827"/>
          <w:sz w:val="18"/>
        </w:rPr>
        <w:t>Test whether learners can name one realistic workplace application and what additional support they need.</w:t>
      </w:r>
    </w:p>
    <w:p>
      <w:pPr>
        <w:pStyle w:val="ListBullet"/>
        <w:spacing w:after="30" w:line="245" w:lineRule="auto"/>
      </w:pPr>
      <w:r>
        <w:rPr>
          <w:rFonts w:ascii="Aptos" w:hAnsi="Aptos"/>
          <w:b w:val="0"/>
          <w:i w:val="0"/>
          <w:color w:val="111827"/>
          <w:sz w:val="18"/>
        </w:rPr>
        <w:t>Use selected-CSO evidence to validate language, examples, contextual assumptions and tool adaptability.</w:t>
      </w:r>
    </w:p>
    <w:p>
      <w:pPr>
        <w:pStyle w:val="Heading2"/>
        <w:keepNext/>
        <w:spacing w:before="100" w:after="80"/>
      </w:pPr>
      <w:r>
        <w:rPr>
          <w:rFonts w:ascii="Aptos Display" w:hAnsi="Aptos Display"/>
          <w:b/>
          <w:i w:val="0"/>
          <w:color w:val="0F172A"/>
          <w:sz w:val="24"/>
        </w:rPr>
        <w:t>14.3 Avoid</w:t>
      </w:r>
    </w:p>
    <w:p>
      <w:pPr>
        <w:pStyle w:val="ListBullet"/>
        <w:spacing w:after="30" w:line="245" w:lineRule="auto"/>
      </w:pPr>
      <w:r>
        <w:rPr>
          <w:rFonts w:ascii="Aptos" w:hAnsi="Aptos"/>
          <w:b w:val="0"/>
          <w:i w:val="0"/>
          <w:color w:val="111827"/>
          <w:sz w:val="18"/>
        </w:rPr>
        <w:t>Adding large amounts of legal or theoretical content that do not enable a priority action.</w:t>
      </w:r>
    </w:p>
    <w:p>
      <w:pPr>
        <w:pStyle w:val="ListBullet"/>
        <w:spacing w:after="30" w:line="245" w:lineRule="auto"/>
      </w:pPr>
      <w:r>
        <w:rPr>
          <w:rFonts w:ascii="Aptos" w:hAnsi="Aptos"/>
          <w:b w:val="0"/>
          <w:i w:val="0"/>
          <w:color w:val="111827"/>
          <w:sz w:val="18"/>
        </w:rPr>
        <w:t>Treating every capacity barrier as a course-content problem.</w:t>
      </w:r>
    </w:p>
    <w:p>
      <w:pPr>
        <w:pStyle w:val="ListBullet"/>
        <w:spacing w:after="30" w:line="245" w:lineRule="auto"/>
      </w:pPr>
      <w:r>
        <w:rPr>
          <w:rFonts w:ascii="Aptos" w:hAnsi="Aptos"/>
          <w:b w:val="0"/>
          <w:i w:val="0"/>
          <w:color w:val="111827"/>
          <w:sz w:val="18"/>
        </w:rPr>
        <w:t>Using satisfaction, attendance or completion alone as evidence that HRBA practice improved.</w:t>
      </w:r>
    </w:p>
    <w:p>
      <w:pPr>
        <w:pStyle w:val="ListBullet"/>
        <w:spacing w:after="30" w:line="245" w:lineRule="auto"/>
      </w:pPr>
      <w:r>
        <w:rPr>
          <w:rFonts w:ascii="Aptos" w:hAnsi="Aptos"/>
          <w:b w:val="0"/>
          <w:i w:val="0"/>
          <w:color w:val="111827"/>
          <w:sz w:val="18"/>
        </w:rPr>
        <w:t>Requiring sensitive real-world examples when fictional or generalised practice is sufficient.</w:t>
      </w:r>
    </w:p>
    <w:p>
      <w:pPr>
        <w:pStyle w:val="ListBullet"/>
        <w:spacing w:after="30" w:line="245" w:lineRule="auto"/>
      </w:pPr>
      <w:r>
        <w:rPr>
          <w:rFonts w:ascii="Aptos" w:hAnsi="Aptos"/>
          <w:b w:val="0"/>
          <w:i w:val="0"/>
          <w:color w:val="111827"/>
          <w:sz w:val="18"/>
        </w:rPr>
        <w:t>Adding complex interactions only for visual effect when a simpler pattern supports the same learning more reliably.</w:t>
      </w:r>
    </w:p>
    <w:p>
      <w:pPr>
        <w:pStyle w:val="ListBullet"/>
        <w:spacing w:after="30" w:line="245" w:lineRule="auto"/>
      </w:pPr>
      <w:r>
        <w:rPr>
          <w:rFonts w:ascii="Aptos" w:hAnsi="Aptos"/>
          <w:b w:val="0"/>
          <w:i w:val="0"/>
          <w:color w:val="111827"/>
          <w:sz w:val="18"/>
        </w:rPr>
        <w:t>Adding new modules when a job aid, organisational process, coaching, management action or later programme support is the more appropriate response.</w:t>
      </w:r>
    </w:p>
    <w:p>
      <w:pPr>
        <w:pStyle w:val="Heading1"/>
        <w:keepNext/>
        <w:spacing w:before="160" w:after="80"/>
      </w:pPr>
      <w:r>
        <w:rPr>
          <w:rFonts w:ascii="Aptos Display" w:hAnsi="Aptos Display"/>
          <w:b/>
          <w:i w:val="0"/>
          <w:color w:val="0F172A"/>
          <w:sz w:val="31"/>
        </w:rPr>
        <w:t>15. Capacity-to-Action Pathway at a Glance</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91C852"/>
              <w:bottom w:val="single" w:sz="4" w:color="D8E6EA"/>
              <w:right w:val="single" w:sz="4" w:color="D8E6EA"/>
            </w:tcBorders>
          </w:tcPr>
          <w:p>
            <w:pPr>
              <w:spacing w:after="0"/>
            </w:pPr>
            <w:r>
              <w:rPr>
                <w:rFonts w:ascii="Aptos" w:hAnsi="Aptos"/>
                <w:b/>
                <w:i w:val="0"/>
                <w:color w:val="0F172A"/>
                <w:sz w:val="20"/>
              </w:rPr>
              <w:t>PROGRAMME / PRACTICE RESULT</w:t>
              <w:br/>
            </w:r>
            <w:r>
              <w:rPr>
                <w:rFonts w:ascii="Aptos" w:hAnsi="Aptos"/>
                <w:b w:val="0"/>
                <w:i w:val="0"/>
                <w:color w:val="111827"/>
                <w:sz w:val="18"/>
              </w:rPr>
              <w:t>Local and grassroots CSOs make more inclusive, accountable, safe, context-sensitive and evidence-informed project decisions using HRBA.</w:t>
            </w:r>
          </w:p>
        </w:tc>
      </w:tr>
    </w:tbl>
    <w:p>
      <w:pPr>
        <w:spacing w:after="20"/>
      </w:pPr>
    </w:p>
    <w:p>
      <w:pPr>
        <w:jc w:val="center"/>
      </w:pPr>
      <w:r>
        <w:rPr>
          <w:rFonts w:ascii="Aptos" w:hAnsi="Aptos"/>
          <w:b/>
          <w:i w:val="0"/>
          <w:color w:val="0F8F8C"/>
          <w:sz w:val="32"/>
        </w:rPr>
        <w:t>↓</w:t>
      </w:r>
    </w:p>
    <w:tbl>
      <w:tblPr>
        <w:tblW w:type="auto" w:w="0"/>
        <w:jc w:val="center"/>
        <w:tblLook w:firstColumn="1" w:firstRow="1" w:lastColumn="0" w:lastRow="0" w:noHBand="0" w:noVBand="1" w:val="04A0"/>
      </w:tblPr>
      <w:tblGrid>
        <w:gridCol w:w="9866"/>
      </w:tblGrid>
      <w:tr>
        <w:trPr>
          <w:cantSplit/>
        </w:trPr>
        <w:tc>
          <w:tcPr>
            <w:tcW w:type="dxa" w:w="9866"/>
            <w:shd w:fill="EEF6FB"/>
            <w:tcMar>
              <w:top w:w="105" w:type="dxa"/>
              <w:start w:w="125" w:type="dxa"/>
              <w:bottom w:w="105" w:type="dxa"/>
              <w:end w:w="125" w:type="dxa"/>
            </w:tcMar>
            <w:tcBorders>
              <w:top w:val="single" w:sz="4" w:color="D8E6EA"/>
              <w:left w:val="single" w:sz="18" w:color="3B99D4"/>
              <w:bottom w:val="single" w:sz="4" w:color="D8E6EA"/>
              <w:right w:val="single" w:sz="4" w:color="D8E6EA"/>
            </w:tcBorders>
          </w:tcPr>
          <w:p>
            <w:pPr>
              <w:spacing w:after="0"/>
            </w:pPr>
            <w:r>
              <w:rPr>
                <w:rFonts w:ascii="Aptos" w:hAnsi="Aptos"/>
                <w:b/>
                <w:i w:val="0"/>
                <w:color w:val="0F172A"/>
                <w:sz w:val="20"/>
              </w:rPr>
              <w:t>PRIORITY ACTIONS</w:t>
              <w:br/>
            </w:r>
            <w:r>
              <w:rPr>
                <w:rFonts w:ascii="Aptos" w:hAnsi="Aptos"/>
                <w:b w:val="0"/>
                <w:i w:val="0"/>
                <w:color w:val="111827"/>
                <w:sz w:val="18"/>
              </w:rPr>
              <w:t>Diagnose context &amp; inequality -&gt; clarify rights, responsibilities &amp; CSO role -&gt; analyse power, participation &amp; exclusion -&gt; repair project design -&gt; anticipate risk -&gt; implement responsibly -&gt; use MEAL evidence for accountability &amp; adaptation -&gt; review and adapt practice.</w:t>
            </w:r>
          </w:p>
        </w:tc>
      </w:tr>
    </w:tbl>
    <w:p>
      <w:pPr>
        <w:spacing w:after="20"/>
      </w:pPr>
    </w:p>
    <w:p>
      <w:pPr>
        <w:jc w:val="center"/>
      </w:pPr>
      <w:r>
        <w:rPr>
          <w:rFonts w:ascii="Aptos" w:hAnsi="Aptos"/>
          <w:b/>
          <w:i w:val="0"/>
          <w:color w:val="0F8F8C"/>
          <w:sz w:val="32"/>
        </w:rPr>
        <w:t>↓</w:t>
      </w:r>
    </w:p>
    <w:tbl>
      <w:tblPr>
        <w:tblW w:type="auto" w:w="0"/>
        <w:jc w:val="center"/>
        <w:tblLook w:firstColumn="1" w:firstRow="1" w:lastColumn="0" w:lastRow="0" w:noHBand="0" w:noVBand="1" w:val="04A0"/>
      </w:tblPr>
      <w:tblGrid>
        <w:gridCol w:w="9866"/>
      </w:tblGrid>
      <w:tr>
        <w:trPr>
          <w:cantSplit/>
        </w:trPr>
        <w:tc>
          <w:tcPr>
            <w:tcW w:type="dxa" w:w="9866"/>
            <w:shd w:fill="F8FAFC"/>
            <w:tcMar>
              <w:top w:w="105" w:type="dxa"/>
              <w:start w:w="125" w:type="dxa"/>
              <w:bottom w:w="105" w:type="dxa"/>
              <w:end w:w="125" w:type="dxa"/>
            </w:tcMar>
            <w:tcBorders>
              <w:top w:val="single" w:sz="4" w:color="D8E6EA"/>
              <w:left w:val="single" w:sz="18" w:color="0F8F8C"/>
              <w:bottom w:val="single" w:sz="4" w:color="D8E6EA"/>
              <w:right w:val="single" w:sz="4" w:color="D8E6EA"/>
            </w:tcBorders>
          </w:tcPr>
          <w:p>
            <w:pPr>
              <w:spacing w:after="0"/>
            </w:pPr>
            <w:r>
              <w:rPr>
                <w:rFonts w:ascii="Aptos" w:hAnsi="Aptos"/>
                <w:b/>
                <w:i w:val="0"/>
                <w:color w:val="0F172A"/>
                <w:sz w:val="20"/>
              </w:rPr>
              <w:t>REALISTIC COURSE PRACTICE</w:t>
              <w:br/>
            </w:r>
            <w:r>
              <w:rPr>
                <w:rFonts w:ascii="Aptos" w:hAnsi="Aptos"/>
                <w:b w:val="0"/>
                <w:i w:val="0"/>
                <w:color w:val="111827"/>
                <w:sz w:val="18"/>
              </w:rPr>
              <w:t>Jiru Amba/Awra case -&gt; context scan -&gt; actor/barrier/responsibility mapping -&gt; power and inclusion checks -&gt; participation/accountability pathway -&gt; risk work -&gt; design repair -&gt; implementation decisions -&gt; indicator/evidence repair -&gt; account-back -&gt; final applied assessment.</w:t>
            </w:r>
          </w:p>
        </w:tc>
      </w:tr>
    </w:tbl>
    <w:p>
      <w:pPr>
        <w:spacing w:after="20"/>
      </w:pPr>
    </w:p>
    <w:p>
      <w:pPr>
        <w:jc w:val="center"/>
      </w:pPr>
      <w:r>
        <w:rPr>
          <w:rFonts w:ascii="Aptos" w:hAnsi="Aptos"/>
          <w:b/>
          <w:i w:val="0"/>
          <w:color w:val="0F8F8C"/>
          <w:sz w:val="32"/>
        </w:rPr>
        <w:t>↓</w:t>
      </w:r>
    </w:p>
    <w:tbl>
      <w:tblPr>
        <w:tblW w:type="auto" w:w="0"/>
        <w:jc w:val="center"/>
        <w:tblLook w:firstColumn="1" w:firstRow="1" w:lastColumn="0" w:lastRow="0" w:noHBand="0" w:noVBand="1" w:val="04A0"/>
      </w:tblPr>
      <w:tblGrid>
        <w:gridCol w:w="9866"/>
      </w:tblGrid>
      <w:tr>
        <w:trPr>
          <w:cantSplit/>
        </w:trPr>
        <w:tc>
          <w:tcPr>
            <w:tcW w:type="dxa" w:w="9866"/>
            <w:shd w:fill="FFF4E5"/>
            <w:tcMar>
              <w:top w:w="105" w:type="dxa"/>
              <w:start w:w="125" w:type="dxa"/>
              <w:bottom w:w="105" w:type="dxa"/>
              <w:end w:w="125" w:type="dxa"/>
            </w:tcMar>
            <w:tcBorders>
              <w:top w:val="single" w:sz="4" w:color="D8E6EA"/>
              <w:left w:val="single" w:sz="18" w:color="F59E0B"/>
              <w:bottom w:val="single" w:sz="4" w:color="D8E6EA"/>
              <w:right w:val="single" w:sz="4" w:color="D8E6EA"/>
            </w:tcBorders>
          </w:tcPr>
          <w:p>
            <w:pPr>
              <w:spacing w:after="0"/>
            </w:pPr>
            <w:r>
              <w:rPr>
                <w:rFonts w:ascii="Aptos" w:hAnsi="Aptos"/>
                <w:b/>
                <w:i w:val="0"/>
                <w:color w:val="0F172A"/>
                <w:sz w:val="20"/>
              </w:rPr>
              <w:t>MINIMUM SUPPORT</w:t>
              <w:br/>
            </w:r>
            <w:r>
              <w:rPr>
                <w:rFonts w:ascii="Aptos" w:hAnsi="Aptos"/>
                <w:b w:val="0"/>
                <w:i w:val="0"/>
                <w:color w:val="111827"/>
                <w:sz w:val="18"/>
              </w:rPr>
              <w:t>Everyday Rights Lens + role reference + participation/power prompts + risk check + design-repair guide + HRBA MEAL/evidence job aids.</w:t>
            </w:r>
          </w:p>
        </w:tc>
      </w:tr>
    </w:tbl>
    <w:p>
      <w:pPr>
        <w:spacing w:after="20"/>
      </w:pPr>
    </w:p>
    <w:p>
      <w:pPr>
        <w:jc w:val="center"/>
      </w:pPr>
      <w:r>
        <w:rPr>
          <w:rFonts w:ascii="Aptos" w:hAnsi="Aptos"/>
          <w:b/>
          <w:i w:val="0"/>
          <w:color w:val="0F8F8C"/>
          <w:sz w:val="32"/>
        </w:rPr>
        <w:t>↓</w:t>
      </w:r>
    </w:p>
    <w:tbl>
      <w:tblPr>
        <w:tblW w:type="auto" w:w="0"/>
        <w:jc w:val="center"/>
        <w:tblLook w:firstColumn="1" w:firstRow="1" w:lastColumn="0" w:lastRow="0" w:noHBand="0" w:noVBand="1" w:val="04A0"/>
      </w:tblPr>
      <w:tblGrid>
        <w:gridCol w:w="9866"/>
      </w:tblGrid>
      <w:tr>
        <w:trPr>
          <w:cantSplit/>
        </w:trPr>
        <w:tc>
          <w:tcPr>
            <w:tcW w:type="dxa" w:w="9866"/>
            <w:shd w:fill="EAF7EF"/>
            <w:tcMar>
              <w:top w:w="105" w:type="dxa"/>
              <w:start w:w="125" w:type="dxa"/>
              <w:bottom w:w="105" w:type="dxa"/>
              <w:end w:w="125" w:type="dxa"/>
            </w:tcMar>
            <w:tcBorders>
              <w:top w:val="single" w:sz="4" w:color="D8E6EA"/>
              <w:left w:val="single" w:sz="18" w:color="91C852"/>
              <w:bottom w:val="single" w:sz="4" w:color="D8E6EA"/>
              <w:right w:val="single" w:sz="4" w:color="D8E6EA"/>
            </w:tcBorders>
          </w:tcPr>
          <w:p>
            <w:pPr>
              <w:spacing w:after="0"/>
            </w:pPr>
            <w:r>
              <w:rPr>
                <w:rFonts w:ascii="Aptos" w:hAnsi="Aptos"/>
                <w:b/>
                <w:i w:val="0"/>
                <w:color w:val="0F172A"/>
                <w:sz w:val="20"/>
              </w:rPr>
              <w:t>TRANSFER AND WIDER CAPACITY SUPPORT</w:t>
              <w:br/>
            </w:r>
            <w:r>
              <w:rPr>
                <w:rFonts w:ascii="Aptos" w:hAnsi="Aptos"/>
                <w:b w:val="0"/>
                <w:i w:val="0"/>
                <w:color w:val="111827"/>
                <w:sz w:val="18"/>
              </w:rPr>
              <w:t>One real workplace application -&gt; 2-4 week follow-up -&gt; optional peer/coaching reflection -&gt; evidence of adaptation; complemented by organisational, management, technical or resource support where needed.</w:t>
            </w:r>
          </w:p>
        </w:tc>
      </w:tr>
    </w:tbl>
    <w:p>
      <w:pPr>
        <w:spacing w:after="20"/>
      </w:pPr>
    </w:p>
    <w:p>
      <w:pPr>
        <w:pStyle w:val="Heading1"/>
        <w:keepNext/>
        <w:spacing w:before="160" w:after="80"/>
      </w:pPr>
      <w:r>
        <w:rPr>
          <w:rFonts w:ascii="Aptos Display" w:hAnsi="Aptos Display"/>
          <w:b/>
          <w:i w:val="0"/>
          <w:color w:val="0F172A"/>
          <w:sz w:val="31"/>
        </w:rPr>
        <w:t>16. Final Design Position for Pilot Validation</w:t>
      </w:r>
    </w:p>
    <w:p>
      <w:pPr>
        <w:spacing w:before="0" w:after="80" w:line="254" w:lineRule="auto"/>
      </w:pPr>
      <w:r>
        <w:rPr>
          <w:rFonts w:ascii="Aptos" w:hAnsi="Aptos"/>
          <w:b w:val="0"/>
          <w:i w:val="0"/>
          <w:color w:val="111827"/>
          <w:sz w:val="19"/>
        </w:rPr>
        <w:t>The HRBA course provides a credible practice-centred foundation for pilot validation. Its strongest contribution is the progressive shift from concepts to decisions across project design, implementation and MEAL. The internal pilot should therefore concentrate on whether the existing pathway works reliably and whether the learning activities and feedback support the intended decisions.</w:t>
      </w:r>
    </w:p>
    <w:p>
      <w:pPr>
        <w:spacing w:before="0" w:after="80" w:line="254" w:lineRule="auto"/>
      </w:pPr>
      <w:r>
        <w:rPr>
          <w:rFonts w:ascii="Aptos" w:hAnsi="Aptos"/>
          <w:b w:val="0"/>
          <w:i w:val="0"/>
          <w:color w:val="111827"/>
          <w:sz w:val="19"/>
        </w:rPr>
        <w:t>A major content or visual redesign should not be undertaken simply because a reviewer prefers another style. Changes should be linked to evidence: an error, an unclear or invalid learning route, weak feedback, assessment misalignment, a material contextual problem, an accessibility barrier, or a recurring finding that reduces practical usefulness. Selected-CSO piloting should then test the course against the realities of intended learners before DEC invests further in final wider-release refinement.</w:t>
      </w:r>
    </w:p>
    <w:tbl>
      <w:tblPr>
        <w:tblW w:type="auto" w:w="0"/>
        <w:jc w:val="center"/>
        <w:tblLook w:firstColumn="1" w:firstRow="1" w:lastColumn="0" w:lastRow="0" w:noHBand="0" w:noVBand="1" w:val="04A0"/>
      </w:tblPr>
      <w:tblGrid>
        <w:gridCol w:w="9866"/>
      </w:tblGrid>
      <w:tr>
        <w:trPr>
          <w:cantSplit/>
        </w:trPr>
        <w:tc>
          <w:tcPr>
            <w:tcW w:type="dxa" w:w="9866"/>
            <w:shd w:fill="EEF6FB"/>
            <w:tcMar>
              <w:top w:w="105" w:type="dxa"/>
              <w:start w:w="125" w:type="dxa"/>
              <w:bottom w:w="105" w:type="dxa"/>
              <w:end w:w="125" w:type="dxa"/>
            </w:tcMar>
            <w:tcBorders>
              <w:top w:val="single" w:sz="4" w:color="D8E6EA"/>
              <w:left w:val="single" w:sz="18" w:color="3B99D4"/>
              <w:bottom w:val="single" w:sz="4" w:color="D8E6EA"/>
              <w:right w:val="single" w:sz="4" w:color="D8E6EA"/>
            </w:tcBorders>
          </w:tcPr>
          <w:p>
            <w:pPr>
              <w:spacing w:after="0"/>
            </w:pPr>
            <w:r>
              <w:rPr>
                <w:rFonts w:ascii="Aptos" w:hAnsi="Aptos"/>
                <w:b/>
                <w:i w:val="0"/>
                <w:color w:val="0F172A"/>
                <w:sz w:val="20"/>
              </w:rPr>
              <w:t>Course design chain</w:t>
              <w:br/>
            </w:r>
            <w:r>
              <w:rPr>
                <w:rFonts w:ascii="Aptos" w:hAnsi="Aptos"/>
                <w:b w:val="0"/>
                <w:i w:val="0"/>
                <w:color w:val="111827"/>
                <w:sz w:val="18"/>
              </w:rPr>
              <w:t>Real CSO challenge -&gt; observable practice -&gt; realistic course decision -&gt; concise reference/job aid -&gt; workplace application -&gt; reflection and evidence -&gt; continued capacity support</w:t>
            </w:r>
          </w:p>
        </w:tc>
      </w:tr>
    </w:tbl>
    <w:p>
      <w:pPr>
        <w:spacing w:after="20"/>
      </w:pPr>
    </w:p>
    <w:p>
      <w:pPr>
        <w:pStyle w:val="Heading1"/>
        <w:keepNext/>
        <w:spacing w:before="160" w:after="80"/>
      </w:pPr>
      <w:r>
        <w:rPr>
          <w:rFonts w:ascii="Aptos Display" w:hAnsi="Aptos Display"/>
          <w:b/>
          <w:i w:val="0"/>
          <w:color w:val="0F172A"/>
          <w:sz w:val="31"/>
        </w:rPr>
        <w:t>Sources and Design References</w:t>
      </w:r>
    </w:p>
    <w:p>
      <w:pPr>
        <w:spacing w:before="0" w:after="80" w:line="254" w:lineRule="auto"/>
      </w:pPr>
      <w:r>
        <w:rPr>
          <w:rFonts w:ascii="Aptos" w:hAnsi="Aptos"/>
          <w:b/>
          <w:i w:val="0"/>
          <w:color w:val="111827"/>
          <w:sz w:val="19"/>
        </w:rPr>
        <w:t>Programme and internal reference basis</w:t>
      </w:r>
      <w:r>
        <w:rPr>
          <w:rFonts w:ascii="Aptos" w:hAnsi="Aptos"/>
          <w:b w:val="0"/>
          <w:i w:val="0"/>
          <w:color w:val="111827"/>
          <w:sz w:val="19"/>
        </w:rPr>
      </w:r>
    </w:p>
    <w:p>
      <w:pPr>
        <w:pStyle w:val="ListBullet"/>
        <w:spacing w:after="30" w:line="245" w:lineRule="auto"/>
      </w:pPr>
      <w:r>
        <w:rPr>
          <w:rFonts w:ascii="Aptos" w:hAnsi="Aptos"/>
          <w:b w:val="0"/>
          <w:i w:val="0"/>
          <w:color w:val="111827"/>
          <w:sz w:val="18"/>
        </w:rPr>
        <w:t>Terms of Reference for the digital self-learning platform for CSOs under Activity 2.2.4.</w:t>
      </w:r>
    </w:p>
    <w:p>
      <w:pPr>
        <w:pStyle w:val="ListBullet"/>
        <w:spacing w:after="30" w:line="245" w:lineRule="auto"/>
      </w:pPr>
      <w:r>
        <w:rPr>
          <w:rFonts w:ascii="Aptos" w:hAnsi="Aptos"/>
          <w:b w:val="0"/>
          <w:i w:val="0"/>
          <w:color w:val="111827"/>
          <w:sz w:val="18"/>
        </w:rPr>
        <w:t>Phase One agreement between DEC and Medab Solutions for design and development of the digital learning platform.</w:t>
      </w:r>
    </w:p>
    <w:p>
      <w:pPr>
        <w:pStyle w:val="ListBullet"/>
        <w:spacing w:after="30" w:line="245" w:lineRule="auto"/>
      </w:pPr>
      <w:r>
        <w:rPr>
          <w:rFonts w:ascii="Aptos" w:hAnsi="Aptos"/>
          <w:b w:val="0"/>
          <w:i w:val="0"/>
          <w:color w:val="111827"/>
          <w:sz w:val="18"/>
        </w:rPr>
        <w:t>Phase One Inception Report, Implementation Roadmap and Technical Architecture, and Final Delivery and Handover Report.</w:t>
      </w:r>
    </w:p>
    <w:p>
      <w:pPr>
        <w:pStyle w:val="ListBullet"/>
        <w:spacing w:after="30" w:line="245" w:lineRule="auto"/>
      </w:pPr>
      <w:r>
        <w:rPr>
          <w:rFonts w:ascii="Aptos" w:hAnsi="Aptos"/>
          <w:b w:val="0"/>
          <w:i w:val="0"/>
          <w:color w:val="111827"/>
          <w:sz w:val="18"/>
        </w:rPr>
        <w:t>Applying the Human Rights-Based Approach in CSO Practice course design, source materials, module map, pilot resources and assessment.</w:t>
      </w:r>
    </w:p>
    <w:p>
      <w:pPr>
        <w:pStyle w:val="ListBullet"/>
        <w:spacing w:after="30" w:line="245" w:lineRule="auto"/>
      </w:pPr>
      <w:r>
        <w:rPr>
          <w:rFonts w:ascii="Aptos" w:hAnsi="Aptos"/>
          <w:b w:val="0"/>
          <w:i w:val="0"/>
          <w:color w:val="111827"/>
          <w:sz w:val="18"/>
        </w:rPr>
        <w:t>DEC Internal Pilot Implementation and Course Validation Guide, Quick Reference, review instruments and analysis tools.</w:t>
      </w:r>
    </w:p>
    <w:p>
      <w:pPr>
        <w:spacing w:before="0" w:after="80" w:line="254" w:lineRule="auto"/>
      </w:pPr>
      <w:r>
        <w:rPr>
          <w:rFonts w:ascii="Aptos" w:hAnsi="Aptos"/>
          <w:b/>
          <w:i w:val="0"/>
          <w:color w:val="111827"/>
          <w:sz w:val="19"/>
        </w:rPr>
        <w:t>External and subject-matter reference basis</w:t>
      </w:r>
      <w:r>
        <w:rPr>
          <w:rFonts w:ascii="Aptos" w:hAnsi="Aptos"/>
          <w:b w:val="0"/>
          <w:i w:val="0"/>
          <w:color w:val="111827"/>
          <w:sz w:val="19"/>
        </w:rPr>
      </w:r>
    </w:p>
    <w:p>
      <w:pPr>
        <w:pStyle w:val="ListBullet"/>
        <w:spacing w:after="30" w:line="245" w:lineRule="auto"/>
      </w:pPr>
      <w:r>
        <w:rPr>
          <w:rFonts w:ascii="Aptos" w:hAnsi="Aptos"/>
          <w:b w:val="0"/>
          <w:i w:val="0"/>
          <w:color w:val="111827"/>
          <w:sz w:val="18"/>
        </w:rPr>
        <w:t>European Union / Capacity4dev. Human Rights Based Approach (HRBA) Toolbox.</w:t>
      </w:r>
    </w:p>
    <w:p>
      <w:pPr>
        <w:pStyle w:val="ListBullet"/>
        <w:spacing w:after="30" w:line="245" w:lineRule="auto"/>
      </w:pPr>
      <w:r>
        <w:rPr>
          <w:rFonts w:ascii="Aptos" w:hAnsi="Aptos"/>
          <w:b w:val="0"/>
          <w:i w:val="0"/>
          <w:color w:val="111827"/>
          <w:sz w:val="18"/>
        </w:rPr>
        <w:t>EU/EEAS and programme materials on strengthening local and grassroots civil society organisations in Ethiopia.</w:t>
      </w:r>
    </w:p>
    <w:p>
      <w:pPr>
        <w:pStyle w:val="ListBullet"/>
        <w:spacing w:after="30" w:line="245" w:lineRule="auto"/>
      </w:pPr>
      <w:r>
        <w:rPr>
          <w:rFonts w:ascii="Aptos" w:hAnsi="Aptos"/>
          <w:b w:val="0"/>
          <w:i w:val="0"/>
          <w:color w:val="111827"/>
          <w:sz w:val="18"/>
        </w:rPr>
        <w:t>Welthungerhilfe programme information on the Capacity Development Program for Local and Grassroots CSOs.</w:t>
      </w:r>
    </w:p>
    <w:p>
      <w:pPr>
        <w:pStyle w:val="ListBullet"/>
        <w:spacing w:after="30" w:line="245" w:lineRule="auto"/>
      </w:pPr>
      <w:r>
        <w:rPr>
          <w:rFonts w:ascii="Aptos" w:hAnsi="Aptos"/>
          <w:b w:val="0"/>
          <w:i w:val="0"/>
          <w:color w:val="111827"/>
          <w:sz w:val="18"/>
        </w:rPr>
        <w:t>Cathy Moore, Map It: The Hands-on Guide to Strategic Training Design - used as a background methodological reference for working from intended results to observable actions, realistic practice and non-training support. The course-facing framework uses DEC/CSO capacity-development terminology.</w:t>
      </w:r>
    </w:p>
    <w:sectPr w:rsidR="00FC693F" w:rsidRPr="0006063C" w:rsidSect="00034616">
      <w:headerReference w:type="default" r:id="rId9"/>
      <w:footerReference w:type="default" r:id="rId10"/>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75569"/>
        <w:sz w:val="15"/>
      </w:rPr>
      <w:t xml:space="preserve">DEC Internal Pilot &amp; Course Validation  |  August 2026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475569"/>
        <w:sz w:val="15"/>
      </w:rPr>
      <w:t>ANNEX A  |  HRBA Capacity-to-Action Course Design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A - HRBA Capacity-to-Action Needs Analysis and Course Design Framework</dc:title>
  <dc:subject>HRBA course design and internal pilot validation reference</dc:subject>
  <dc:creator>Development Expertise Center</dc:creator>
  <cp:keywords>DEC, HRBA, CSO, Capacity-to-Action, internal pilot, course validation, CSF Plus</cp:keywords>
  <dc:description>generated by python-docx</dc:description>
  <cp:lastModifiedBy/>
  <cp:revision>1</cp:revision>
  <dcterms:created xsi:type="dcterms:W3CDTF">2013-12-23T23:15:00Z</dcterms:created>
  <dcterms:modified xsi:type="dcterms:W3CDTF">2013-12-23T23:15:00Z</dcterms:modified>
  <cp:category/>
</cp:coreProperties>
</file>