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pPr>
      <w:r>
        <w:rPr>
          <w:rFonts w:ascii="Aptos" w:hAnsi="Aptos"/>
          <w:b/>
          <w:i w:val="0"/>
          <w:color w:val="3B99D4"/>
          <w:sz w:val="20"/>
        </w:rPr>
        <w:t>ANNEX B</w:t>
      </w:r>
    </w:p>
    <w:p>
      <w:pPr>
        <w:spacing w:after="100"/>
      </w:pPr>
      <w:r>
        <w:rPr>
          <w:rFonts w:ascii="Aptos" w:hAnsi="Aptos"/>
          <w:b/>
          <w:i w:val="0"/>
          <w:color w:val="0F8F8C"/>
          <w:sz w:val="26"/>
        </w:rPr>
        <w:t>Project Management for Local and Grassroots CSOs</w:t>
      </w:r>
    </w:p>
    <w:p>
      <w:pPr>
        <w:spacing w:after="240"/>
      </w:pPr>
      <w:r>
        <w:rPr>
          <w:rFonts w:ascii="Aptos Display" w:hAnsi="Aptos Display"/>
          <w:b/>
          <w:i w:val="0"/>
          <w:color w:val="0F172A"/>
          <w:sz w:val="50"/>
        </w:rPr>
        <w:t>Capacity-to-Action</w:t>
        <w:br/>
        <w:t>Course Design Brief</w:t>
      </w:r>
    </w:p>
    <w:tbl>
      <w:tblPr>
        <w:tblW w:type="auto" w:w="0"/>
        <w:jc w:val="center"/>
        <w:tblLook w:firstColumn="1" w:firstRow="1" w:lastColumn="0" w:lastRow="0" w:noHBand="0" w:noVBand="1" w:val="04A0"/>
      </w:tblPr>
      <w:tblGrid>
        <w:gridCol w:w="9866"/>
      </w:tblGrid>
      <w:tr>
        <w:trPr>
          <w:cantSplit/>
        </w:trPr>
        <w:tc>
          <w:tcPr>
            <w:tcW w:type="dxa" w:w="9866"/>
            <w:shd w:fill="EAF7EF"/>
            <w:tcMar>
              <w:top w:w="105" w:type="dxa"/>
              <w:start w:w="125" w:type="dxa"/>
              <w:bottom w:w="105" w:type="dxa"/>
              <w:end w:w="125" w:type="dxa"/>
            </w:tcMar>
            <w:tcBorders>
              <w:top w:val="single" w:sz="4" w:color="D8E6EA"/>
              <w:left w:val="single" w:sz="18" w:color="91C852"/>
              <w:bottom w:val="single" w:sz="4" w:color="D8E6EA"/>
              <w:right w:val="single" w:sz="4" w:color="D8E6EA"/>
            </w:tcBorders>
          </w:tcPr>
          <w:p>
            <w:pPr>
              <w:spacing w:after="0"/>
            </w:pPr>
            <w:r>
              <w:rPr>
                <w:rFonts w:ascii="Aptos" w:hAnsi="Aptos"/>
                <w:b/>
                <w:i w:val="0"/>
                <w:color w:val="0F172A"/>
                <w:sz w:val="20"/>
              </w:rPr>
              <w:t>Purpose of this annex</w:t>
              <w:br/>
            </w:r>
            <w:r>
              <w:rPr>
                <w:rFonts w:ascii="Aptos" w:hAnsi="Aptos"/>
                <w:b w:val="0"/>
                <w:i w:val="0"/>
                <w:color w:val="111827"/>
                <w:sz w:val="19"/>
              </w:rPr>
              <w:t>Provide a concise design and validation reference for the Project Management course within the DEC internal pilot package. It explains the practical project-management capacity the course is intended to strengthen, the key actions learners should be able to take, the current short-course structure, the main design boundaries, and the evidence the pilot should examine.</w:t>
            </w:r>
          </w:p>
        </w:tc>
      </w:tr>
    </w:tbl>
    <w:p>
      <w:pPr>
        <w:spacing w:after="20"/>
      </w:pPr>
    </w:p>
    <w:p>
      <w:pPr>
        <w:spacing w:before="200"/>
      </w:pPr>
      <w:r>
        <w:rPr>
          <w:rFonts w:ascii="Aptos" w:hAnsi="Aptos"/>
          <w:b/>
          <w:i w:val="0"/>
          <w:color w:val="0F172A"/>
          <w:sz w:val="21"/>
        </w:rPr>
        <w:t>Development Expertise Center (DEC)</w:t>
        <w:br/>
      </w:r>
      <w:r>
        <w:rPr>
          <w:rFonts w:ascii="Aptos" w:hAnsi="Aptos"/>
          <w:b w:val="0"/>
          <w:i w:val="0"/>
          <w:color w:val="111827"/>
          <w:sz w:val="19"/>
        </w:rPr>
        <w:t>Capacity Development Program for Local and Grassroots Civil Society Organisations</w:t>
        <w:br/>
      </w:r>
      <w:r>
        <w:rPr>
          <w:rFonts w:ascii="Aptos" w:hAnsi="Aptos"/>
          <w:b w:val="0"/>
          <w:i w:val="0"/>
          <w:color w:val="111827"/>
          <w:sz w:val="18"/>
        </w:rPr>
        <w:t>EU Civil Society Fund Plus (CSF+)  |  DEC and programme partners</w:t>
        <w:br/>
      </w:r>
      <w:r>
        <w:rPr>
          <w:rFonts w:ascii="Aptos" w:hAnsi="Aptos"/>
          <w:b w:val="0"/>
          <w:i w:val="0"/>
          <w:color w:val="475569"/>
          <w:sz w:val="17"/>
        </w:rPr>
        <w:t>August 2026</w:t>
      </w:r>
    </w:p>
    <w:tbl>
      <w:tblPr>
        <w:tblW w:type="auto" w:w="0"/>
        <w:jc w:val="left"/>
        <w:tblLook w:firstColumn="1" w:firstRow="1" w:lastColumn="0" w:lastRow="0" w:noHBand="0" w:noVBand="1" w:val="04A0"/>
      </w:tblPr>
      <w:tblGrid>
        <w:gridCol w:w="2466"/>
        <w:gridCol w:w="2466"/>
        <w:gridCol w:w="2466"/>
        <w:gridCol w:w="2466"/>
      </w:tblGrid>
      <w:tr>
        <w:trPr>
          <w:cantSplit/>
        </w:trPr>
        <w:tc>
          <w:tcPr>
            <w:tcW w:type="dxa" w:w="2466"/>
            <w:shd w:fill="0F172A"/>
          </w:tcPr>
          <w:p>
            <w:r/>
          </w:p>
        </w:tc>
        <w:tc>
          <w:tcPr>
            <w:tcW w:type="dxa" w:w="2466"/>
            <w:shd w:fill="3B99D4"/>
          </w:tcPr>
          <w:p>
            <w:r/>
          </w:p>
        </w:tc>
        <w:tc>
          <w:tcPr>
            <w:tcW w:type="dxa" w:w="2466"/>
            <w:shd w:fill="0F8F8C"/>
          </w:tcPr>
          <w:p>
            <w:r/>
          </w:p>
        </w:tc>
        <w:tc>
          <w:tcPr>
            <w:tcW w:type="dxa" w:w="2466"/>
            <w:shd w:fill="91C852"/>
          </w:tcPr>
          <w:p>
            <w:r/>
          </w:p>
        </w:tc>
      </w:tr>
    </w:tbl>
    <w:p>
      <w:r>
        <w:br w:type="page"/>
      </w:r>
    </w:p>
    <w:p>
      <w:pPr>
        <w:pStyle w:val="Heading1"/>
        <w:keepNext/>
        <w:spacing w:before="140" w:after="70"/>
      </w:pPr>
      <w:r>
        <w:rPr>
          <w:rFonts w:ascii="Aptos Display" w:hAnsi="Aptos Display"/>
          <w:b/>
          <w:i w:val="0"/>
          <w:color w:val="0F172A"/>
          <w:sz w:val="30"/>
        </w:rPr>
        <w:t>Executive Summary</w:t>
      </w:r>
    </w:p>
    <w:p>
      <w:pPr>
        <w:spacing w:before="0" w:after="80" w:line="252" w:lineRule="auto"/>
      </w:pPr>
      <w:r>
        <w:rPr>
          <w:rFonts w:ascii="Aptos" w:hAnsi="Aptos"/>
          <w:b w:val="0"/>
          <w:i w:val="0"/>
          <w:color w:val="111827"/>
          <w:sz w:val="18"/>
        </w:rPr>
        <w:t>Project Management for Local and Grassroots CSOs is designed as an accessible, practice-led short course. Its purpose is to help practitioners turn a community-informed project purpose into coordinated action, responsible use of resources, useful results, accountability and learning. The course should therefore be reviewed against the quality of the project decisions it helps learners make, not against the amount of project-management terminology it presents.</w:t>
      </w:r>
    </w:p>
    <w:p>
      <w:pPr>
        <w:spacing w:before="0" w:after="80" w:line="252" w:lineRule="auto"/>
      </w:pPr>
      <w:r>
        <w:rPr>
          <w:rFonts w:ascii="Aptos" w:hAnsi="Aptos"/>
          <w:b w:val="0"/>
          <w:i w:val="0"/>
          <w:color w:val="111827"/>
          <w:sz w:val="18"/>
        </w:rPr>
        <w:t>The current short-course storyboard contains 35 learner-facing screens, approximately 240 minutes of learning, 20 required learning interactions and a final applied assessment. It uses familiar project-cycle terminology and a continuing fictional Awra/Jiru Amba project case. The course moves through Orientation, Project Identification and Initiation, Project Planning, Project Implementation, Project Monitoring/Learning/Adaptation, Project Closure/Sustainability and the Final Applied Assessment.</w:t>
      </w:r>
    </w:p>
    <w:tbl>
      <w:tblPr>
        <w:tblW w:type="auto" w:w="0"/>
        <w:jc w:val="center"/>
        <w:tblLook w:firstColumn="1" w:firstRow="1" w:lastColumn="0" w:lastRow="0" w:noHBand="0" w:noVBand="1" w:val="04A0"/>
      </w:tblPr>
      <w:tblGrid>
        <w:gridCol w:w="9866"/>
      </w:tblGrid>
      <w:tr>
        <w:trPr>
          <w:cantSplit/>
        </w:trPr>
        <w:tc>
          <w:tcPr>
            <w:tcW w:type="dxa" w:w="9866"/>
            <w:shd w:fill="FFF4E5"/>
            <w:tcMar>
              <w:top w:w="105" w:type="dxa"/>
              <w:start w:w="125" w:type="dxa"/>
              <w:bottom w:w="105" w:type="dxa"/>
              <w:end w:w="125" w:type="dxa"/>
            </w:tcMar>
            <w:tcBorders>
              <w:top w:val="single" w:sz="4" w:color="D8E6EA"/>
              <w:left w:val="single" w:sz="18" w:color="F59E0B"/>
              <w:bottom w:val="single" w:sz="4" w:color="D8E6EA"/>
              <w:right w:val="single" w:sz="4" w:color="D8E6EA"/>
            </w:tcBorders>
          </w:tcPr>
          <w:p>
            <w:pPr>
              <w:spacing w:after="0"/>
            </w:pPr>
            <w:r>
              <w:rPr>
                <w:rFonts w:ascii="Aptos" w:hAnsi="Aptos"/>
                <w:b/>
                <w:i w:val="0"/>
                <w:color w:val="0F172A"/>
                <w:sz w:val="20"/>
              </w:rPr>
              <w:t>Current short-course baseline</w:t>
              <w:br/>
            </w:r>
            <w:r>
              <w:rPr>
                <w:rFonts w:ascii="Aptos" w:hAnsi="Aptos"/>
                <w:b w:val="0"/>
                <w:i w:val="0"/>
                <w:color w:val="111827"/>
                <w:sz w:val="18"/>
              </w:rPr>
              <w:t>The 35-screen storyboard explicitly defines the course as a standalone short product. It removes cumulative portfolio requirements and own-project mode from the longer source course, distributes required interactions across the project lifecycle, and uses ten applied assessment decisions with a 70% pass threshold. The internal pilot should validate this short-course baseline rather than re-introduce requirements from earlier or longer design versions unless DEC decides to do so.</w:t>
            </w:r>
          </w:p>
        </w:tc>
      </w:tr>
    </w:tbl>
    <w:p>
      <w:pPr>
        <w:spacing w:after="20"/>
      </w:pPr>
    </w:p>
    <w:p>
      <w:pPr>
        <w:pStyle w:val="Heading2"/>
        <w:keepNext/>
        <w:spacing w:before="90" w:after="70"/>
      </w:pPr>
      <w:r>
        <w:rPr>
          <w:rFonts w:ascii="Aptos Display" w:hAnsi="Aptos Display"/>
          <w:b/>
          <w:i w:val="0"/>
          <w:color w:val="0F172A"/>
          <w:sz w:val="24"/>
        </w:rPr>
        <w:t>At a Glance</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4933"/>
            <w:shd w:fill="0F172A"/>
            <w:tcMar>
              <w:top w:w="80" w:type="dxa"/>
              <w:start w:w="95" w:type="dxa"/>
              <w:bottom w:w="80" w:type="dxa"/>
              <w:end w:w="95" w:type="dxa"/>
            </w:tcMar>
            <w:tcBorders>
              <w:top w:val="single" w:sz="4" w:color="D8E6EA"/>
              <w:left w:val="single" w:sz="4" w:color="D8E6EA"/>
              <w:bottom w:val="single" w:sz="4" w:color="D8E6EA"/>
              <w:right w:val="single" w:sz="4" w:color="D8E6EA"/>
            </w:tcBorders>
          </w:tcPr>
          <w:p>
            <w:pPr>
              <w:spacing w:after="0"/>
            </w:pPr>
            <w:r>
              <w:rPr>
                <w:rFonts w:ascii="Aptos" w:hAnsi="Aptos"/>
                <w:b/>
                <w:i w:val="0"/>
                <w:color w:val="FFFFFF"/>
                <w:sz w:val="17"/>
              </w:rPr>
              <w:t>Element</w:t>
            </w:r>
          </w:p>
        </w:tc>
        <w:tc>
          <w:tcPr>
            <w:tcW w:type="dxa" w:w="4933"/>
            <w:shd w:fill="0F172A"/>
            <w:tcMar>
              <w:top w:w="80" w:type="dxa"/>
              <w:start w:w="95" w:type="dxa"/>
              <w:bottom w:w="80" w:type="dxa"/>
              <w:end w:w="95" w:type="dxa"/>
            </w:tcMar>
            <w:tcBorders>
              <w:top w:val="single" w:sz="4" w:color="D8E6EA"/>
              <w:left w:val="single" w:sz="4" w:color="D8E6EA"/>
              <w:bottom w:val="single" w:sz="4" w:color="D8E6EA"/>
              <w:right w:val="single" w:sz="4" w:color="D8E6EA"/>
            </w:tcBorders>
          </w:tcPr>
          <w:p>
            <w:pPr>
              <w:spacing w:after="0"/>
            </w:pPr>
            <w:r>
              <w:rPr>
                <w:rFonts w:ascii="Aptos" w:hAnsi="Aptos"/>
                <w:b/>
                <w:i w:val="0"/>
                <w:color w:val="FFFFFF"/>
                <w:sz w:val="17"/>
              </w:rPr>
              <w:t>Current design position</w:t>
            </w:r>
          </w:p>
        </w:tc>
      </w:tr>
      <w:tr>
        <w:trPr>
          <w:cantSplit/>
        </w:trPr>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7"/>
              </w:rPr>
              <w:t>Capacity result</w:t>
            </w:r>
          </w:p>
        </w:tc>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7"/>
              </w:rPr>
              <w:t>CSO practitioners plan, coordinate, monitor, adapt and close projects using clear results, responsibilities, realistic resources, active risk management and evidence-informed decisions.</w:t>
            </w:r>
          </w:p>
        </w:tc>
      </w:tr>
      <w:tr>
        <w:trPr>
          <w:cantSplit/>
        </w:trPr>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7"/>
              </w:rPr>
              <w:t>Priority actions</w:t>
            </w:r>
          </w:p>
        </w:tc>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7"/>
              </w:rPr>
              <w:t>Clarify the project; decide whether to proceed; plan integrated work; coordinate implementation; monitor connected evidence; manage risks/issues/changes; close, hand over and learn.</w:t>
            </w:r>
          </w:p>
        </w:tc>
      </w:tr>
      <w:tr>
        <w:trPr>
          <w:cantSplit/>
        </w:trPr>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7"/>
              </w:rPr>
              <w:t>Learning approach</w:t>
            </w:r>
          </w:p>
        </w:tc>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7"/>
              </w:rPr>
              <w:t>Direct case-and-tool approach: recognisable project problem or decision -&gt; concise concept/tool -&gt; applied activity -&gt; explanatory feedback -&gt; next project-cycle decision.</w:t>
            </w:r>
          </w:p>
        </w:tc>
      </w:tr>
      <w:tr>
        <w:trPr>
          <w:cantSplit/>
        </w:trPr>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7"/>
              </w:rPr>
              <w:t>Current structure</w:t>
            </w:r>
          </w:p>
        </w:tc>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7"/>
              </w:rPr>
              <w:t>35 screens; 4 Orientation + 5 Initiation + 8 Planning + 6 Implementation + 6 Monitoring/Learning/Adaptation + 3 Closure/Sustainability + 3 Assessment.</w:t>
            </w:r>
          </w:p>
        </w:tc>
      </w:tr>
      <w:tr>
        <w:trPr>
          <w:cantSplit/>
        </w:trPr>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7"/>
              </w:rPr>
              <w:t>Main design strength</w:t>
            </w:r>
          </w:p>
        </w:tc>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7"/>
              </w:rPr>
              <w:t>Project topics are presented as connected decisions across one lifecycle rather than isolated technical subjects.</w:t>
            </w:r>
          </w:p>
        </w:tc>
      </w:tr>
      <w:tr>
        <w:trPr>
          <w:cantSplit/>
        </w:trPr>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7"/>
              </w:rPr>
              <w:t>Main pilot question</w:t>
            </w:r>
          </w:p>
        </w:tc>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7"/>
              </w:rPr>
              <w:t>Do the course activities help a local/grassroots CSO practitioner make practical, proportionate project-management decisions under realistic constraints?</w:t>
            </w:r>
          </w:p>
        </w:tc>
      </w:tr>
    </w:tbl>
    <w:p>
      <w:pPr>
        <w:spacing w:after="20"/>
      </w:pPr>
    </w:p>
    <w:p>
      <w:pPr>
        <w:pStyle w:val="Heading1"/>
        <w:keepNext/>
        <w:spacing w:before="140" w:after="70"/>
      </w:pPr>
      <w:r>
        <w:rPr>
          <w:rFonts w:ascii="Aptos Display" w:hAnsi="Aptos Display"/>
          <w:b/>
          <w:i w:val="0"/>
          <w:color w:val="0F172A"/>
          <w:sz w:val="30"/>
        </w:rPr>
        <w:t>1. Course Context and Design Boundary</w:t>
      </w:r>
    </w:p>
    <w:p>
      <w:pPr>
        <w:pStyle w:val="Heading2"/>
        <w:keepNext/>
        <w:spacing w:before="90" w:after="70"/>
      </w:pPr>
      <w:r>
        <w:rPr>
          <w:rFonts w:ascii="Aptos Display" w:hAnsi="Aptos Display"/>
          <w:b/>
          <w:i w:val="0"/>
          <w:color w:val="0F172A"/>
          <w:sz w:val="24"/>
        </w:rPr>
        <w:t>1.1 Role in the wider capacity-development programme</w:t>
      </w:r>
    </w:p>
    <w:p>
      <w:pPr>
        <w:spacing w:before="0" w:after="80" w:line="252" w:lineRule="auto"/>
      </w:pPr>
      <w:r>
        <w:rPr>
          <w:rFonts w:ascii="Aptos" w:hAnsi="Aptos"/>
          <w:b w:val="0"/>
          <w:i w:val="0"/>
          <w:color w:val="111827"/>
          <w:sz w:val="18"/>
        </w:rPr>
        <w:t>The course is one Phase One learning product within the wider DEC capacity-development pathway. It provides a structured self-paced foundation that can later be complemented by peer exchange, mentoring, organisational reflection, practical application and co-creation. It is not intended to replace project coaching, organisational systems, donor-specific procedures or management decisions.</w:t>
      </w:r>
    </w:p>
    <w:p>
      <w:pPr>
        <w:pStyle w:val="Heading2"/>
        <w:keepNext/>
        <w:spacing w:before="90" w:after="70"/>
      </w:pPr>
      <w:r>
        <w:rPr>
          <w:rFonts w:ascii="Aptos Display" w:hAnsi="Aptos Display"/>
          <w:b/>
          <w:i w:val="0"/>
          <w:color w:val="0F172A"/>
          <w:sz w:val="24"/>
        </w:rPr>
        <w:t>1.2 What the course is - and is not</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4933"/>
            <w:shd w:fill="0F172A"/>
            <w:tcMar>
              <w:top w:w="80" w:type="dxa"/>
              <w:start w:w="95" w:type="dxa"/>
              <w:bottom w:w="80" w:type="dxa"/>
              <w:end w:w="95" w:type="dxa"/>
            </w:tcMar>
            <w:tcBorders>
              <w:top w:val="single" w:sz="4" w:color="D8E6EA"/>
              <w:left w:val="single" w:sz="4" w:color="D8E6EA"/>
              <w:bottom w:val="single" w:sz="4" w:color="D8E6EA"/>
              <w:right w:val="single" w:sz="4" w:color="D8E6EA"/>
            </w:tcBorders>
          </w:tcPr>
          <w:p>
            <w:pPr>
              <w:spacing w:after="0"/>
            </w:pPr>
            <w:r>
              <w:rPr>
                <w:rFonts w:ascii="Aptos" w:hAnsi="Aptos"/>
                <w:b/>
                <w:i w:val="0"/>
                <w:color w:val="FFFFFF"/>
                <w:sz w:val="16"/>
              </w:rPr>
              <w:t>The course is</w:t>
            </w:r>
          </w:p>
        </w:tc>
        <w:tc>
          <w:tcPr>
            <w:tcW w:type="dxa" w:w="4933"/>
            <w:shd w:fill="0F172A"/>
            <w:tcMar>
              <w:top w:w="80" w:type="dxa"/>
              <w:start w:w="95" w:type="dxa"/>
              <w:bottom w:w="80" w:type="dxa"/>
              <w:end w:w="95" w:type="dxa"/>
            </w:tcMar>
            <w:tcBorders>
              <w:top w:val="single" w:sz="4" w:color="D8E6EA"/>
              <w:left w:val="single" w:sz="4" w:color="D8E6EA"/>
              <w:bottom w:val="single" w:sz="4" w:color="D8E6EA"/>
              <w:right w:val="single" w:sz="4" w:color="D8E6EA"/>
            </w:tcBorders>
          </w:tcPr>
          <w:p>
            <w:pPr>
              <w:spacing w:after="0"/>
            </w:pPr>
            <w:r>
              <w:rPr>
                <w:rFonts w:ascii="Aptos" w:hAnsi="Aptos"/>
                <w:b/>
                <w:i w:val="0"/>
                <w:color w:val="FFFFFF"/>
                <w:sz w:val="16"/>
              </w:rPr>
              <w:t>The course is not</w:t>
            </w:r>
          </w:p>
        </w:tc>
      </w:tr>
      <w:tr>
        <w:trPr>
          <w:cantSplit/>
        </w:trPr>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A practical short course for local and grassroots CSO practitioners.</w:t>
            </w:r>
          </w:p>
        </w:tc>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A full professional project-management certification programme.</w:t>
            </w:r>
          </w:p>
        </w:tc>
      </w:tr>
      <w:tr>
        <w:trPr>
          <w:cantSplit/>
        </w:trPr>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A connected project-cycle learning route using a continuing fictional case.</w:t>
            </w:r>
          </w:p>
        </w:tc>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A collection of disconnected corporate PM tools.</w:t>
            </w:r>
          </w:p>
        </w:tc>
      </w:tr>
      <w:tr>
        <w:trPr>
          <w:cantSplit/>
        </w:trPr>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Designed around realistic project choices, coordination and adaptive management.</w:t>
            </w:r>
          </w:p>
        </w:tc>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A detailed donor-compliance manual.</w:t>
            </w:r>
          </w:p>
        </w:tc>
      </w:tr>
      <w:tr>
        <w:trPr>
          <w:cantSplit/>
        </w:trPr>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Complete enough for internal and selected-CSO pilot validation.</w:t>
            </w:r>
          </w:p>
        </w:tc>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A final immutable curriculum or final wider-release visual design.</w:t>
            </w:r>
          </w:p>
        </w:tc>
      </w:tr>
      <w:tr>
        <w:trPr>
          <w:cantSplit/>
        </w:trPr>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Focused on proportionate management that fits smaller organisations.</w:t>
            </w:r>
          </w:p>
        </w:tc>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An expectation that every CSO will use the same level of process or documentation.</w:t>
            </w:r>
          </w:p>
        </w:tc>
      </w:tr>
    </w:tbl>
    <w:p>
      <w:pPr>
        <w:spacing w:after="20"/>
      </w:pPr>
    </w:p>
    <w:p>
      <w:pPr>
        <w:pStyle w:val="Heading2"/>
        <w:keepNext/>
        <w:spacing w:before="90" w:after="70"/>
      </w:pPr>
      <w:r>
        <w:rPr>
          <w:rFonts w:ascii="Aptos Display" w:hAnsi="Aptos Display"/>
          <w:b/>
          <w:i w:val="0"/>
          <w:color w:val="0F172A"/>
          <w:sz w:val="24"/>
        </w:rPr>
        <w:t>1.3 Source alignment note</w:t>
      </w:r>
    </w:p>
    <w:p>
      <w:pPr>
        <w:spacing w:before="0" w:after="80" w:line="252" w:lineRule="auto"/>
      </w:pPr>
      <w:r>
        <w:rPr>
          <w:rFonts w:ascii="Aptos" w:hAnsi="Aptos"/>
          <w:b w:val="0"/>
          <w:i w:val="0"/>
          <w:color w:val="111827"/>
          <w:sz w:val="18"/>
        </w:rPr>
        <w:t>Earlier and longer course-development materials include own-project mode, cumulative portfolio tasks and larger downloadable-tool sets. The current 35-screen short-course storyboard records the deliberate removal of those cumulative requirements. During the pilot, any learner-facing instruction that still implies required portfolio completion, own-project data entry or a conflicting pass rule should be treated as a source/version-alignment issue and checked against the approved short-course baseline.</w:t>
      </w:r>
    </w:p>
    <w:p>
      <w:pPr>
        <w:pStyle w:val="Heading1"/>
        <w:keepNext/>
        <w:spacing w:before="140" w:after="70"/>
      </w:pPr>
      <w:r>
        <w:rPr>
          <w:rFonts w:ascii="Aptos Display" w:hAnsi="Aptos Display"/>
          <w:b/>
          <w:i w:val="0"/>
          <w:color w:val="0F172A"/>
          <w:sz w:val="30"/>
        </w:rPr>
        <w:t>2. Core Capacity Challenge</w:t>
      </w:r>
    </w:p>
    <w:tbl>
      <w:tblPr>
        <w:tblW w:type="auto" w:w="0"/>
        <w:jc w:val="center"/>
        <w:tblLook w:firstColumn="1" w:firstRow="1" w:lastColumn="0" w:lastRow="0" w:noHBand="0" w:noVBand="1" w:val="04A0"/>
      </w:tblPr>
      <w:tblGrid>
        <w:gridCol w:w="9866"/>
      </w:tblGrid>
      <w:tr>
        <w:trPr>
          <w:cantSplit/>
        </w:trPr>
        <w:tc>
          <w:tcPr>
            <w:tcW w:type="dxa" w:w="9866"/>
            <w:shd w:fill="EAF7EF"/>
            <w:tcMar>
              <w:top w:w="105" w:type="dxa"/>
              <w:start w:w="125" w:type="dxa"/>
              <w:bottom w:w="105" w:type="dxa"/>
              <w:end w:w="125" w:type="dxa"/>
            </w:tcMar>
            <w:tcBorders>
              <w:top w:val="single" w:sz="4" w:color="D8E6EA"/>
              <w:left w:val="single" w:sz="18" w:color="0F8F8C"/>
              <w:bottom w:val="single" w:sz="4" w:color="D8E6EA"/>
              <w:right w:val="single" w:sz="4" w:color="D8E6EA"/>
            </w:tcBorders>
          </w:tcPr>
          <w:p>
            <w:pPr>
              <w:spacing w:after="0"/>
            </w:pPr>
            <w:r>
              <w:rPr>
                <w:rFonts w:ascii="Aptos" w:hAnsi="Aptos"/>
                <w:b/>
                <w:i w:val="0"/>
                <w:color w:val="0F172A"/>
                <w:sz w:val="20"/>
              </w:rPr>
              <w:t>Core capacity challenge</w:t>
              <w:br/>
            </w:r>
            <w:r>
              <w:rPr>
                <w:rFonts w:ascii="Aptos" w:hAnsi="Aptos"/>
                <w:b w:val="0"/>
                <w:i w:val="0"/>
                <w:color w:val="111827"/>
                <w:sz w:val="18"/>
              </w:rPr>
              <w:t>Local and grassroots CSO projects can become difficult to manage when purpose, results, roles, work, resources, risks, decisions and learning are treated as separate documents or late reporting tasks rather than as connected management decisions across the project lifecycle.</w:t>
            </w:r>
          </w:p>
        </w:tc>
      </w:tr>
    </w:tbl>
    <w:p>
      <w:pPr>
        <w:spacing w:after="20"/>
      </w:pP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4933"/>
            <w:shd w:fill="0F172A"/>
            <w:tcMar>
              <w:top w:w="80" w:type="dxa"/>
              <w:start w:w="95" w:type="dxa"/>
              <w:bottom w:w="80" w:type="dxa"/>
              <w:end w:w="95" w:type="dxa"/>
            </w:tcMar>
            <w:tcBorders>
              <w:top w:val="single" w:sz="4" w:color="D8E6EA"/>
              <w:left w:val="single" w:sz="4" w:color="D8E6EA"/>
              <w:bottom w:val="single" w:sz="4" w:color="D8E6EA"/>
              <w:right w:val="single" w:sz="4" w:color="D8E6EA"/>
            </w:tcBorders>
          </w:tcPr>
          <w:p>
            <w:pPr>
              <w:spacing w:after="0"/>
            </w:pPr>
            <w:r>
              <w:rPr>
                <w:rFonts w:ascii="Aptos" w:hAnsi="Aptos"/>
                <w:b/>
                <w:i w:val="0"/>
                <w:color w:val="FFFFFF"/>
                <w:sz w:val="16"/>
              </w:rPr>
              <w:t>Practice risk</w:t>
            </w:r>
          </w:p>
        </w:tc>
        <w:tc>
          <w:tcPr>
            <w:tcW w:type="dxa" w:w="4933"/>
            <w:shd w:fill="0F172A"/>
            <w:tcMar>
              <w:top w:w="80" w:type="dxa"/>
              <w:start w:w="95" w:type="dxa"/>
              <w:bottom w:w="80" w:type="dxa"/>
              <w:end w:w="95" w:type="dxa"/>
            </w:tcMar>
            <w:tcBorders>
              <w:top w:val="single" w:sz="4" w:color="D8E6EA"/>
              <w:left w:val="single" w:sz="4" w:color="D8E6EA"/>
              <w:bottom w:val="single" w:sz="4" w:color="D8E6EA"/>
              <w:right w:val="single" w:sz="4" w:color="D8E6EA"/>
            </w:tcBorders>
          </w:tcPr>
          <w:p>
            <w:pPr>
              <w:spacing w:after="0"/>
            </w:pPr>
            <w:r>
              <w:rPr>
                <w:rFonts w:ascii="Aptos" w:hAnsi="Aptos"/>
                <w:b/>
                <w:i w:val="0"/>
                <w:color w:val="FFFFFF"/>
                <w:sz w:val="16"/>
              </w:rPr>
              <w:t>What it can look like in CSO work</w:t>
            </w:r>
          </w:p>
        </w:tc>
      </w:tr>
      <w:tr>
        <w:trPr>
          <w:cantSplit/>
        </w:trPr>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Solution chosen too early</w:t>
            </w:r>
          </w:p>
        </w:tc>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A project begins with an activity idea before the problem, evidence, fit and feasibility are sufficiently examined.</w:t>
            </w:r>
          </w:p>
        </w:tc>
      </w:tr>
      <w:tr>
        <w:trPr>
          <w:cantSplit/>
        </w:trPr>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Purpose/results are blurred</w:t>
            </w:r>
          </w:p>
        </w:tc>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Activities are clear but intended change, outputs, boundaries or success criteria are not.</w:t>
            </w:r>
          </w:p>
        </w:tc>
      </w:tr>
      <w:tr>
        <w:trPr>
          <w:cantSplit/>
        </w:trPr>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Stakeholder roles are unclear</w:t>
            </w:r>
          </w:p>
        </w:tc>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Participation, influence, responsibility, approval and accountability are not distinguished.</w:t>
            </w:r>
          </w:p>
        </w:tc>
      </w:tr>
      <w:tr>
        <w:trPr>
          <w:cantSplit/>
        </w:trPr>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Planning is fragmented</w:t>
            </w:r>
          </w:p>
        </w:tc>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Schedule, roles, resources, budget, risk, quality and communication are prepared separately and do not fit together.</w:t>
            </w:r>
          </w:p>
        </w:tc>
      </w:tr>
      <w:tr>
        <w:trPr>
          <w:cantSplit/>
        </w:trPr>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Implementation becomes reactive</w:t>
            </w:r>
          </w:p>
        </w:tc>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Meetings, partner issues, procurement, quality and workload are handled case by case without a clear coordination rhythm.</w:t>
            </w:r>
          </w:p>
        </w:tc>
      </w:tr>
      <w:tr>
        <w:trPr>
          <w:cantSplit/>
        </w:trPr>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Monitoring becomes reporting</w:t>
            </w:r>
          </w:p>
        </w:tc>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Progress data are collected but not interpreted together or used to decide what needs attention.</w:t>
            </w:r>
          </w:p>
        </w:tc>
      </w:tr>
      <w:tr>
        <w:trPr>
          <w:cantSplit/>
        </w:trPr>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Risk, issue and change are confused</w:t>
            </w:r>
          </w:p>
        </w:tc>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Teams do not distinguish uncertainty, active problems, decisions and formal changes or escalate at the right level.</w:t>
            </w:r>
          </w:p>
        </w:tc>
      </w:tr>
      <w:tr>
        <w:trPr>
          <w:cantSplit/>
        </w:trPr>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Closure starts too late</w:t>
            </w:r>
          </w:p>
        </w:tc>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Handover, outstanding commitments, learning, finances and sustainability are left until the final weeks.</w:t>
            </w:r>
          </w:p>
        </w:tc>
      </w:tr>
    </w:tbl>
    <w:p>
      <w:pPr>
        <w:spacing w:after="20"/>
      </w:pPr>
    </w:p>
    <w:p>
      <w:pPr>
        <w:pStyle w:val="Heading1"/>
        <w:keepNext/>
        <w:spacing w:before="140" w:after="70"/>
      </w:pPr>
      <w:r>
        <w:rPr>
          <w:rFonts w:ascii="Aptos Display" w:hAnsi="Aptos Display"/>
          <w:b/>
          <w:i w:val="0"/>
          <w:color w:val="0F172A"/>
          <w:sz w:val="30"/>
        </w:rPr>
        <w:t>3. Intended Capacity Result and Practice Indicators</w:t>
      </w:r>
    </w:p>
    <w:tbl>
      <w:tblPr>
        <w:tblW w:type="auto" w:w="0"/>
        <w:jc w:val="center"/>
        <w:tblLook w:firstColumn="1" w:firstRow="1" w:lastColumn="0" w:lastRow="0" w:noHBand="0" w:noVBand="1" w:val="04A0"/>
      </w:tblPr>
      <w:tblGrid>
        <w:gridCol w:w="9866"/>
      </w:tblGrid>
      <w:tr>
        <w:trPr>
          <w:cantSplit/>
        </w:trPr>
        <w:tc>
          <w:tcPr>
            <w:tcW w:type="dxa" w:w="9866"/>
            <w:shd w:fill="EEF6FB"/>
            <w:tcMar>
              <w:top w:w="105" w:type="dxa"/>
              <w:start w:w="125" w:type="dxa"/>
              <w:bottom w:w="105" w:type="dxa"/>
              <w:end w:w="125" w:type="dxa"/>
            </w:tcMar>
            <w:tcBorders>
              <w:top w:val="single" w:sz="4" w:color="D8E6EA"/>
              <w:left w:val="single" w:sz="18" w:color="3B99D4"/>
              <w:bottom w:val="single" w:sz="4" w:color="D8E6EA"/>
              <w:right w:val="single" w:sz="4" w:color="D8E6EA"/>
            </w:tcBorders>
          </w:tcPr>
          <w:p>
            <w:pPr>
              <w:spacing w:after="0"/>
            </w:pPr>
            <w:r>
              <w:rPr>
                <w:rFonts w:ascii="Aptos" w:hAnsi="Aptos"/>
                <w:b/>
                <w:i w:val="0"/>
                <w:color w:val="0F172A"/>
                <w:sz w:val="20"/>
              </w:rPr>
              <w:t>Recommended capacity result</w:t>
              <w:br/>
            </w:r>
            <w:r>
              <w:rPr>
                <w:rFonts w:ascii="Aptos" w:hAnsi="Aptos"/>
                <w:b w:val="0"/>
                <w:i w:val="0"/>
                <w:color w:val="111827"/>
                <w:sz w:val="18"/>
              </w:rPr>
              <w:t>CSO practitioners plan, coordinate, monitor, adapt and close projects using clear results, responsibilities, realistic resources, active risk management and evidence-informed decisions.</w:t>
            </w:r>
          </w:p>
        </w:tc>
      </w:tr>
    </w:tbl>
    <w:p>
      <w:pPr>
        <w:spacing w:after="20"/>
      </w:pPr>
    </w:p>
    <w:p>
      <w:pPr>
        <w:spacing w:before="0" w:after="80" w:line="252" w:lineRule="auto"/>
      </w:pPr>
      <w:r>
        <w:rPr>
          <w:rFonts w:ascii="Aptos" w:hAnsi="Aptos"/>
          <w:b w:val="0"/>
          <w:i w:val="0"/>
          <w:color w:val="111827"/>
          <w:sz w:val="18"/>
        </w:rPr>
        <w:t>The internal pilot does not establish a representative organisational baseline. It should test whether the course provides credible practice opportunities for the following actions and whether selected CSO learners later find them relevant and usable.</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4933"/>
            <w:shd w:fill="0F172A"/>
            <w:tcMar>
              <w:top w:w="80" w:type="dxa"/>
              <w:start w:w="95" w:type="dxa"/>
              <w:bottom w:w="80" w:type="dxa"/>
              <w:end w:w="95" w:type="dxa"/>
            </w:tcMar>
            <w:tcBorders>
              <w:top w:val="single" w:sz="4" w:color="D8E6EA"/>
              <w:left w:val="single" w:sz="4" w:color="D8E6EA"/>
              <w:bottom w:val="single" w:sz="4" w:color="D8E6EA"/>
              <w:right w:val="single" w:sz="4" w:color="D8E6EA"/>
            </w:tcBorders>
          </w:tcPr>
          <w:p>
            <w:pPr>
              <w:spacing w:after="0"/>
            </w:pPr>
            <w:r>
              <w:rPr>
                <w:rFonts w:ascii="Aptos" w:hAnsi="Aptos"/>
                <w:b/>
                <w:i w:val="0"/>
                <w:color w:val="FFFFFF"/>
                <w:sz w:val="16"/>
              </w:rPr>
              <w:t>Practice indicator</w:t>
            </w:r>
          </w:p>
        </w:tc>
        <w:tc>
          <w:tcPr>
            <w:tcW w:type="dxa" w:w="4933"/>
            <w:shd w:fill="0F172A"/>
            <w:tcMar>
              <w:top w:w="80" w:type="dxa"/>
              <w:start w:w="95" w:type="dxa"/>
              <w:bottom w:w="80" w:type="dxa"/>
              <w:end w:w="95" w:type="dxa"/>
            </w:tcMar>
            <w:tcBorders>
              <w:top w:val="single" w:sz="4" w:color="D8E6EA"/>
              <w:left w:val="single" w:sz="4" w:color="D8E6EA"/>
              <w:bottom w:val="single" w:sz="4" w:color="D8E6EA"/>
              <w:right w:val="single" w:sz="4" w:color="D8E6EA"/>
            </w:tcBorders>
          </w:tcPr>
          <w:p>
            <w:pPr>
              <w:spacing w:after="0"/>
            </w:pPr>
            <w:r>
              <w:rPr>
                <w:rFonts w:ascii="Aptos" w:hAnsi="Aptos"/>
                <w:b/>
                <w:i w:val="0"/>
                <w:color w:val="FFFFFF"/>
                <w:sz w:val="16"/>
              </w:rPr>
              <w:t>Observable evidence</w:t>
            </w:r>
          </w:p>
        </w:tc>
      </w:tr>
      <w:tr>
        <w:trPr>
          <w:cantSplit/>
        </w:trPr>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Clear project definition</w:t>
            </w:r>
          </w:p>
        </w:tc>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The learner distinguishes the problem/opportunity, purpose, results and scope before moving into detailed planning.</w:t>
            </w:r>
          </w:p>
        </w:tc>
      </w:tr>
      <w:tr>
        <w:trPr>
          <w:cantSplit/>
        </w:trPr>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Stakeholder and responsibility clarity</w:t>
            </w:r>
          </w:p>
        </w:tc>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Affected groups, participation needs, decision roles and delivery responsibilities are identified.</w:t>
            </w:r>
          </w:p>
        </w:tc>
      </w:tr>
      <w:tr>
        <w:trPr>
          <w:cantSplit/>
        </w:trPr>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Integrated planning</w:t>
            </w:r>
          </w:p>
        </w:tc>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Activities, dependencies, milestones, roles, resources, budget, risk, quality, communication and safeguarding fit together.</w:t>
            </w:r>
          </w:p>
        </w:tc>
      </w:tr>
      <w:tr>
        <w:trPr>
          <w:cantSplit/>
        </w:trPr>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Coordinated implementation</w:t>
            </w:r>
          </w:p>
        </w:tc>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The learner can identify appropriate start-up, meeting, partner/supplier, quality, resource and team actions.</w:t>
            </w:r>
          </w:p>
        </w:tc>
      </w:tr>
      <w:tr>
        <w:trPr>
          <w:cantSplit/>
        </w:trPr>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Evidence-based monitoring</w:t>
            </w:r>
          </w:p>
        </w:tc>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Planned versus actual progress, results evidence and resource information are interpreted together.</w:t>
            </w:r>
          </w:p>
        </w:tc>
      </w:tr>
      <w:tr>
        <w:trPr>
          <w:cantSplit/>
        </w:trPr>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Active risk/issue/change management</w:t>
            </w:r>
          </w:p>
        </w:tc>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The learner distinguishes risks, assumptions, issues, decisions and changes and chooses proportionate escalation/action.</w:t>
            </w:r>
          </w:p>
        </w:tc>
      </w:tr>
      <w:tr>
        <w:trPr>
          <w:cantSplit/>
        </w:trPr>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Responsible closure</w:t>
            </w:r>
          </w:p>
        </w:tc>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Deliverables, finance, contracts, data, communication, handover, sustainability and lessons are addressed before closure.</w:t>
            </w:r>
          </w:p>
        </w:tc>
      </w:tr>
      <w:tr>
        <w:trPr>
          <w:cantSplit/>
        </w:trPr>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Transfer potential</w:t>
            </w:r>
          </w:p>
        </w:tc>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The learner can name at least one project-management question or tool they could adapt to real CSO work.</w:t>
            </w:r>
          </w:p>
        </w:tc>
      </w:tr>
    </w:tbl>
    <w:p>
      <w:pPr>
        <w:spacing w:after="20"/>
      </w:pPr>
    </w:p>
    <w:p>
      <w:pPr>
        <w:pStyle w:val="Heading1"/>
        <w:keepNext/>
        <w:spacing w:before="140" w:after="70"/>
      </w:pPr>
      <w:r>
        <w:rPr>
          <w:rFonts w:ascii="Aptos Display" w:hAnsi="Aptos Display"/>
          <w:b/>
          <w:i w:val="0"/>
          <w:color w:val="0F172A"/>
          <w:sz w:val="30"/>
        </w:rPr>
        <w:t>4. Project Management Capacity-to-Action Map</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3289"/>
            <w:shd w:fill="0F172A"/>
            <w:tcMar>
              <w:top w:w="80" w:type="dxa"/>
              <w:start w:w="95" w:type="dxa"/>
              <w:bottom w:w="80" w:type="dxa"/>
              <w:end w:w="95" w:type="dxa"/>
            </w:tcMar>
            <w:tcBorders>
              <w:top w:val="single" w:sz="4" w:color="D8E6EA"/>
              <w:left w:val="single" w:sz="4" w:color="D8E6EA"/>
              <w:bottom w:val="single" w:sz="4" w:color="D8E6EA"/>
              <w:right w:val="single" w:sz="4" w:color="D8E6EA"/>
            </w:tcBorders>
          </w:tcPr>
          <w:p>
            <w:pPr>
              <w:spacing w:after="0"/>
            </w:pPr>
            <w:r>
              <w:rPr>
                <w:rFonts w:ascii="Aptos" w:hAnsi="Aptos"/>
                <w:b/>
                <w:i w:val="0"/>
                <w:color w:val="FFFFFF"/>
                <w:sz w:val="15"/>
              </w:rPr>
              <w:t>Priority action</w:t>
            </w:r>
          </w:p>
        </w:tc>
        <w:tc>
          <w:tcPr>
            <w:tcW w:type="dxa" w:w="3289"/>
            <w:shd w:fill="0F172A"/>
            <w:tcMar>
              <w:top w:w="80" w:type="dxa"/>
              <w:start w:w="95" w:type="dxa"/>
              <w:bottom w:w="80" w:type="dxa"/>
              <w:end w:w="95" w:type="dxa"/>
            </w:tcMar>
            <w:tcBorders>
              <w:top w:val="single" w:sz="4" w:color="D8E6EA"/>
              <w:left w:val="single" w:sz="4" w:color="D8E6EA"/>
              <w:bottom w:val="single" w:sz="4" w:color="D8E6EA"/>
              <w:right w:val="single" w:sz="4" w:color="D8E6EA"/>
            </w:tcBorders>
          </w:tcPr>
          <w:p>
            <w:pPr>
              <w:spacing w:after="0"/>
            </w:pPr>
            <w:r>
              <w:rPr>
                <w:rFonts w:ascii="Aptos" w:hAnsi="Aptos"/>
                <w:b/>
                <w:i w:val="0"/>
                <w:color w:val="FFFFFF"/>
                <w:sz w:val="15"/>
              </w:rPr>
              <w:t>What it means in CSO practice</w:t>
            </w:r>
          </w:p>
        </w:tc>
        <w:tc>
          <w:tcPr>
            <w:tcW w:type="dxa" w:w="3289"/>
            <w:shd w:fill="0F172A"/>
            <w:tcMar>
              <w:top w:w="80" w:type="dxa"/>
              <w:start w:w="95" w:type="dxa"/>
              <w:bottom w:w="80" w:type="dxa"/>
              <w:end w:w="95" w:type="dxa"/>
            </w:tcMar>
            <w:tcBorders>
              <w:top w:val="single" w:sz="4" w:color="D8E6EA"/>
              <w:left w:val="single" w:sz="4" w:color="D8E6EA"/>
              <w:bottom w:val="single" w:sz="4" w:color="D8E6EA"/>
              <w:right w:val="single" w:sz="4" w:color="D8E6EA"/>
            </w:tcBorders>
          </w:tcPr>
          <w:p>
            <w:pPr>
              <w:spacing w:after="0"/>
            </w:pPr>
            <w:r>
              <w:rPr>
                <w:rFonts w:ascii="Aptos" w:hAnsi="Aptos"/>
                <w:b/>
                <w:i w:val="0"/>
                <w:color w:val="FFFFFF"/>
                <w:sz w:val="15"/>
              </w:rPr>
              <w:t>Where the current course builds it</w:t>
            </w:r>
          </w:p>
        </w:tc>
      </w:tr>
      <w:tr>
        <w:trPr>
          <w:cantSplit/>
        </w:trPr>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1. Clarify the project before planning</w:t>
            </w:r>
          </w:p>
        </w:tc>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Identify the problem/opportunity, purpose, results and boundaries without prescribing the solution too early.</w:t>
            </w:r>
          </w:p>
        </w:tc>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Orientation + Module 1: problem/opportunity, purpose/results, scope.</w:t>
            </w:r>
          </w:p>
        </w:tc>
      </w:tr>
      <w:tr>
        <w:trPr>
          <w:cantSplit/>
        </w:trPr>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5"/>
              </w:rPr>
              <w:t>2. Decide whether the project is feasible and appropriate</w:t>
            </w:r>
          </w:p>
        </w:tc>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5"/>
              </w:rPr>
              <w:t>Review stakeholders, participation, risks, assumptions and feasibility before committing to proceed.</w:t>
            </w:r>
          </w:p>
        </w:tc>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5"/>
              </w:rPr>
              <w:t>Module 1: stakeholder analysis + feasibility/initiation decision.</w:t>
            </w:r>
          </w:p>
        </w:tc>
      </w:tr>
      <w:tr>
        <w:trPr>
          <w:cantSplit/>
        </w:trPr>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3. Build one integrated plan</w:t>
            </w:r>
          </w:p>
        </w:tc>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Translate results into work, milestones, responsibilities, resources/budget, risks, quality, communication and safeguarding.</w:t>
            </w:r>
          </w:p>
        </w:tc>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Module 2: eight connected planning screens.</w:t>
            </w:r>
          </w:p>
        </w:tc>
      </w:tr>
      <w:tr>
        <w:trPr>
          <w:cantSplit/>
        </w:trPr>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5"/>
              </w:rPr>
              <w:t>4. Coordinate implementation</w:t>
            </w:r>
          </w:p>
        </w:tc>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5"/>
              </w:rPr>
              <w:t>Start well, make dependencies visible, record decisions, manage partners/suppliers, protect quality/resources and respond to community/team concerns.</w:t>
            </w:r>
          </w:p>
        </w:tc>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5"/>
              </w:rPr>
              <w:t>Module 3: six implementation screens.</w:t>
            </w:r>
          </w:p>
        </w:tc>
      </w:tr>
      <w:tr>
        <w:trPr>
          <w:cantSplit/>
        </w:trPr>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5. Read project status as connected evidence</w:t>
            </w:r>
          </w:p>
        </w:tc>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Compare plans with actual progress, interpret results/data quality and identify what requires management attention.</w:t>
            </w:r>
          </w:p>
        </w:tc>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Module 4: monitoring, variance and evidence interpretation.</w:t>
            </w:r>
          </w:p>
        </w:tc>
      </w:tr>
      <w:tr>
        <w:trPr>
          <w:cantSplit/>
        </w:trPr>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5"/>
              </w:rPr>
              <w:t>6. Manage risks, issues, decisions and changes proportionately</w:t>
            </w:r>
          </w:p>
        </w:tc>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5"/>
              </w:rPr>
              <w:t>Classify the situation, escalate at the right level, assess change implications and document agreed changes.</w:t>
            </w:r>
          </w:p>
        </w:tc>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5"/>
              </w:rPr>
              <w:t>Module 4: RAIDC triage, escalation, change workflow, adaptive review.</w:t>
            </w:r>
          </w:p>
        </w:tc>
      </w:tr>
      <w:tr>
        <w:trPr>
          <w:cantSplit/>
        </w:trPr>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7. Close, hand over and learn responsibly</w:t>
            </w:r>
          </w:p>
        </w:tc>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Complete commitments, test sustainability/transfer arrangements, review results honestly and capture practical lessons.</w:t>
            </w:r>
          </w:p>
        </w:tc>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Module 5: closure, handover/sustainability, lessons learned.</w:t>
            </w:r>
          </w:p>
        </w:tc>
      </w:tr>
    </w:tbl>
    <w:p>
      <w:pPr>
        <w:spacing w:after="20"/>
      </w:pPr>
    </w:p>
    <w:p>
      <w:pPr>
        <w:pStyle w:val="Heading1"/>
        <w:keepNext/>
        <w:spacing w:before="140" w:after="70"/>
      </w:pPr>
      <w:r>
        <w:rPr>
          <w:rFonts w:ascii="Aptos Display" w:hAnsi="Aptos Display"/>
          <w:b/>
          <w:i w:val="0"/>
          <w:color w:val="0F172A"/>
          <w:sz w:val="30"/>
        </w:rPr>
        <w:t>5. Current Short-Course Structure and Validation Focus</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2466"/>
            <w:shd w:fill="0F172A"/>
            <w:tcMar>
              <w:top w:w="80" w:type="dxa"/>
              <w:start w:w="95" w:type="dxa"/>
              <w:bottom w:w="80" w:type="dxa"/>
              <w:end w:w="95" w:type="dxa"/>
            </w:tcMar>
            <w:tcBorders>
              <w:top w:val="single" w:sz="4" w:color="D8E6EA"/>
              <w:left w:val="single" w:sz="4" w:color="D8E6EA"/>
              <w:bottom w:val="single" w:sz="4" w:color="D8E6EA"/>
              <w:right w:val="single" w:sz="4" w:color="D8E6EA"/>
            </w:tcBorders>
          </w:tcPr>
          <w:p>
            <w:pPr>
              <w:spacing w:after="0"/>
            </w:pPr>
            <w:r>
              <w:rPr>
                <w:rFonts w:ascii="Aptos" w:hAnsi="Aptos"/>
                <w:b/>
                <w:i w:val="0"/>
                <w:color w:val="FFFFFF"/>
                <w:sz w:val="14"/>
              </w:rPr>
              <w:t>Course stage</w:t>
            </w:r>
          </w:p>
        </w:tc>
        <w:tc>
          <w:tcPr>
            <w:tcW w:type="dxa" w:w="2466"/>
            <w:shd w:fill="0F172A"/>
            <w:tcMar>
              <w:top w:w="80" w:type="dxa"/>
              <w:start w:w="95" w:type="dxa"/>
              <w:bottom w:w="80" w:type="dxa"/>
              <w:end w:w="95" w:type="dxa"/>
            </w:tcMar>
            <w:tcBorders>
              <w:top w:val="single" w:sz="4" w:color="D8E6EA"/>
              <w:left w:val="single" w:sz="4" w:color="D8E6EA"/>
              <w:bottom w:val="single" w:sz="4" w:color="D8E6EA"/>
              <w:right w:val="single" w:sz="4" w:color="D8E6EA"/>
            </w:tcBorders>
          </w:tcPr>
          <w:p>
            <w:pPr>
              <w:spacing w:after="0"/>
            </w:pPr>
            <w:r>
              <w:rPr>
                <w:rFonts w:ascii="Aptos" w:hAnsi="Aptos"/>
                <w:b/>
                <w:i w:val="0"/>
                <w:color w:val="FFFFFF"/>
                <w:sz w:val="14"/>
              </w:rPr>
              <w:t>Current focus</w:t>
            </w:r>
          </w:p>
        </w:tc>
        <w:tc>
          <w:tcPr>
            <w:tcW w:type="dxa" w:w="2466"/>
            <w:shd w:fill="0F172A"/>
            <w:tcMar>
              <w:top w:w="80" w:type="dxa"/>
              <w:start w:w="95" w:type="dxa"/>
              <w:bottom w:w="80" w:type="dxa"/>
              <w:end w:w="95" w:type="dxa"/>
            </w:tcMar>
            <w:tcBorders>
              <w:top w:val="single" w:sz="4" w:color="D8E6EA"/>
              <w:left w:val="single" w:sz="4" w:color="D8E6EA"/>
              <w:bottom w:val="single" w:sz="4" w:color="D8E6EA"/>
              <w:right w:val="single" w:sz="4" w:color="D8E6EA"/>
            </w:tcBorders>
          </w:tcPr>
          <w:p>
            <w:pPr>
              <w:spacing w:after="0"/>
            </w:pPr>
            <w:r>
              <w:rPr>
                <w:rFonts w:ascii="Aptos" w:hAnsi="Aptos"/>
                <w:b/>
                <w:i w:val="0"/>
                <w:color w:val="FFFFFF"/>
                <w:sz w:val="14"/>
              </w:rPr>
              <w:t>Learning action / interaction</w:t>
            </w:r>
          </w:p>
        </w:tc>
        <w:tc>
          <w:tcPr>
            <w:tcW w:type="dxa" w:w="2466"/>
            <w:shd w:fill="0F172A"/>
            <w:tcMar>
              <w:top w:w="80" w:type="dxa"/>
              <w:start w:w="95" w:type="dxa"/>
              <w:bottom w:w="80" w:type="dxa"/>
              <w:end w:w="95" w:type="dxa"/>
            </w:tcMar>
            <w:tcBorders>
              <w:top w:val="single" w:sz="4" w:color="D8E6EA"/>
              <w:left w:val="single" w:sz="4" w:color="D8E6EA"/>
              <w:bottom w:val="single" w:sz="4" w:color="D8E6EA"/>
              <w:right w:val="single" w:sz="4" w:color="D8E6EA"/>
            </w:tcBorders>
          </w:tcPr>
          <w:p>
            <w:pPr>
              <w:spacing w:after="0"/>
            </w:pPr>
            <w:r>
              <w:rPr>
                <w:rFonts w:ascii="Aptos" w:hAnsi="Aptos"/>
                <w:b/>
                <w:i w:val="0"/>
                <w:color w:val="FFFFFF"/>
                <w:sz w:val="14"/>
              </w:rPr>
              <w:t>Internal pilot validation focus</w:t>
            </w:r>
          </w:p>
        </w:tc>
      </w:tr>
      <w:tr>
        <w:trPr>
          <w:cantSplit/>
        </w:trPr>
        <w:tc>
          <w:tcPr>
            <w:tcW w:type="dxa" w:w="2466"/>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4"/>
              </w:rPr>
              <w:t>Orientation - 4 screens</w:t>
            </w:r>
          </w:p>
        </w:tc>
        <w:tc>
          <w:tcPr>
            <w:tcW w:type="dxa" w:w="2466"/>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4"/>
              </w:rPr>
              <w:t>PM purpose; project/programme/ongoing work; project cycle; project success.</w:t>
            </w:r>
          </w:p>
        </w:tc>
        <w:tc>
          <w:tcPr>
            <w:tcW w:type="dxa" w:w="2466"/>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4"/>
              </w:rPr>
              <w:t>Classification, sequencing and success-dimension checks.</w:t>
            </w:r>
          </w:p>
        </w:tc>
        <w:tc>
          <w:tcPr>
            <w:tcW w:type="dxa" w:w="2466"/>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4"/>
              </w:rPr>
              <w:t>Is the course purpose clear and relevant? Does it establish project management as coordinated action, not paperwork?</w:t>
            </w:r>
          </w:p>
        </w:tc>
      </w:tr>
      <w:tr>
        <w:trPr>
          <w:cantSplit/>
        </w:trPr>
        <w:tc>
          <w:tcPr>
            <w:tcW w:type="dxa" w:w="2466"/>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4"/>
              </w:rPr>
              <w:t>Module 1 - Identification &amp; Initiation - 5 screens</w:t>
            </w:r>
          </w:p>
        </w:tc>
        <w:tc>
          <w:tcPr>
            <w:tcW w:type="dxa" w:w="2466"/>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4"/>
              </w:rPr>
              <w:t>Problem/opportunity; purpose/results; scope; stakeholders; feasibility/initiation.</w:t>
            </w:r>
          </w:p>
        </w:tc>
        <w:tc>
          <w:tcPr>
            <w:tcW w:type="dxa" w:w="2466"/>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4"/>
              </w:rPr>
              <w:t>Repair problem statement; match results; categorise scope; choose participation response; initiation decision.</w:t>
            </w:r>
          </w:p>
        </w:tc>
        <w:tc>
          <w:tcPr>
            <w:tcW w:type="dxa" w:w="2466"/>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4"/>
              </w:rPr>
              <w:t>Do learners make stronger early decisions before planning? Are feasibility and participation credible for CSOs?</w:t>
            </w:r>
          </w:p>
        </w:tc>
      </w:tr>
      <w:tr>
        <w:trPr>
          <w:cantSplit/>
        </w:trPr>
        <w:tc>
          <w:tcPr>
            <w:tcW w:type="dxa" w:w="2466"/>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4"/>
              </w:rPr>
              <w:t>Module 2 - Planning - 8 screens</w:t>
            </w:r>
          </w:p>
        </w:tc>
        <w:tc>
          <w:tcPr>
            <w:tcW w:type="dxa" w:w="2466"/>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4"/>
              </w:rPr>
              <w:t>Integrated planning; results/activities; work breakdown; schedule; roles; resources/budget; risks/assumptions; quality/communication/safeguarding.</w:t>
            </w:r>
          </w:p>
        </w:tc>
        <w:tc>
          <w:tcPr>
            <w:tcW w:type="dxa" w:w="2466"/>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4"/>
              </w:rPr>
              <w:t>Classification, sequencing, responsibility assignment, budget interpretation, risk/assumption triage, integrated planning check.</w:t>
            </w:r>
          </w:p>
        </w:tc>
        <w:tc>
          <w:tcPr>
            <w:tcW w:type="dxa" w:w="2466"/>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4"/>
              </w:rPr>
              <w:t>Do the pieces form one workable plan rather than separate templates? Are resource and role expectations proportionate?</w:t>
            </w:r>
          </w:p>
        </w:tc>
      </w:tr>
      <w:tr>
        <w:trPr>
          <w:cantSplit/>
        </w:trPr>
        <w:tc>
          <w:tcPr>
            <w:tcW w:type="dxa" w:w="2466"/>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4"/>
              </w:rPr>
              <w:t>Module 3 - Implementation - 6 screens</w:t>
            </w:r>
          </w:p>
        </w:tc>
        <w:tc>
          <w:tcPr>
            <w:tcW w:type="dxa" w:w="2466"/>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4"/>
              </w:rPr>
              <w:t>Start-up; coordination; meetings/decisions; partners/suppliers/procurement; quality/resources; participation/accountability/team wellbeing.</w:t>
            </w:r>
          </w:p>
        </w:tc>
        <w:tc>
          <w:tcPr>
            <w:tcW w:type="dxa" w:w="2466"/>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4"/>
              </w:rPr>
              <w:t>Launch agenda, meeting-record repair, scenario responses and prioritisation.</w:t>
            </w:r>
          </w:p>
        </w:tc>
        <w:tc>
          <w:tcPr>
            <w:tcW w:type="dxa" w:w="2466"/>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4"/>
              </w:rPr>
              <w:t>Does the course help learners coordinate real implementation pressures without becoming overly procedural?</w:t>
            </w:r>
          </w:p>
        </w:tc>
      </w:tr>
      <w:tr>
        <w:trPr>
          <w:cantSplit/>
        </w:trPr>
        <w:tc>
          <w:tcPr>
            <w:tcW w:type="dxa" w:w="2466"/>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4"/>
              </w:rPr>
              <w:t>Module 4 - Monitoring, Learning &amp; Adaptation - 6 screens</w:t>
            </w:r>
          </w:p>
        </w:tc>
        <w:tc>
          <w:tcPr>
            <w:tcW w:type="dxa" w:w="2466"/>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4"/>
              </w:rPr>
              <w:t>Project status; plan vs actual; results/data quality; risks/issues/escalation; changes; learning/adaptation/reporting.</w:t>
            </w:r>
          </w:p>
        </w:tc>
        <w:tc>
          <w:tcPr>
            <w:tcW w:type="dxa" w:w="2466"/>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4"/>
              </w:rPr>
              <w:t>Status interpretation, RAIDC classification/escalation, change workflow and adaptive review.</w:t>
            </w:r>
          </w:p>
        </w:tc>
        <w:tc>
          <w:tcPr>
            <w:tcW w:type="dxa" w:w="2466"/>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4"/>
              </w:rPr>
              <w:t>Does monitoring lead to decisions and adaptation? Are risk/issue/change distinctions understandable and useful?</w:t>
            </w:r>
          </w:p>
        </w:tc>
      </w:tr>
      <w:tr>
        <w:trPr>
          <w:cantSplit/>
        </w:trPr>
        <w:tc>
          <w:tcPr>
            <w:tcW w:type="dxa" w:w="2466"/>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4"/>
              </w:rPr>
              <w:t>Module 5 - Closure &amp; Sustainability - 3 screens</w:t>
            </w:r>
          </w:p>
        </w:tc>
        <w:tc>
          <w:tcPr>
            <w:tcW w:type="dxa" w:w="2466"/>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4"/>
              </w:rPr>
              <w:t>Closure preparation; handover/sustainability; review/lessons.</w:t>
            </w:r>
          </w:p>
        </w:tc>
        <w:tc>
          <w:tcPr>
            <w:tcW w:type="dxa" w:w="2466"/>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4"/>
              </w:rPr>
              <w:t>Closure roadmap, handover stress test and results/lesson review.</w:t>
            </w:r>
          </w:p>
        </w:tc>
        <w:tc>
          <w:tcPr>
            <w:tcW w:type="dxa" w:w="2466"/>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4"/>
              </w:rPr>
              <w:t>Does closure start early enough and cover commitments, transfer, sustainability and learning?</w:t>
            </w:r>
          </w:p>
        </w:tc>
      </w:tr>
      <w:tr>
        <w:trPr>
          <w:cantSplit/>
        </w:trPr>
        <w:tc>
          <w:tcPr>
            <w:tcW w:type="dxa" w:w="2466"/>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4"/>
              </w:rPr>
              <w:t>Final Applied Assessment - 3 screens</w:t>
            </w:r>
          </w:p>
        </w:tc>
        <w:tc>
          <w:tcPr>
            <w:tcW w:type="dxa" w:w="2466"/>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4"/>
              </w:rPr>
              <w:t>Briefing; integrated scenario; results/key messages.</w:t>
            </w:r>
          </w:p>
        </w:tc>
        <w:tc>
          <w:tcPr>
            <w:tcW w:type="dxa" w:w="2466"/>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4"/>
              </w:rPr>
              <w:t>Ten scored scenario decisions across the project cycle.</w:t>
            </w:r>
          </w:p>
        </w:tc>
        <w:tc>
          <w:tcPr>
            <w:tcW w:type="dxa" w:w="2466"/>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4"/>
              </w:rPr>
              <w:t>Does assessment test the same applied decisions practised in the course? Is feedback sufficient for retry/learning?</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FFF4E5"/>
            <w:tcMar>
              <w:top w:w="105" w:type="dxa"/>
              <w:start w:w="125" w:type="dxa"/>
              <w:bottom w:w="105" w:type="dxa"/>
              <w:end w:w="125" w:type="dxa"/>
            </w:tcMar>
            <w:tcBorders>
              <w:top w:val="single" w:sz="4" w:color="D8E6EA"/>
              <w:left w:val="single" w:sz="18" w:color="F59E0B"/>
              <w:bottom w:val="single" w:sz="4" w:color="D8E6EA"/>
              <w:right w:val="single" w:sz="4" w:color="D8E6EA"/>
            </w:tcBorders>
          </w:tcPr>
          <w:p>
            <w:pPr>
              <w:spacing w:after="0"/>
            </w:pPr>
            <w:r>
              <w:rPr>
                <w:rFonts w:ascii="Aptos" w:hAnsi="Aptos"/>
                <w:b/>
                <w:i w:val="0"/>
                <w:color w:val="0F172A"/>
                <w:sz w:val="20"/>
              </w:rPr>
              <w:t>Assessment baseline to verify</w:t>
              <w:br/>
            </w:r>
            <w:r>
              <w:rPr>
                <w:rFonts w:ascii="Aptos" w:hAnsi="Aptos"/>
                <w:b w:val="0"/>
                <w:i w:val="0"/>
                <w:color w:val="111827"/>
                <w:sz w:val="18"/>
              </w:rPr>
              <w:t>The current 35-screen storyboard specifies ten scored applied decisions and a 70% pass threshold. If the live course shows a different threshold or adds portfolio completion requirements, record the discrepancy and confirm the approved rule before the selected-CSO pilot.</w:t>
            </w:r>
          </w:p>
        </w:tc>
      </w:tr>
    </w:tbl>
    <w:p>
      <w:pPr>
        <w:spacing w:after="20"/>
      </w:pPr>
    </w:p>
    <w:p>
      <w:pPr>
        <w:pStyle w:val="Heading1"/>
        <w:keepNext/>
        <w:spacing w:before="140" w:after="70"/>
      </w:pPr>
      <w:r>
        <w:rPr>
          <w:rFonts w:ascii="Aptos Display" w:hAnsi="Aptos Display"/>
          <w:b/>
          <w:i w:val="0"/>
          <w:color w:val="0F172A"/>
          <w:sz w:val="30"/>
        </w:rPr>
        <w:t>6. Learning Design Principles</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4933"/>
            <w:shd w:fill="0F172A"/>
            <w:tcMar>
              <w:top w:w="80" w:type="dxa"/>
              <w:start w:w="95" w:type="dxa"/>
              <w:bottom w:w="80" w:type="dxa"/>
              <w:end w:w="95" w:type="dxa"/>
            </w:tcMar>
            <w:tcBorders>
              <w:top w:val="single" w:sz="4" w:color="D8E6EA"/>
              <w:left w:val="single" w:sz="4" w:color="D8E6EA"/>
              <w:bottom w:val="single" w:sz="4" w:color="D8E6EA"/>
              <w:right w:val="single" w:sz="4" w:color="D8E6EA"/>
            </w:tcBorders>
          </w:tcPr>
          <w:p>
            <w:pPr>
              <w:spacing w:after="0"/>
            </w:pPr>
            <w:r>
              <w:rPr>
                <w:rFonts w:ascii="Aptos" w:hAnsi="Aptos"/>
                <w:b/>
                <w:i w:val="0"/>
                <w:color w:val="FFFFFF"/>
                <w:sz w:val="16"/>
              </w:rPr>
              <w:t>Principle</w:t>
            </w:r>
          </w:p>
        </w:tc>
        <w:tc>
          <w:tcPr>
            <w:tcW w:type="dxa" w:w="4933"/>
            <w:shd w:fill="0F172A"/>
            <w:tcMar>
              <w:top w:w="80" w:type="dxa"/>
              <w:start w:w="95" w:type="dxa"/>
              <w:bottom w:w="80" w:type="dxa"/>
              <w:end w:w="95" w:type="dxa"/>
            </w:tcMar>
            <w:tcBorders>
              <w:top w:val="single" w:sz="4" w:color="D8E6EA"/>
              <w:left w:val="single" w:sz="4" w:color="D8E6EA"/>
              <w:bottom w:val="single" w:sz="4" w:color="D8E6EA"/>
              <w:right w:val="single" w:sz="4" w:color="D8E6EA"/>
            </w:tcBorders>
          </w:tcPr>
          <w:p>
            <w:pPr>
              <w:spacing w:after="0"/>
            </w:pPr>
            <w:r>
              <w:rPr>
                <w:rFonts w:ascii="Aptos" w:hAnsi="Aptos"/>
                <w:b/>
                <w:i w:val="0"/>
                <w:color w:val="FFFFFF"/>
                <w:sz w:val="16"/>
              </w:rPr>
              <w:t>Implication for the course</w:t>
            </w:r>
          </w:p>
        </w:tc>
      </w:tr>
      <w:tr>
        <w:trPr>
          <w:cantSplit/>
        </w:trPr>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Begin with a project problem or decision</w:t>
            </w:r>
          </w:p>
        </w:tc>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Lessons should start from a recognisable management situation before introducing the concept or tool needed to respond.</w:t>
            </w:r>
          </w:p>
        </w:tc>
      </w:tr>
      <w:tr>
        <w:trPr>
          <w:cantSplit/>
        </w:trPr>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Keep the lifecycle connected</w:t>
            </w:r>
          </w:p>
        </w:tc>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Planning, stakeholder engagement, budgeting, risk, implementation, monitoring and closure should feel like decisions within one project journey.</w:t>
            </w:r>
          </w:p>
        </w:tc>
      </w:tr>
      <w:tr>
        <w:trPr>
          <w:cantSplit/>
        </w:trPr>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Use proportionate management</w:t>
            </w:r>
          </w:p>
        </w:tc>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The course should help smaller CSOs use enough structure to protect purpose, people, resources and accountability without unnecessary process.</w:t>
            </w:r>
          </w:p>
        </w:tc>
      </w:tr>
      <w:tr>
        <w:trPr>
          <w:cantSplit/>
        </w:trPr>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Use purposeful interactions</w:t>
            </w:r>
          </w:p>
        </w:tc>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Classification, sequencing, matching or selection should be used only when they support a real distinction or decision.</w:t>
            </w:r>
          </w:p>
        </w:tc>
      </w:tr>
      <w:tr>
        <w:trPr>
          <w:cantSplit/>
        </w:trPr>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Make feedback explain consequences</w:t>
            </w:r>
          </w:p>
        </w:tc>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Feedback should explain the effect of a choice on purpose, people, resources, quality, risk or accountability and point to the stronger action.</w:t>
            </w:r>
          </w:p>
        </w:tc>
      </w:tr>
      <w:tr>
        <w:trPr>
          <w:cantSplit/>
        </w:trPr>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Design for ordinary devices</w:t>
            </w:r>
          </w:p>
        </w:tc>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Avoid precision-heavy interactions when a tap/select alternative achieves the same purpose more reliably on mobile.</w:t>
            </w:r>
          </w:p>
        </w:tc>
      </w:tr>
      <w:tr>
        <w:trPr>
          <w:cantSplit/>
        </w:trPr>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Use practical resources carefully</w:t>
            </w:r>
          </w:p>
        </w:tc>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A template or job aid should continue the learning, not create a parallel administrative burden.</w:t>
            </w:r>
          </w:p>
        </w:tc>
      </w:tr>
      <w:tr>
        <w:trPr>
          <w:cantSplit/>
        </w:trPr>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Separate course gaps from organisational constraints</w:t>
            </w:r>
          </w:p>
        </w:tc>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A lack of budget, authority, systems or donor flexibility may need management/organisational support rather than more course content.</w:t>
            </w:r>
          </w:p>
        </w:tc>
      </w:tr>
    </w:tbl>
    <w:p>
      <w:pPr>
        <w:spacing w:after="20"/>
      </w:pPr>
    </w:p>
    <w:p>
      <w:pPr>
        <w:pStyle w:val="Heading2"/>
        <w:keepNext/>
        <w:spacing w:before="90" w:after="70"/>
      </w:pPr>
      <w:r>
        <w:rPr>
          <w:rFonts w:ascii="Aptos Display" w:hAnsi="Aptos Display"/>
          <w:b/>
          <w:i w:val="0"/>
          <w:color w:val="0F172A"/>
          <w:sz w:val="24"/>
        </w:rPr>
        <w:t>6.1 Preferred activity pattern</w:t>
      </w:r>
    </w:p>
    <w:tbl>
      <w:tblPr>
        <w:tblW w:type="auto" w:w="0"/>
        <w:jc w:val="center"/>
        <w:tblLook w:firstColumn="1" w:firstRow="1" w:lastColumn="0" w:lastRow="0" w:noHBand="0" w:noVBand="1" w:val="04A0"/>
      </w:tblPr>
      <w:tblGrid>
        <w:gridCol w:w="9866"/>
      </w:tblGrid>
      <w:tr>
        <w:trPr>
          <w:cantSplit/>
        </w:trPr>
        <w:tc>
          <w:tcPr>
            <w:tcW w:type="dxa" w:w="9866"/>
            <w:shd w:fill="EAF7EF"/>
            <w:tcMar>
              <w:top w:w="105" w:type="dxa"/>
              <w:start w:w="125" w:type="dxa"/>
              <w:bottom w:w="105" w:type="dxa"/>
              <w:end w:w="125" w:type="dxa"/>
            </w:tcMar>
            <w:tcBorders>
              <w:top w:val="single" w:sz="4" w:color="D8E6EA"/>
              <w:left w:val="single" w:sz="18" w:color="0F8F8C"/>
              <w:bottom w:val="single" w:sz="4" w:color="D8E6EA"/>
              <w:right w:val="single" w:sz="4" w:color="D8E6EA"/>
            </w:tcBorders>
          </w:tcPr>
          <w:p>
            <w:pPr>
              <w:spacing w:after="0"/>
            </w:pPr>
            <w:r>
              <w:rPr>
                <w:rFonts w:ascii="Aptos" w:hAnsi="Aptos"/>
                <w:b/>
                <w:i w:val="0"/>
                <w:color w:val="0F172A"/>
                <w:sz w:val="20"/>
              </w:rPr>
              <w:t>Practice pattern</w:t>
              <w:br/>
            </w:r>
            <w:r>
              <w:rPr>
                <w:rFonts w:ascii="Aptos" w:hAnsi="Aptos"/>
                <w:b w:val="0"/>
                <w:i w:val="0"/>
                <w:color w:val="111827"/>
                <w:sz w:val="18"/>
              </w:rPr>
              <w:t>Recognisable project situation -&gt; learner decision -&gt; explanatory feedback -&gt; concise project-management concept/tool -&gt; next project-cycle action</w:t>
            </w:r>
          </w:p>
        </w:tc>
      </w:tr>
    </w:tbl>
    <w:p>
      <w:pPr>
        <w:spacing w:after="20"/>
      </w:pPr>
    </w:p>
    <w:p>
      <w:pPr>
        <w:pStyle w:val="Heading1"/>
        <w:keepNext/>
        <w:spacing w:before="140" w:after="70"/>
      </w:pPr>
      <w:r>
        <w:rPr>
          <w:rFonts w:ascii="Aptos Display" w:hAnsi="Aptos Display"/>
          <w:b/>
          <w:i w:val="0"/>
          <w:color w:val="0F172A"/>
          <w:sz w:val="30"/>
        </w:rPr>
        <w:t>7. Needs and Barrier Analysis</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3289"/>
            <w:shd w:fill="0F172A"/>
            <w:tcMar>
              <w:top w:w="80" w:type="dxa"/>
              <w:start w:w="95" w:type="dxa"/>
              <w:bottom w:w="80" w:type="dxa"/>
              <w:end w:w="95" w:type="dxa"/>
            </w:tcMar>
            <w:tcBorders>
              <w:top w:val="single" w:sz="4" w:color="D8E6EA"/>
              <w:left w:val="single" w:sz="4" w:color="D8E6EA"/>
              <w:bottom w:val="single" w:sz="4" w:color="D8E6EA"/>
              <w:right w:val="single" w:sz="4" w:color="D8E6EA"/>
            </w:tcBorders>
          </w:tcPr>
          <w:p>
            <w:pPr>
              <w:spacing w:after="0"/>
            </w:pPr>
            <w:r>
              <w:rPr>
                <w:rFonts w:ascii="Aptos" w:hAnsi="Aptos"/>
                <w:b/>
                <w:i w:val="0"/>
                <w:color w:val="FFFFFF"/>
                <w:sz w:val="16"/>
              </w:rPr>
              <w:t>Likely barrier</w:t>
            </w:r>
          </w:p>
        </w:tc>
        <w:tc>
          <w:tcPr>
            <w:tcW w:type="dxa" w:w="3289"/>
            <w:shd w:fill="0F172A"/>
            <w:tcMar>
              <w:top w:w="80" w:type="dxa"/>
              <w:start w:w="95" w:type="dxa"/>
              <w:bottom w:w="80" w:type="dxa"/>
              <w:end w:w="95" w:type="dxa"/>
            </w:tcMar>
            <w:tcBorders>
              <w:top w:val="single" w:sz="4" w:color="D8E6EA"/>
              <w:left w:val="single" w:sz="4" w:color="D8E6EA"/>
              <w:bottom w:val="single" w:sz="4" w:color="D8E6EA"/>
              <w:right w:val="single" w:sz="4" w:color="D8E6EA"/>
            </w:tcBorders>
          </w:tcPr>
          <w:p>
            <w:pPr>
              <w:spacing w:after="0"/>
            </w:pPr>
            <w:r>
              <w:rPr>
                <w:rFonts w:ascii="Aptos" w:hAnsi="Aptos"/>
                <w:b/>
                <w:i w:val="0"/>
                <w:color w:val="FFFFFF"/>
                <w:sz w:val="16"/>
              </w:rPr>
              <w:t>Can the course help?</w:t>
            </w:r>
          </w:p>
        </w:tc>
        <w:tc>
          <w:tcPr>
            <w:tcW w:type="dxa" w:w="3289"/>
            <w:shd w:fill="0F172A"/>
            <w:tcMar>
              <w:top w:w="80" w:type="dxa"/>
              <w:start w:w="95" w:type="dxa"/>
              <w:bottom w:w="80" w:type="dxa"/>
              <w:end w:w="95" w:type="dxa"/>
            </w:tcMar>
            <w:tcBorders>
              <w:top w:val="single" w:sz="4" w:color="D8E6EA"/>
              <w:left w:val="single" w:sz="4" w:color="D8E6EA"/>
              <w:bottom w:val="single" w:sz="4" w:color="D8E6EA"/>
              <w:right w:val="single" w:sz="4" w:color="D8E6EA"/>
            </w:tcBorders>
          </w:tcPr>
          <w:p>
            <w:pPr>
              <w:spacing w:after="0"/>
            </w:pPr>
            <w:r>
              <w:rPr>
                <w:rFonts w:ascii="Aptos" w:hAnsi="Aptos"/>
                <w:b/>
                <w:i w:val="0"/>
                <w:color w:val="FFFFFF"/>
                <w:sz w:val="16"/>
              </w:rPr>
              <w:t>Best response</w:t>
            </w:r>
          </w:p>
        </w:tc>
      </w:tr>
      <w:tr>
        <w:trPr>
          <w:cantSplit/>
        </w:trPr>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Unclear project purpose/results/scope</w:t>
            </w:r>
          </w:p>
        </w:tc>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Strongly</w:t>
            </w:r>
          </w:p>
        </w:tc>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Initiation practice and decision feedback.</w:t>
            </w:r>
          </w:p>
        </w:tc>
      </w:tr>
      <w:tr>
        <w:trPr>
          <w:cantSplit/>
        </w:trPr>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Weak planning integration</w:t>
            </w:r>
          </w:p>
        </w:tc>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Strongly</w:t>
            </w:r>
          </w:p>
        </w:tc>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Connected Module 2 practice across work, roles, schedule, budget, risk and quality.</w:t>
            </w:r>
          </w:p>
        </w:tc>
      </w:tr>
      <w:tr>
        <w:trPr>
          <w:cantSplit/>
        </w:trPr>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Confusion about roles/approvals</w:t>
            </w:r>
          </w:p>
        </w:tc>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Strongly</w:t>
            </w:r>
          </w:p>
        </w:tc>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Responsibility and decision-role activities.</w:t>
            </w:r>
          </w:p>
        </w:tc>
      </w:tr>
      <w:tr>
        <w:trPr>
          <w:cantSplit/>
        </w:trPr>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Risk/issue/change confusion</w:t>
            </w:r>
          </w:p>
        </w:tc>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Strongly</w:t>
            </w:r>
          </w:p>
        </w:tc>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Classification, escalation and change scenarios.</w:t>
            </w:r>
          </w:p>
        </w:tc>
      </w:tr>
      <w:tr>
        <w:trPr>
          <w:cantSplit/>
        </w:trPr>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Weak use of monitoring evidence</w:t>
            </w:r>
          </w:p>
        </w:tc>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Strongly</w:t>
            </w:r>
          </w:p>
        </w:tc>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Variance/evidence interpretation and adaptive review.</w:t>
            </w:r>
          </w:p>
        </w:tc>
      </w:tr>
      <w:tr>
        <w:trPr>
          <w:cantSplit/>
        </w:trPr>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Limited staff time or high workload</w:t>
            </w:r>
          </w:p>
        </w:tc>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Partly</w:t>
            </w:r>
          </w:p>
        </w:tc>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Proportionate tools, prioritisation and management support.</w:t>
            </w:r>
          </w:p>
        </w:tc>
      </w:tr>
      <w:tr>
        <w:trPr>
          <w:cantSplit/>
        </w:trPr>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Weak organisational financial/procurement systems</w:t>
            </w:r>
          </w:p>
        </w:tc>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Partly</w:t>
            </w:r>
          </w:p>
        </w:tc>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Course concepts plus organisational systems/support.</w:t>
            </w:r>
          </w:p>
        </w:tc>
      </w:tr>
      <w:tr>
        <w:trPr>
          <w:cantSplit/>
        </w:trPr>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Learner lacks authority to approve changes</w:t>
            </w:r>
          </w:p>
        </w:tc>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Limited</w:t>
            </w:r>
          </w:p>
        </w:tc>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Clear escalation logic + supervisor/management involvement.</w:t>
            </w:r>
          </w:p>
        </w:tc>
      </w:tr>
      <w:tr>
        <w:trPr>
          <w:cantSplit/>
        </w:trPr>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Donor-specific compliance requirement</w:t>
            </w:r>
          </w:p>
        </w:tc>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Limited</w:t>
            </w:r>
          </w:p>
        </w:tc>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Use donor/project procedures; do not overload generic course.</w:t>
            </w:r>
          </w:p>
        </w:tc>
      </w:tr>
      <w:tr>
        <w:trPr>
          <w:cantSplit/>
        </w:trPr>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Internet/device constraint</w:t>
            </w:r>
          </w:p>
        </w:tc>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Limited</w:t>
            </w:r>
          </w:p>
        </w:tc>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Accessible low-data design and technical support.</w:t>
            </w:r>
          </w:p>
        </w:tc>
      </w:tr>
      <w:tr>
        <w:trPr>
          <w:cantSplit/>
        </w:trPr>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Transfer gap after completion</w:t>
            </w:r>
          </w:p>
        </w:tc>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Partly</w:t>
            </w:r>
          </w:p>
        </w:tc>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Small real-work application, job aid, peer/manager follow-up.</w:t>
            </w:r>
          </w:p>
        </w:tc>
      </w:tr>
    </w:tbl>
    <w:p>
      <w:pPr>
        <w:spacing w:after="20"/>
      </w:pPr>
    </w:p>
    <w:p>
      <w:pPr>
        <w:pStyle w:val="Heading1"/>
        <w:keepNext/>
        <w:spacing w:before="140" w:after="70"/>
      </w:pPr>
      <w:r>
        <w:rPr>
          <w:rFonts w:ascii="Aptos Display" w:hAnsi="Aptos Display"/>
          <w:b/>
          <w:i w:val="0"/>
          <w:color w:val="0F172A"/>
          <w:sz w:val="30"/>
        </w:rPr>
        <w:t>8. How This Brief Should Be Used in the Internal Pilot</w:t>
      </w:r>
    </w:p>
    <w:p>
      <w:pPr>
        <w:spacing w:before="0" w:after="80" w:line="252" w:lineRule="auto"/>
      </w:pPr>
      <w:r>
        <w:rPr>
          <w:rFonts w:ascii="Aptos" w:hAnsi="Aptos"/>
          <w:b w:val="0"/>
          <w:i w:val="0"/>
          <w:color w:val="111827"/>
          <w:sz w:val="18"/>
        </w:rPr>
        <w:t>This annex is a reference for interpreting evidence, not an additional questionnaire. Use it with the Quick Finding form, Final Course Review, learner records and coordinator checks.</w:t>
      </w:r>
    </w:p>
    <w:p>
      <w:pPr>
        <w:pStyle w:val="Heading2"/>
        <w:keepNext/>
        <w:spacing w:before="90" w:after="70"/>
      </w:pPr>
      <w:r>
        <w:rPr>
          <w:rFonts w:ascii="Aptos Display" w:hAnsi="Aptos Display"/>
          <w:b/>
          <w:i w:val="0"/>
          <w:color w:val="0F172A"/>
          <w:sz w:val="24"/>
        </w:rPr>
        <w:t>8.1 Main review questions</w:t>
      </w:r>
    </w:p>
    <w:p>
      <w:pPr>
        <w:pStyle w:val="ListBullet"/>
        <w:spacing w:after="30" w:line="245" w:lineRule="auto"/>
      </w:pPr>
      <w:r>
        <w:rPr>
          <w:rFonts w:ascii="Aptos" w:hAnsi="Aptos"/>
          <w:b w:val="0"/>
          <w:i w:val="0"/>
          <w:color w:val="111827"/>
          <w:sz w:val="18"/>
        </w:rPr>
        <w:t>Does the continuing case make project-management concepts feel connected rather than isolated?</w:t>
      </w:r>
    </w:p>
    <w:p>
      <w:pPr>
        <w:pStyle w:val="ListBullet"/>
        <w:spacing w:after="30" w:line="245" w:lineRule="auto"/>
      </w:pPr>
      <w:r>
        <w:rPr>
          <w:rFonts w:ascii="Aptos" w:hAnsi="Aptos"/>
          <w:b w:val="0"/>
          <w:i w:val="0"/>
          <w:color w:val="111827"/>
          <w:sz w:val="18"/>
        </w:rPr>
        <w:t>Do learners make realistic project decisions rather than mainly memorise definitions?</w:t>
      </w:r>
    </w:p>
    <w:p>
      <w:pPr>
        <w:pStyle w:val="ListBullet"/>
        <w:spacing w:after="30" w:line="245" w:lineRule="auto"/>
      </w:pPr>
      <w:r>
        <w:rPr>
          <w:rFonts w:ascii="Aptos" w:hAnsi="Aptos"/>
          <w:b w:val="0"/>
          <w:i w:val="0"/>
          <w:color w:val="111827"/>
          <w:sz w:val="18"/>
        </w:rPr>
        <w:t>Are problem, purpose, results, scope, stakeholders and the initiation decision logically connected?</w:t>
      </w:r>
    </w:p>
    <w:p>
      <w:pPr>
        <w:pStyle w:val="ListBullet"/>
        <w:spacing w:after="30" w:line="245" w:lineRule="auto"/>
      </w:pPr>
      <w:r>
        <w:rPr>
          <w:rFonts w:ascii="Aptos" w:hAnsi="Aptos"/>
          <w:b w:val="0"/>
          <w:i w:val="0"/>
          <w:color w:val="111827"/>
          <w:sz w:val="18"/>
        </w:rPr>
        <w:t>Does Module 2 integrate work, schedule, roles, resources, risk, quality and communication into one plan?</w:t>
      </w:r>
    </w:p>
    <w:p>
      <w:pPr>
        <w:pStyle w:val="ListBullet"/>
        <w:spacing w:after="30" w:line="245" w:lineRule="auto"/>
      </w:pPr>
      <w:r>
        <w:rPr>
          <w:rFonts w:ascii="Aptos" w:hAnsi="Aptos"/>
          <w:b w:val="0"/>
          <w:i w:val="0"/>
          <w:color w:val="111827"/>
          <w:sz w:val="18"/>
        </w:rPr>
        <w:t>Does implementation practice reflect the realities of coordination, partners, procurement, quality, community accountability and team workload?</w:t>
      </w:r>
    </w:p>
    <w:p>
      <w:pPr>
        <w:pStyle w:val="ListBullet"/>
        <w:spacing w:after="30" w:line="245" w:lineRule="auto"/>
      </w:pPr>
      <w:r>
        <w:rPr>
          <w:rFonts w:ascii="Aptos" w:hAnsi="Aptos"/>
          <w:b w:val="0"/>
          <w:i w:val="0"/>
          <w:color w:val="111827"/>
          <w:sz w:val="18"/>
        </w:rPr>
        <w:t>Does monitoring lead to management action and adaptation rather than reporting only?</w:t>
      </w:r>
    </w:p>
    <w:p>
      <w:pPr>
        <w:pStyle w:val="ListBullet"/>
        <w:spacing w:after="30" w:line="245" w:lineRule="auto"/>
      </w:pPr>
      <w:r>
        <w:rPr>
          <w:rFonts w:ascii="Aptos" w:hAnsi="Aptos"/>
          <w:b w:val="0"/>
          <w:i w:val="0"/>
          <w:color w:val="111827"/>
          <w:sz w:val="18"/>
        </w:rPr>
        <w:t>Can learners distinguish risk, assumption, issue, decision and change and choose the right escalation level?</w:t>
      </w:r>
    </w:p>
    <w:p>
      <w:pPr>
        <w:pStyle w:val="ListBullet"/>
        <w:spacing w:after="30" w:line="245" w:lineRule="auto"/>
      </w:pPr>
      <w:r>
        <w:rPr>
          <w:rFonts w:ascii="Aptos" w:hAnsi="Aptos"/>
          <w:b w:val="0"/>
          <w:i w:val="0"/>
          <w:color w:val="111827"/>
          <w:sz w:val="18"/>
        </w:rPr>
        <w:t>Are closure, handover, sustainability and learning treated as active management responsibilities?</w:t>
      </w:r>
    </w:p>
    <w:p>
      <w:pPr>
        <w:pStyle w:val="ListBullet"/>
        <w:spacing w:after="30" w:line="245" w:lineRule="auto"/>
      </w:pPr>
      <w:r>
        <w:rPr>
          <w:rFonts w:ascii="Aptos" w:hAnsi="Aptos"/>
          <w:b w:val="0"/>
          <w:i w:val="0"/>
          <w:color w:val="111827"/>
          <w:sz w:val="18"/>
        </w:rPr>
        <w:t>Does the final assessment test the same applied decisions practised through the course?</w:t>
      </w:r>
    </w:p>
    <w:p>
      <w:pPr>
        <w:pStyle w:val="ListBullet"/>
        <w:spacing w:after="30" w:line="245" w:lineRule="auto"/>
      </w:pPr>
      <w:r>
        <w:rPr>
          <w:rFonts w:ascii="Aptos" w:hAnsi="Aptos"/>
          <w:b w:val="0"/>
          <w:i w:val="0"/>
          <w:color w:val="111827"/>
          <w:sz w:val="18"/>
        </w:rPr>
        <w:t>Can the learner identify at least one method, question or tool that could be adapted to a real CSO project?</w:t>
      </w:r>
    </w:p>
    <w:p>
      <w:pPr>
        <w:pStyle w:val="Heading2"/>
        <w:keepNext/>
        <w:spacing w:before="90" w:after="70"/>
      </w:pPr>
      <w:r>
        <w:rPr>
          <w:rFonts w:ascii="Aptos Display" w:hAnsi="Aptos Display"/>
          <w:b/>
          <w:i w:val="0"/>
          <w:color w:val="0F172A"/>
          <w:sz w:val="24"/>
        </w:rPr>
        <w:t>8.2 Link to the six Internal Pilot review domains</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4933"/>
            <w:shd w:fill="0F172A"/>
            <w:tcMar>
              <w:top w:w="80" w:type="dxa"/>
              <w:start w:w="95" w:type="dxa"/>
              <w:bottom w:w="80" w:type="dxa"/>
              <w:end w:w="95" w:type="dxa"/>
            </w:tcMar>
            <w:tcBorders>
              <w:top w:val="single" w:sz="4" w:color="D8E6EA"/>
              <w:left w:val="single" w:sz="4" w:color="D8E6EA"/>
              <w:bottom w:val="single" w:sz="4" w:color="D8E6EA"/>
              <w:right w:val="single" w:sz="4" w:color="D8E6EA"/>
            </w:tcBorders>
          </w:tcPr>
          <w:p>
            <w:pPr>
              <w:spacing w:after="0"/>
            </w:pPr>
            <w:r>
              <w:rPr>
                <w:rFonts w:ascii="Aptos" w:hAnsi="Aptos"/>
                <w:b/>
                <w:i w:val="0"/>
                <w:color w:val="FFFFFF"/>
                <w:sz w:val="16"/>
              </w:rPr>
              <w:t>Internal Pilot domain</w:t>
            </w:r>
          </w:p>
        </w:tc>
        <w:tc>
          <w:tcPr>
            <w:tcW w:type="dxa" w:w="4933"/>
            <w:shd w:fill="0F172A"/>
            <w:tcMar>
              <w:top w:w="80" w:type="dxa"/>
              <w:start w:w="95" w:type="dxa"/>
              <w:bottom w:w="80" w:type="dxa"/>
              <w:end w:w="95" w:type="dxa"/>
            </w:tcMar>
            <w:tcBorders>
              <w:top w:val="single" w:sz="4" w:color="D8E6EA"/>
              <w:left w:val="single" w:sz="4" w:color="D8E6EA"/>
              <w:bottom w:val="single" w:sz="4" w:color="D8E6EA"/>
              <w:right w:val="single" w:sz="4" w:color="D8E6EA"/>
            </w:tcBorders>
          </w:tcPr>
          <w:p>
            <w:pPr>
              <w:spacing w:after="0"/>
            </w:pPr>
            <w:r>
              <w:rPr>
                <w:rFonts w:ascii="Aptos" w:hAnsi="Aptos"/>
                <w:b/>
                <w:i w:val="0"/>
                <w:color w:val="FFFFFF"/>
                <w:sz w:val="16"/>
              </w:rPr>
              <w:t>Project Management review emphasis</w:t>
            </w:r>
          </w:p>
        </w:tc>
      </w:tr>
      <w:tr>
        <w:trPr>
          <w:cantSplit/>
        </w:trPr>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1. Access &amp; Entry</w:t>
            </w:r>
          </w:p>
        </w:tc>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Can the learner reliably reach, continue and complete the short course?</w:t>
            </w:r>
          </w:p>
        </w:tc>
      </w:tr>
      <w:tr>
        <w:trPr>
          <w:cantSplit/>
        </w:trPr>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2. Learning Experience</w:t>
            </w:r>
          </w:p>
        </w:tc>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Are instructions, activities, feedback, pacing and mobile use clear and manageable?</w:t>
            </w:r>
          </w:p>
        </w:tc>
      </w:tr>
      <w:tr>
        <w:trPr>
          <w:cantSplit/>
        </w:trPr>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3. Learning &amp; Better Decisions</w:t>
            </w:r>
          </w:p>
        </w:tc>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Do the course activities strengthen project-purpose/results, stakeholder/role, planning, risk/change, monitoring/adaptation and closure decisions?</w:t>
            </w:r>
          </w:p>
        </w:tc>
      </w:tr>
      <w:tr>
        <w:trPr>
          <w:cantSplit/>
        </w:trPr>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4. Context &amp; Relevance</w:t>
            </w:r>
          </w:p>
        </w:tc>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Are the case, language, constraints and management practices credible for local and grassroots CSOs?</w:t>
            </w:r>
          </w:p>
        </w:tc>
      </w:tr>
      <w:tr>
        <w:trPr>
          <w:cantSplit/>
        </w:trPr>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5. Application &amp; Transfer</w:t>
            </w:r>
          </w:p>
        </w:tc>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Can the learner identify a realistic project-management use without being forced into a large portfolio requirement?</w:t>
            </w:r>
          </w:p>
        </w:tc>
      </w:tr>
      <w:tr>
        <w:trPr>
          <w:cantSplit/>
        </w:trPr>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6. DEC Operational Readiness</w:t>
            </w:r>
          </w:p>
        </w:tc>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Can DEC support the short-course journey and distinguish course issues from organisational or later-phase capacity needs?</w:t>
            </w:r>
          </w:p>
        </w:tc>
      </w:tr>
    </w:tbl>
    <w:p>
      <w:pPr>
        <w:spacing w:after="20"/>
      </w:pPr>
    </w:p>
    <w:p>
      <w:pPr>
        <w:pStyle w:val="Heading2"/>
        <w:keepNext/>
        <w:spacing w:before="90" w:after="70"/>
      </w:pPr>
      <w:r>
        <w:rPr>
          <w:rFonts w:ascii="Aptos Display" w:hAnsi="Aptos Display"/>
          <w:b/>
          <w:i w:val="0"/>
          <w:color w:val="0F172A"/>
          <w:sz w:val="24"/>
        </w:rPr>
        <w:t>8.3 Decision horizons for Project Management findings</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4933"/>
            <w:shd w:fill="0F172A"/>
            <w:tcMar>
              <w:top w:w="80" w:type="dxa"/>
              <w:start w:w="95" w:type="dxa"/>
              <w:bottom w:w="80" w:type="dxa"/>
              <w:end w:w="95" w:type="dxa"/>
            </w:tcMar>
            <w:tcBorders>
              <w:top w:val="single" w:sz="4" w:color="D8E6EA"/>
              <w:left w:val="single" w:sz="4" w:color="D8E6EA"/>
              <w:bottom w:val="single" w:sz="4" w:color="D8E6EA"/>
              <w:right w:val="single" w:sz="4" w:color="D8E6EA"/>
            </w:tcBorders>
          </w:tcPr>
          <w:p>
            <w:pPr>
              <w:spacing w:after="0"/>
            </w:pPr>
            <w:r>
              <w:rPr>
                <w:rFonts w:ascii="Aptos" w:hAnsi="Aptos"/>
                <w:b/>
                <w:i w:val="0"/>
                <w:color w:val="FFFFFF"/>
                <w:sz w:val="16"/>
              </w:rPr>
              <w:t>Decision horizon</w:t>
            </w:r>
          </w:p>
        </w:tc>
        <w:tc>
          <w:tcPr>
            <w:tcW w:type="dxa" w:w="4933"/>
            <w:shd w:fill="0F172A"/>
            <w:tcMar>
              <w:top w:w="80" w:type="dxa"/>
              <w:start w:w="95" w:type="dxa"/>
              <w:bottom w:w="80" w:type="dxa"/>
              <w:end w:w="95" w:type="dxa"/>
            </w:tcMar>
            <w:tcBorders>
              <w:top w:val="single" w:sz="4" w:color="D8E6EA"/>
              <w:left w:val="single" w:sz="4" w:color="D8E6EA"/>
              <w:bottom w:val="single" w:sz="4" w:color="D8E6EA"/>
              <w:right w:val="single" w:sz="4" w:color="D8E6EA"/>
            </w:tcBorders>
          </w:tcPr>
          <w:p>
            <w:pPr>
              <w:spacing w:after="0"/>
            </w:pPr>
            <w:r>
              <w:rPr>
                <w:rFonts w:ascii="Aptos" w:hAnsi="Aptos"/>
                <w:b/>
                <w:i w:val="0"/>
                <w:color w:val="FFFFFF"/>
                <w:sz w:val="16"/>
              </w:rPr>
              <w:t>Examples</w:t>
            </w:r>
          </w:p>
        </w:tc>
      </w:tr>
      <w:tr>
        <w:trPr>
          <w:cantSplit/>
        </w:trPr>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During internal pilot</w:t>
            </w:r>
          </w:p>
        </w:tc>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Broken required activity; wrong answer logic; progress failure; materially incorrect management advice; assessment cannot complete.</w:t>
            </w:r>
          </w:p>
        </w:tc>
      </w:tr>
      <w:tr>
        <w:trPr>
          <w:cantSplit/>
        </w:trPr>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Before selected-CSO pilot</w:t>
            </w:r>
          </w:p>
        </w:tc>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Repeated unclear instructions; important case/context weakness; misleading feedback; assessment mismatch; contradictory portfolio/pass requirements.</w:t>
            </w:r>
          </w:p>
        </w:tc>
      </w:tr>
      <w:tr>
        <w:trPr>
          <w:cantSplit/>
        </w:trPr>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Validate during selected-CSO pilot</w:t>
            </w:r>
          </w:p>
        </w:tc>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Relevance of case pressures, terminology, workload assumptions, tool usefulness and proportionality across different CSO roles.</w:t>
            </w:r>
          </w:p>
        </w:tc>
      </w:tr>
      <w:tr>
        <w:trPr>
          <w:cantSplit/>
        </w:trPr>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Before wider release</w:t>
            </w:r>
          </w:p>
        </w:tc>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Final downloadable tool set, visual/media polish, refined pacing and non-blocking UX improvements after design validation.</w:t>
            </w:r>
          </w:p>
        </w:tc>
      </w:tr>
      <w:tr>
        <w:trPr>
          <w:cantSplit/>
        </w:trPr>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Later programme / phase</w:t>
            </w:r>
          </w:p>
        </w:tc>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Coaching, peer project clinics, organisational PM system strengthening, mentoring or co-creation support.</w:t>
            </w:r>
          </w:p>
        </w:tc>
      </w:tr>
      <w:tr>
        <w:trPr>
          <w:cantSplit/>
        </w:trPr>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Retain / no change</w:t>
            </w:r>
          </w:p>
        </w:tc>
        <w:tc>
          <w:tcPr>
            <w:tcW w:type="dxa" w:w="4933"/>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Case, activity, feedback or lifecycle structure that consistently supports clear and useful decisions.</w:t>
            </w:r>
          </w:p>
        </w:tc>
      </w:tr>
    </w:tbl>
    <w:p>
      <w:pPr>
        <w:spacing w:after="20"/>
      </w:pPr>
    </w:p>
    <w:p>
      <w:pPr>
        <w:pStyle w:val="Heading1"/>
        <w:keepNext/>
        <w:spacing w:before="140" w:after="70"/>
      </w:pPr>
      <w:r>
        <w:rPr>
          <w:rFonts w:ascii="Aptos Display" w:hAnsi="Aptos Display"/>
          <w:b/>
          <w:i w:val="0"/>
          <w:color w:val="0F172A"/>
          <w:sz w:val="30"/>
        </w:rPr>
        <w:t>9. Practice Transfer and Later Capacity Support</w:t>
      </w:r>
    </w:p>
    <w:p>
      <w:pPr>
        <w:spacing w:before="0" w:after="80" w:line="252" w:lineRule="auto"/>
      </w:pPr>
      <w:r>
        <w:rPr>
          <w:rFonts w:ascii="Aptos" w:hAnsi="Aptos"/>
          <w:b w:val="0"/>
          <w:i w:val="0"/>
          <w:color w:val="111827"/>
          <w:sz w:val="18"/>
        </w:rPr>
        <w:t>The short course should remain short. Transfer can be strengthened outside the core course by asking learners to apply one manageable project-management practice after completion rather than adding a large cumulative portfolio to the current pilot product.</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3289"/>
            <w:shd w:fill="0F172A"/>
            <w:tcMar>
              <w:top w:w="80" w:type="dxa"/>
              <w:start w:w="95" w:type="dxa"/>
              <w:bottom w:w="80" w:type="dxa"/>
              <w:end w:w="95" w:type="dxa"/>
            </w:tcMar>
            <w:tcBorders>
              <w:top w:val="single" w:sz="4" w:color="D8E6EA"/>
              <w:left w:val="single" w:sz="4" w:color="D8E6EA"/>
              <w:bottom w:val="single" w:sz="4" w:color="D8E6EA"/>
              <w:right w:val="single" w:sz="4" w:color="D8E6EA"/>
            </w:tcBorders>
          </w:tcPr>
          <w:p>
            <w:pPr>
              <w:spacing w:after="0"/>
            </w:pPr>
            <w:r>
              <w:rPr>
                <w:rFonts w:ascii="Aptos" w:hAnsi="Aptos"/>
                <w:b/>
                <w:i w:val="0"/>
                <w:color w:val="FFFFFF"/>
                <w:sz w:val="16"/>
              </w:rPr>
              <w:t>Timing</w:t>
            </w:r>
          </w:p>
        </w:tc>
        <w:tc>
          <w:tcPr>
            <w:tcW w:type="dxa" w:w="3289"/>
            <w:shd w:fill="0F172A"/>
            <w:tcMar>
              <w:top w:w="80" w:type="dxa"/>
              <w:start w:w="95" w:type="dxa"/>
              <w:bottom w:w="80" w:type="dxa"/>
              <w:end w:w="95" w:type="dxa"/>
            </w:tcMar>
            <w:tcBorders>
              <w:top w:val="single" w:sz="4" w:color="D8E6EA"/>
              <w:left w:val="single" w:sz="4" w:color="D8E6EA"/>
              <w:bottom w:val="single" w:sz="4" w:color="D8E6EA"/>
              <w:right w:val="single" w:sz="4" w:color="D8E6EA"/>
            </w:tcBorders>
          </w:tcPr>
          <w:p>
            <w:pPr>
              <w:spacing w:after="0"/>
            </w:pPr>
            <w:r>
              <w:rPr>
                <w:rFonts w:ascii="Aptos" w:hAnsi="Aptos"/>
                <w:b/>
                <w:i w:val="0"/>
                <w:color w:val="FFFFFF"/>
                <w:sz w:val="16"/>
              </w:rPr>
              <w:t>Possible action</w:t>
            </w:r>
          </w:p>
        </w:tc>
        <w:tc>
          <w:tcPr>
            <w:tcW w:type="dxa" w:w="3289"/>
            <w:shd w:fill="0F172A"/>
            <w:tcMar>
              <w:top w:w="80" w:type="dxa"/>
              <w:start w:w="95" w:type="dxa"/>
              <w:bottom w:w="80" w:type="dxa"/>
              <w:end w:w="95" w:type="dxa"/>
            </w:tcMar>
            <w:tcBorders>
              <w:top w:val="single" w:sz="4" w:color="D8E6EA"/>
              <w:left w:val="single" w:sz="4" w:color="D8E6EA"/>
              <w:bottom w:val="single" w:sz="4" w:color="D8E6EA"/>
              <w:right w:val="single" w:sz="4" w:color="D8E6EA"/>
            </w:tcBorders>
          </w:tcPr>
          <w:p>
            <w:pPr>
              <w:spacing w:after="0"/>
            </w:pPr>
            <w:r>
              <w:rPr>
                <w:rFonts w:ascii="Aptos" w:hAnsi="Aptos"/>
                <w:b/>
                <w:i w:val="0"/>
                <w:color w:val="FFFFFF"/>
                <w:sz w:val="16"/>
              </w:rPr>
              <w:t>Evidence</w:t>
            </w:r>
          </w:p>
        </w:tc>
      </w:tr>
      <w:tr>
        <w:trPr>
          <w:cantSplit/>
        </w:trPr>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Within 1 week</w:t>
            </w:r>
          </w:p>
        </w:tc>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Use one practical approach: clarify a project scope boundary, update responsibilities, review a milestone plan, check one risk/issue/change, improve one meeting decision record, or prepare one closure/handover action.</w:t>
            </w:r>
          </w:p>
        </w:tc>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Specific real-work commitment.</w:t>
            </w:r>
          </w:p>
        </w:tc>
      </w:tr>
      <w:tr>
        <w:trPr>
          <w:cantSplit/>
        </w:trPr>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2-4 weeks</w:t>
            </w:r>
          </w:p>
        </w:tc>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Ask what the learner tried, what changed, what was difficult and what additional support is needed.</w:t>
            </w:r>
          </w:p>
        </w:tc>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Evidence of use and barriers.</w:t>
            </w:r>
          </w:p>
        </w:tc>
      </w:tr>
      <w:tr>
        <w:trPr>
          <w:cantSplit/>
        </w:trPr>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Later programme support</w:t>
            </w:r>
          </w:p>
        </w:tc>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Use peer project clinics, mentoring, organisational reflection or targeted tools where several learners face the same non-course constraint.</w:t>
            </w:r>
          </w:p>
        </w:tc>
        <w:tc>
          <w:tcPr>
            <w:tcW w:type="dxa" w:w="3289"/>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Programme-level capacity-development need.</w:t>
            </w:r>
          </w:p>
        </w:tc>
      </w:tr>
    </w:tbl>
    <w:p>
      <w:pPr>
        <w:spacing w:after="20"/>
      </w:pPr>
    </w:p>
    <w:p>
      <w:pPr>
        <w:pStyle w:val="Heading1"/>
        <w:keepNext/>
        <w:spacing w:before="140" w:after="70"/>
      </w:pPr>
      <w:r>
        <w:rPr>
          <w:rFonts w:ascii="Aptos Display" w:hAnsi="Aptos Display"/>
          <w:b/>
          <w:i w:val="0"/>
          <w:color w:val="0F172A"/>
          <w:sz w:val="30"/>
        </w:rPr>
        <w:t>10. Final Design Position for Pilot Validation</w:t>
      </w:r>
    </w:p>
    <w:p>
      <w:pPr>
        <w:spacing w:before="0" w:after="80" w:line="252" w:lineRule="auto"/>
      </w:pPr>
      <w:r>
        <w:rPr>
          <w:rFonts w:ascii="Aptos" w:hAnsi="Aptos"/>
          <w:b w:val="0"/>
          <w:i w:val="0"/>
          <w:color w:val="111827"/>
          <w:sz w:val="18"/>
        </w:rPr>
        <w:t>The current short course provides a coherent and appropriately practice-led foundation for pilot validation. Its strongest feature is the direct case-and-tool approach across one project lifecycle: early project decisions lead into integrated planning, implementation coordination, connected monitoring, controlled adaptation and responsible closure.</w:t>
      </w:r>
    </w:p>
    <w:p>
      <w:pPr>
        <w:spacing w:before="0" w:after="80" w:line="252" w:lineRule="auto"/>
      </w:pPr>
      <w:r>
        <w:rPr>
          <w:rFonts w:ascii="Aptos" w:hAnsi="Aptos"/>
          <w:b w:val="0"/>
          <w:i w:val="0"/>
          <w:color w:val="111827"/>
          <w:sz w:val="18"/>
        </w:rPr>
        <w:t>The internal pilot should confirm that the 35-screen short-course baseline is implemented consistently, that required interactions are learnable and purposeful, that feedback explains stronger project-management actions, and that the final assessment reflects the decisions practised through the course. The selected-CSO pilot should then test contextual fit, proportionality and practical usefulness before DEC invests further in wider-release refinement and additional capacity-support tools.</w:t>
      </w:r>
    </w:p>
    <w:tbl>
      <w:tblPr>
        <w:tblW w:type="auto" w:w="0"/>
        <w:jc w:val="center"/>
        <w:tblLook w:firstColumn="1" w:firstRow="1" w:lastColumn="0" w:lastRow="0" w:noHBand="0" w:noVBand="1" w:val="04A0"/>
      </w:tblPr>
      <w:tblGrid>
        <w:gridCol w:w="9866"/>
      </w:tblGrid>
      <w:tr>
        <w:trPr>
          <w:cantSplit/>
        </w:trPr>
        <w:tc>
          <w:tcPr>
            <w:tcW w:type="dxa" w:w="9866"/>
            <w:shd w:fill="EEF6FB"/>
            <w:tcMar>
              <w:top w:w="105" w:type="dxa"/>
              <w:start w:w="125" w:type="dxa"/>
              <w:bottom w:w="105" w:type="dxa"/>
              <w:end w:w="125" w:type="dxa"/>
            </w:tcMar>
            <w:tcBorders>
              <w:top w:val="single" w:sz="4" w:color="D8E6EA"/>
              <w:left w:val="single" w:sz="18" w:color="3B99D4"/>
              <w:bottom w:val="single" w:sz="4" w:color="D8E6EA"/>
              <w:right w:val="single" w:sz="4" w:color="D8E6EA"/>
            </w:tcBorders>
          </w:tcPr>
          <w:p>
            <w:pPr>
              <w:spacing w:after="0"/>
            </w:pPr>
            <w:r>
              <w:rPr>
                <w:rFonts w:ascii="Aptos" w:hAnsi="Aptos"/>
                <w:b/>
                <w:i w:val="0"/>
                <w:color w:val="0F172A"/>
                <w:sz w:val="20"/>
              </w:rPr>
              <w:t>Course design chain</w:t>
              <w:br/>
            </w:r>
            <w:r>
              <w:rPr>
                <w:rFonts w:ascii="Aptos" w:hAnsi="Aptos"/>
                <w:b w:val="0"/>
                <w:i w:val="0"/>
                <w:color w:val="111827"/>
                <w:sz w:val="18"/>
              </w:rPr>
              <w:t>Real project challenge -&gt; practical management decision -&gt; concise concept/tool -&gt; applied course practice -&gt; explanatory feedback -&gt; next lifecycle action -&gt; real-work use and wider capacity support</w:t>
            </w:r>
          </w:p>
        </w:tc>
      </w:tr>
    </w:tbl>
    <w:p>
      <w:pPr>
        <w:spacing w:after="20"/>
      </w:pPr>
    </w:p>
    <w:p>
      <w:pPr>
        <w:pStyle w:val="Heading1"/>
        <w:keepNext/>
        <w:spacing w:before="140" w:after="70"/>
      </w:pPr>
      <w:r>
        <w:rPr>
          <w:rFonts w:ascii="Aptos Display" w:hAnsi="Aptos Display"/>
          <w:b/>
          <w:i w:val="0"/>
          <w:color w:val="0F172A"/>
          <w:sz w:val="30"/>
        </w:rPr>
        <w:t>Sources and Design References</w:t>
      </w:r>
    </w:p>
    <w:p>
      <w:pPr>
        <w:spacing w:before="0" w:after="80" w:line="252" w:lineRule="auto"/>
      </w:pPr>
      <w:r>
        <w:rPr>
          <w:rFonts w:ascii="Aptos" w:hAnsi="Aptos"/>
          <w:b w:val="0"/>
          <w:i w:val="0"/>
          <w:color w:val="111827"/>
          <w:sz w:val="18"/>
        </w:rPr>
        <w:t>Primary current-course basis</w:t>
      </w:r>
    </w:p>
    <w:p>
      <w:pPr>
        <w:pStyle w:val="ListBullet"/>
        <w:spacing w:after="30" w:line="245" w:lineRule="auto"/>
      </w:pPr>
      <w:r>
        <w:rPr>
          <w:rFonts w:ascii="Aptos" w:hAnsi="Aptos"/>
          <w:b w:val="0"/>
          <w:i w:val="0"/>
          <w:color w:val="111827"/>
          <w:sz w:val="18"/>
        </w:rPr>
        <w:t>Project Management for Local CSOs - 35-Screen Short E-Learning Course Storyboard, including Course Map, Dashboard, QA Checklist and Source Mapping.</w:t>
      </w:r>
    </w:p>
    <w:p>
      <w:pPr>
        <w:pStyle w:val="ListBullet"/>
        <w:spacing w:after="30" w:line="245" w:lineRule="auto"/>
      </w:pPr>
      <w:r>
        <w:rPr>
          <w:rFonts w:ascii="Aptos" w:hAnsi="Aptos"/>
          <w:b w:val="0"/>
          <w:i w:val="0"/>
          <w:color w:val="111827"/>
          <w:sz w:val="18"/>
        </w:rPr>
        <w:t>DEC CSO Learning Hub Phase One Final Delivery and Handover Report.</w:t>
      </w:r>
    </w:p>
    <w:p>
      <w:pPr>
        <w:pStyle w:val="ListBullet"/>
        <w:spacing w:after="30" w:line="245" w:lineRule="auto"/>
      </w:pPr>
      <w:r>
        <w:rPr>
          <w:rFonts w:ascii="Aptos" w:hAnsi="Aptos"/>
          <w:b w:val="0"/>
          <w:i w:val="0"/>
          <w:color w:val="111827"/>
          <w:sz w:val="18"/>
        </w:rPr>
        <w:t>DEC Internal Pilot Implementation and Course Validation Guide and associated pilot evidence tools.</w:t>
      </w:r>
    </w:p>
    <w:p>
      <w:pPr>
        <w:spacing w:before="0" w:after="80" w:line="252" w:lineRule="auto"/>
      </w:pPr>
      <w:r>
        <w:rPr>
          <w:rFonts w:ascii="Aptos" w:hAnsi="Aptos"/>
          <w:b w:val="0"/>
          <w:i w:val="0"/>
          <w:color w:val="111827"/>
          <w:sz w:val="18"/>
        </w:rPr>
        <w:t>Design-development and subject-matter basis</w:t>
      </w:r>
    </w:p>
    <w:p>
      <w:pPr>
        <w:pStyle w:val="ListBullet"/>
        <w:spacing w:after="30" w:line="245" w:lineRule="auto"/>
      </w:pPr>
      <w:r>
        <w:t>Earlier/longer Project Management source packages, revised course-design materials, learner-tool materials, Project DPro / PMD Pro guidance and other project-management references used during development. These are development references, not mandatory parts of the current 35-screen short-course baseline unless DEC has explicitly integrated them.</w:t>
      </w:r>
    </w:p>
    <w:p>
      <w:pPr>
        <w:pStyle w:val="ListBullet"/>
        <w:spacing w:after="30" w:line="245" w:lineRule="auto"/>
      </w:pPr>
      <w:r>
        <w:t>Cathy Moore, Map It: The Hands-on Guide to Strategic Training Design - used only as a background methodological reference for linking intended results, observable actions, realistic practice and non-training support. The course-facing framework uses DEC/CSO capacity-development terminology.</w:t>
      </w:r>
    </w:p>
    <w:sectPr w:rsidR="00FC693F" w:rsidRPr="0006063C" w:rsidSect="00034616">
      <w:headerReference w:type="default" r:id="rId9"/>
      <w:footerReference w:type="default" r:id="rId10"/>
      <w:pgSz w:w="11906" w:h="16838"/>
      <w:pgMar w:top="935" w:right="1020" w:bottom="935"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475569"/>
        <w:sz w:val="15"/>
      </w:rPr>
      <w:t xml:space="preserve">DEC Internal Pilot &amp; Course Validation  |  August 2026  |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i w:val="0"/>
        <w:color w:val="475569"/>
        <w:sz w:val="15"/>
      </w:rPr>
      <w:t>ANNEX B  |  Project Management Capacity-to-Action Design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F172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 B - Project Management Capacity-to-Action Course Design Brief</dc:title>
  <dc:subject>Project Management course design and internal pilot validation reference</dc:subject>
  <dc:creator>Development Expertise Center</dc:creator>
  <cp:keywords>DEC, project management, CSO, Capacity-to-Action, internal pilot, course validation</cp:keywords>
  <dc:description>generated by python-docx</dc:description>
  <cp:lastModifiedBy/>
  <cp:revision>1</cp:revision>
  <dcterms:created xsi:type="dcterms:W3CDTF">2013-12-23T23:15:00Z</dcterms:created>
  <dcterms:modified xsi:type="dcterms:W3CDTF">2013-12-23T23:15:00Z</dcterms:modified>
  <cp:category/>
</cp:coreProperties>
</file>