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100"/>
      </w:pPr>
      <w:r>
        <w:rPr>
          <w:rFonts w:ascii="Aptos" w:hAnsi="Aptos"/>
          <w:b/>
          <w:i w:val="0"/>
          <w:color w:val="3B99D4"/>
          <w:sz w:val="19"/>
        </w:rPr>
        <w:t>EU CIVIL SOCIETY FUND PLUS</w:t>
      </w:r>
    </w:p>
    <w:p>
      <w:pPr>
        <w:spacing w:after="200"/>
      </w:pPr>
      <w:r>
        <w:rPr>
          <w:rFonts w:ascii="Aptos Display" w:hAnsi="Aptos Display"/>
          <w:b/>
          <w:i w:val="0"/>
          <w:color w:val="0F172A"/>
          <w:sz w:val="52"/>
        </w:rPr>
        <w:t>DEC Internal Pilot</w:t>
        <w:br/>
        <w:t>Implementation and Course Validation Guide</w:t>
      </w:r>
    </w:p>
    <w:p>
      <w:pPr>
        <w:spacing w:after="360"/>
      </w:pPr>
      <w:r>
        <w:rPr>
          <w:rFonts w:ascii="Aptos" w:hAnsi="Aptos"/>
          <w:b/>
          <w:i w:val="0"/>
          <w:color w:val="0F8F8C"/>
          <w:sz w:val="26"/>
        </w:rPr>
        <w:t>Applying the Human Rights-Based Approach in CSO Practice</w:t>
        <w:br/>
        <w:t>and Project Management for Local and Grassroots CSOs</w:t>
      </w: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91C852"/>
              <w:top w:val="single" w:sz="4" w:color="D8E6EA"/>
              <w:bottom w:val="single" w:sz="4" w:color="D8E6EA"/>
              <w:right w:val="single" w:sz="4" w:color="D8E6EA"/>
            </w:tcBorders>
          </w:tcPr>
          <w:p>
            <w:pPr>
              <w:spacing w:after="0"/>
            </w:pPr>
            <w:r>
              <w:rPr>
                <w:rFonts w:ascii="Aptos" w:hAnsi="Aptos"/>
                <w:b/>
                <w:i w:val="0"/>
                <w:color w:val="0F172A"/>
                <w:sz w:val="20"/>
              </w:rPr>
              <w:t>Purpose</w:t>
              <w:br/>
            </w:r>
            <w:r>
              <w:rPr>
                <w:rFonts w:ascii="Aptos" w:hAnsi="Aptos"/>
                <w:b w:val="0"/>
                <w:i w:val="0"/>
                <w:color w:val="111827"/>
                <w:sz w:val="20"/>
              </w:rPr>
              <w:t>A practical guide for DEC internal reviewers to test the Learning Hub and Phase One courses as learners, assess whether the learning design supports useful CSO practice, identify what must be corrected before the selected-CSO pilot, and record evidence for clear readiness decisions.</w:t>
            </w:r>
          </w:p>
        </w:tc>
      </w:tr>
    </w:tbl>
    <w:p>
      <w:pPr>
        <w:spacing w:after="20"/>
      </w:pPr>
    </w:p>
    <w:p>
      <w:pPr>
        <w:spacing w:before="240"/>
      </w:pPr>
      <w:r>
        <w:rPr>
          <w:rFonts w:ascii="Aptos" w:hAnsi="Aptos"/>
          <w:b/>
          <w:i w:val="0"/>
          <w:color w:val="0F172A"/>
          <w:sz w:val="22"/>
        </w:rPr>
        <w:t>Development Expertise Center (DEC)</w:t>
        <w:br/>
      </w:r>
      <w:r>
        <w:rPr>
          <w:rFonts w:ascii="Aptos" w:hAnsi="Aptos"/>
          <w:b w:val="0"/>
          <w:i w:val="0"/>
          <w:color w:val="111827"/>
          <w:sz w:val="20"/>
        </w:rPr>
        <w:t>Capacity Development Program for Local and Grassroots Civil Society Organisations</w:t>
        <w:br/>
      </w:r>
      <w:r>
        <w:rPr>
          <w:rFonts w:ascii="Aptos" w:hAnsi="Aptos"/>
          <w:b w:val="0"/>
          <w:i w:val="0"/>
          <w:color w:val="475569"/>
          <w:sz w:val="18"/>
        </w:rPr>
        <w:t>DEC and programme partners  |  August 2026</w:t>
      </w:r>
    </w:p>
    <w:tbl>
      <w:tblPr>
        <w:tblW w:type="auto" w:w="0"/>
        <w:jc w:val="left"/>
        <w:tblLook w:firstColumn="1" w:firstRow="1" w:lastColumn="0" w:lastRow="0" w:noHBand="0" w:noVBand="1" w:val="04A0"/>
      </w:tblPr>
      <w:tblGrid>
        <w:gridCol w:w="2466"/>
        <w:gridCol w:w="2466"/>
        <w:gridCol w:w="2466"/>
        <w:gridCol w:w="2466"/>
      </w:tblGrid>
      <w:tr>
        <w:trPr>
          <w:cantSplit/>
        </w:trPr>
        <w:tc>
          <w:tcPr>
            <w:tcW w:type="dxa" w:w="2268"/>
            <w:shd w:fill="0F172A"/>
          </w:tcPr>
          <w:p>
            <w:r/>
          </w:p>
        </w:tc>
        <w:tc>
          <w:tcPr>
            <w:tcW w:type="dxa" w:w="2268"/>
            <w:shd w:fill="3B99D4"/>
          </w:tcPr>
          <w:p>
            <w:r/>
          </w:p>
        </w:tc>
        <w:tc>
          <w:tcPr>
            <w:tcW w:type="dxa" w:w="2268"/>
            <w:shd w:fill="0F8F8C"/>
          </w:tcPr>
          <w:p>
            <w:r/>
          </w:p>
        </w:tc>
        <w:tc>
          <w:tcPr>
            <w:tcW w:type="dxa" w:w="2268"/>
            <w:shd w:fill="91C852"/>
          </w:tcPr>
          <w:p>
            <w:r/>
          </w:p>
        </w:tc>
      </w:tr>
    </w:tbl>
    <w:p>
      <w:r>
        <w:br w:type="page"/>
      </w:r>
    </w:p>
    <w:p>
      <w:pPr>
        <w:pStyle w:val="Heading1"/>
        <w:keepNext/>
        <w:spacing w:before="160" w:after="80"/>
      </w:pPr>
      <w:r>
        <w:rPr>
          <w:rFonts w:ascii="Aptos Display" w:hAnsi="Aptos Display"/>
          <w:b/>
          <w:i w:val="0"/>
          <w:color w:val="0F172A"/>
          <w:sz w:val="32"/>
        </w:rPr>
        <w:t>Document Information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0F172A"/>
            <w:tcMar>
              <w:top w:w="85" w:type="dxa"/>
              <w:start w:w="100" w:type="dxa"/>
              <w:bottom w:w="85" w:type="dxa"/>
              <w:end w:w="100" w:type="dxa"/>
            </w:tcMar>
            <w:vAlign w:val="center"/>
          </w:tcPr>
          <w:p>
            <w:pPr>
              <w:spacing w:after="0"/>
            </w:pPr>
            <w:r>
              <w:rPr>
                <w:rFonts w:ascii="Aptos" w:hAnsi="Aptos"/>
                <w:b/>
                <w:i w:val="0"/>
                <w:color w:val="FFFFFF"/>
                <w:sz w:val="17"/>
              </w:rPr>
              <w:t>Item</w:t>
            </w:r>
          </w:p>
        </w:tc>
        <w:tc>
          <w:tcPr>
            <w:tcW w:type="dxa" w:w="6804"/>
            <w:shd w:fill="0F172A"/>
            <w:tcMar>
              <w:top w:w="85" w:type="dxa"/>
              <w:start w:w="100" w:type="dxa"/>
              <w:bottom w:w="85" w:type="dxa"/>
              <w:end w:w="100" w:type="dxa"/>
            </w:tcMar>
            <w:vAlign w:val="center"/>
          </w:tcPr>
          <w:p>
            <w:pPr>
              <w:spacing w:after="0"/>
            </w:pPr>
            <w:r>
              <w:rPr>
                <w:rFonts w:ascii="Aptos" w:hAnsi="Aptos"/>
                <w:b/>
                <w:i w:val="0"/>
                <w:color w:val="FFFFFF"/>
                <w:sz w:val="17"/>
              </w:rPr>
              <w:t>Details</w:t>
            </w:r>
          </w:p>
        </w:tc>
      </w:tr>
      <w:tr>
        <w:trPr>
          <w:cantSplit/>
        </w:trPr>
        <w:tc>
          <w:tcPr>
            <w:tcW w:type="dxa" w:w="2494"/>
            <w:tcMar>
              <w:top w:w="85" w:type="dxa"/>
              <w:start w:w="100" w:type="dxa"/>
              <w:bottom w:w="85" w:type="dxa"/>
              <w:end w:w="100" w:type="dxa"/>
            </w:tcMar>
            <w:vAlign w:val="top"/>
          </w:tcPr>
          <w:p>
            <w:pPr>
              <w:spacing w:after="0" w:line="240" w:lineRule="auto"/>
            </w:pPr>
            <w:r>
              <w:rPr>
                <w:rFonts w:ascii="Aptos" w:hAnsi="Aptos"/>
                <w:b w:val="0"/>
                <w:i w:val="0"/>
                <w:color w:val="111827"/>
                <w:sz w:val="17"/>
              </w:rPr>
              <w:t>Document</w:t>
            </w:r>
          </w:p>
        </w:tc>
        <w:tc>
          <w:tcPr>
            <w:tcW w:type="dxa" w:w="6804"/>
            <w:tcMar>
              <w:top w:w="85" w:type="dxa"/>
              <w:start w:w="100" w:type="dxa"/>
              <w:bottom w:w="85" w:type="dxa"/>
              <w:end w:w="100" w:type="dxa"/>
            </w:tcMar>
            <w:vAlign w:val="top"/>
          </w:tcPr>
          <w:p>
            <w:pPr>
              <w:spacing w:after="0" w:line="240" w:lineRule="auto"/>
            </w:pPr>
            <w:r>
              <w:rPr>
                <w:rFonts w:ascii="Aptos" w:hAnsi="Aptos"/>
                <w:b w:val="0"/>
                <w:i w:val="0"/>
                <w:color w:val="111827"/>
                <w:sz w:val="17"/>
              </w:rPr>
              <w:t>DEC Internal Pilot Implementation and Course Validation Guide</w:t>
            </w:r>
          </w:p>
        </w:tc>
      </w:tr>
      <w:tr>
        <w:trPr>
          <w:cantSplit/>
        </w:trPr>
        <w:tc>
          <w:tcPr>
            <w:tcW w:type="dxa" w:w="249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Programme</w:t>
            </w:r>
          </w:p>
        </w:tc>
        <w:tc>
          <w:tcPr>
            <w:tcW w:type="dxa" w:w="680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Capacity Development Program for Local and Grassroots Civil Society Organisations under EU CSF Plus</w:t>
            </w:r>
          </w:p>
        </w:tc>
      </w:tr>
      <w:tr>
        <w:trPr>
          <w:cantSplit/>
        </w:trPr>
        <w:tc>
          <w:tcPr>
            <w:tcW w:type="dxa" w:w="2494"/>
            <w:tcMar>
              <w:top w:w="85" w:type="dxa"/>
              <w:start w:w="100" w:type="dxa"/>
              <w:bottom w:w="85" w:type="dxa"/>
              <w:end w:w="100" w:type="dxa"/>
            </w:tcMar>
            <w:vAlign w:val="top"/>
          </w:tcPr>
          <w:p>
            <w:pPr>
              <w:spacing w:after="0" w:line="240" w:lineRule="auto"/>
            </w:pPr>
            <w:r>
              <w:rPr>
                <w:rFonts w:ascii="Aptos" w:hAnsi="Aptos"/>
                <w:b w:val="0"/>
                <w:i w:val="0"/>
                <w:color w:val="111827"/>
                <w:sz w:val="17"/>
              </w:rPr>
              <w:t>Pilot stage</w:t>
            </w:r>
          </w:p>
        </w:tc>
        <w:tc>
          <w:tcPr>
            <w:tcW w:type="dxa" w:w="6804"/>
            <w:tcMar>
              <w:top w:w="85" w:type="dxa"/>
              <w:start w:w="100" w:type="dxa"/>
              <w:bottom w:w="85" w:type="dxa"/>
              <w:end w:w="100" w:type="dxa"/>
            </w:tcMar>
            <w:vAlign w:val="top"/>
          </w:tcPr>
          <w:p>
            <w:pPr>
              <w:spacing w:after="0" w:line="240" w:lineRule="auto"/>
            </w:pPr>
            <w:r>
              <w:rPr>
                <w:rFonts w:ascii="Aptos" w:hAnsi="Aptos"/>
                <w:b w:val="0"/>
                <w:i w:val="0"/>
                <w:color w:val="111827"/>
                <w:sz w:val="17"/>
              </w:rPr>
              <w:t>DEC internal pilot before the controlled pilot with selected CSOs</w:t>
            </w:r>
          </w:p>
        </w:tc>
      </w:tr>
      <w:tr>
        <w:trPr>
          <w:cantSplit/>
        </w:trPr>
        <w:tc>
          <w:tcPr>
            <w:tcW w:type="dxa" w:w="249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Learning products</w:t>
            </w:r>
          </w:p>
        </w:tc>
        <w:tc>
          <w:tcPr>
            <w:tcW w:type="dxa" w:w="680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Applying the Human Rights-Based Approach in CSO Practice; Project Management for Local and Grassroots CSOs</w:t>
            </w:r>
          </w:p>
        </w:tc>
      </w:tr>
      <w:tr>
        <w:trPr>
          <w:cantSplit/>
        </w:trPr>
        <w:tc>
          <w:tcPr>
            <w:tcW w:type="dxa" w:w="2494"/>
            <w:tcMar>
              <w:top w:w="85" w:type="dxa"/>
              <w:start w:w="100" w:type="dxa"/>
              <w:bottom w:w="85" w:type="dxa"/>
              <w:end w:w="100" w:type="dxa"/>
            </w:tcMar>
            <w:vAlign w:val="top"/>
          </w:tcPr>
          <w:p>
            <w:pPr>
              <w:spacing w:after="0" w:line="240" w:lineRule="auto"/>
            </w:pPr>
            <w:r>
              <w:rPr>
                <w:rFonts w:ascii="Aptos" w:hAnsi="Aptos"/>
                <w:b w:val="0"/>
                <w:i w:val="0"/>
                <w:color w:val="111827"/>
                <w:sz w:val="17"/>
              </w:rPr>
              <w:t>Learning Hub</w:t>
            </w:r>
          </w:p>
        </w:tc>
        <w:tc>
          <w:tcPr>
            <w:tcW w:type="dxa" w:w="6804"/>
            <w:tcMar>
              <w:top w:w="85" w:type="dxa"/>
              <w:start w:w="100" w:type="dxa"/>
              <w:bottom w:w="85" w:type="dxa"/>
              <w:end w:w="100" w:type="dxa"/>
            </w:tcMar>
            <w:vAlign w:val="top"/>
          </w:tcPr>
          <w:p>
            <w:pPr>
              <w:spacing w:after="0" w:line="240" w:lineRule="auto"/>
            </w:pPr>
            <w:r>
              <w:rPr>
                <w:rFonts w:ascii="Aptos" w:hAnsi="Aptos"/>
                <w:b w:val="0"/>
                <w:i w:val="0"/>
                <w:color w:val="111827"/>
                <w:sz w:val="17"/>
              </w:rPr>
              <w:t>https://pilot-dec-cso.vercel.app</w:t>
            </w:r>
          </w:p>
        </w:tc>
      </w:tr>
      <w:tr>
        <w:trPr>
          <w:cantSplit/>
        </w:trPr>
        <w:tc>
          <w:tcPr>
            <w:tcW w:type="dxa" w:w="249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Primary users</w:t>
            </w:r>
          </w:p>
        </w:tc>
        <w:tc>
          <w:tcPr>
            <w:tcW w:type="dxa" w:w="680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DEC internal reviewers, pilot coordinator, learning/MEAL staff and relevant programme partners</w:t>
            </w:r>
          </w:p>
        </w:tc>
      </w:tr>
      <w:tr>
        <w:trPr>
          <w:cantSplit/>
        </w:trPr>
        <w:tc>
          <w:tcPr>
            <w:tcW w:type="dxa" w:w="2494"/>
            <w:tcMar>
              <w:top w:w="85" w:type="dxa"/>
              <w:start w:w="100" w:type="dxa"/>
              <w:bottom w:w="85" w:type="dxa"/>
              <w:end w:w="100" w:type="dxa"/>
            </w:tcMar>
            <w:vAlign w:val="top"/>
          </w:tcPr>
          <w:p>
            <w:pPr>
              <w:spacing w:after="0" w:line="240" w:lineRule="auto"/>
            </w:pPr>
            <w:r>
              <w:rPr>
                <w:rFonts w:ascii="Aptos" w:hAnsi="Aptos"/>
                <w:b w:val="0"/>
                <w:i w:val="0"/>
                <w:color w:val="111827"/>
                <w:sz w:val="17"/>
              </w:rPr>
              <w:t>Evidence tools</w:t>
            </w:r>
          </w:p>
        </w:tc>
        <w:tc>
          <w:tcPr>
            <w:tcW w:type="dxa" w:w="6804"/>
            <w:tcMar>
              <w:top w:w="85" w:type="dxa"/>
              <w:start w:w="100" w:type="dxa"/>
              <w:bottom w:w="85" w:type="dxa"/>
              <w:end w:w="100" w:type="dxa"/>
            </w:tcMar>
            <w:vAlign w:val="top"/>
          </w:tcPr>
          <w:p>
            <w:pPr>
              <w:spacing w:after="0" w:line="240" w:lineRule="auto"/>
            </w:pPr>
            <w:r>
              <w:rPr>
                <w:rFonts w:ascii="Aptos" w:hAnsi="Aptos"/>
                <w:b w:val="0"/>
                <w:i w:val="0"/>
                <w:color w:val="111827"/>
                <w:sz w:val="17"/>
              </w:rPr>
              <w:t>Quick Finding Form; Final Course Review &amp; Readiness Form; Coordination Tracker; Analysis &amp; Finding-to-Action workbook</w:t>
            </w:r>
          </w:p>
        </w:tc>
      </w:tr>
      <w:tr>
        <w:trPr>
          <w:cantSplit/>
        </w:trPr>
        <w:tc>
          <w:tcPr>
            <w:tcW w:type="dxa" w:w="249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Status</w:t>
            </w:r>
          </w:p>
        </w:tc>
        <w:tc>
          <w:tcPr>
            <w:tcW w:type="dxa" w:w="6804"/>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Final implementation guide</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FFF4E5"/>
            <w:tcMar>
              <w:top w:w="110" w:type="dxa"/>
              <w:start w:w="130" w:type="dxa"/>
              <w:bottom w:w="110" w:type="dxa"/>
              <w:end w:w="130" w:type="dxa"/>
            </w:tcMar>
            <w:tcBorders>
              <w:left w:val="single" w:sz="18" w:color="F59E0B"/>
              <w:top w:val="single" w:sz="4" w:color="D8E6EA"/>
              <w:bottom w:val="single" w:sz="4" w:color="D8E6EA"/>
              <w:right w:val="single" w:sz="4" w:color="D8E6EA"/>
            </w:tcBorders>
          </w:tcPr>
          <w:p>
            <w:pPr>
              <w:spacing w:after="0"/>
            </w:pPr>
            <w:r>
              <w:rPr>
                <w:rFonts w:ascii="Aptos" w:hAnsi="Aptos"/>
                <w:b/>
                <w:i w:val="0"/>
                <w:color w:val="0F172A"/>
                <w:sz w:val="20"/>
              </w:rPr>
              <w:t>Complete before distribution</w:t>
              <w:br/>
            </w:r>
            <w:r>
              <w:rPr>
                <w:rFonts w:ascii="Aptos" w:hAnsi="Aptos"/>
                <w:b w:val="0"/>
                <w:i w:val="0"/>
                <w:color w:val="111827"/>
                <w:sz w:val="18"/>
              </w:rPr>
              <w:t>The Pilot Coordinator must insert the live Kobo links, named support contact and target dates in Section 17 before sharing this guide with testers.</w:t>
            </w:r>
          </w:p>
        </w:tc>
      </w:tr>
    </w:tbl>
    <w:p>
      <w:pPr>
        <w:spacing w:after="20"/>
      </w:pPr>
    </w:p>
    <w:p>
      <w:pPr>
        <w:pStyle w:val="Heading1"/>
        <w:keepNext/>
        <w:spacing w:before="160" w:after="80"/>
      </w:pPr>
      <w:r>
        <w:rPr>
          <w:rFonts w:ascii="Aptos Display" w:hAnsi="Aptos Display"/>
          <w:b/>
          <w:i w:val="0"/>
          <w:color w:val="0F172A"/>
          <w:sz w:val="32"/>
        </w:rPr>
        <w:t>Read This Before Testing</w:t>
      </w:r>
    </w:p>
    <w:tbl>
      <w:tblPr>
        <w:tblW w:type="auto" w:w="0"/>
        <w:jc w:val="center"/>
        <w:tblLayout w:type="autofit"/>
        <w:tblLook w:firstColumn="1" w:firstRow="1" w:lastColumn="0" w:lastRow="0" w:noHBand="0" w:noVBand="1" w:val="04A0"/>
      </w:tblPr>
      <w:tblGrid>
        <w:gridCol w:w="9866"/>
      </w:tblGrid>
      <w:tr>
        <w:trPr>
          <w:cantSplit/>
        </w:trPr>
        <w:tc>
          <w:tcPr>
            <w:tcW w:type="dxa" w:w="9866"/>
            <w:shd w:fill="EEF6FB"/>
            <w:tcMar>
              <w:top w:w="110" w:type="dxa"/>
              <w:start w:w="130" w:type="dxa"/>
              <w:bottom w:w="110" w:type="dxa"/>
              <w:end w:w="130" w:type="dxa"/>
            </w:tcMar>
            <w:tcBorders>
              <w:left w:val="single" w:sz="18" w:color="3B99D4"/>
              <w:top w:val="single" w:sz="4" w:color="D8E6EA"/>
              <w:bottom w:val="single" w:sz="4" w:color="D8E6EA"/>
              <w:right w:val="single" w:sz="4" w:color="D8E6EA"/>
            </w:tcBorders>
          </w:tcPr>
          <w:p>
            <w:pPr>
              <w:spacing w:after="0"/>
            </w:pPr>
            <w:r>
              <w:rPr>
                <w:rFonts w:ascii="Aptos" w:hAnsi="Aptos"/>
                <w:b/>
                <w:i w:val="0"/>
                <w:color w:val="0F172A"/>
                <w:sz w:val="20"/>
              </w:rPr>
              <w:t>What this internal pilot is asking you to judge</w:t>
              <w:br/>
            </w:r>
            <w:r>
              <w:rPr>
                <w:rFonts w:ascii="Aptos" w:hAnsi="Aptos"/>
                <w:b w:val="0"/>
                <w:i w:val="0"/>
                <w:color w:val="111827"/>
                <w:sz w:val="19"/>
              </w:rPr>
              <w:t>The internal pilot is not a final-product inspection. It is a validation stage. Test whether the Hub and courses provide a sufficiently sound foundation for the next controlled pilot with selected CSOs. Focus first on access, reliable progression, content accuracy, instructional design, practical relevance, feedback, assessment, readable and usable presentation, accessibility barriers that affect learning, and realistic use on common devices and under variable internet connectivity.</w:t>
            </w:r>
          </w:p>
        </w:tc>
      </w:tr>
    </w:tbl>
    <w:p>
      <w:pPr>
        <w:spacing w:after="20"/>
      </w:pPr>
    </w:p>
    <w:p>
      <w:pPr>
        <w:spacing w:before="0" w:after="80" w:line="259" w:lineRule="auto"/>
      </w:pPr>
      <w:r>
        <w:rPr>
          <w:rFonts w:ascii="Aptos" w:hAnsi="Aptos"/>
          <w:b w:val="0"/>
          <w:i w:val="0"/>
          <w:color w:val="111827"/>
          <w:sz w:val="19"/>
        </w:rPr>
        <w:t>Record visual and enhancement ideas when they matter, but distinguish them from issues that affect learning or successful completion. Final branding refinement, richer media and detailed visual polish can follow after the course content and learning design have been validated. Readability, responsive use, clear controls and basic accessibility are not optional polish; they are part of the minimum Phase One learning experience.</w:t>
      </w:r>
    </w:p>
    <w:p>
      <w:pPr>
        <w:spacing w:before="0" w:after="80" w:line="259" w:lineRule="auto"/>
      </w:pPr>
      <w:r>
        <w:rPr>
          <w:rFonts w:ascii="Aptos" w:hAnsi="Aptos"/>
          <w:b w:val="0"/>
          <w:i w:val="0"/>
          <w:color w:val="111827"/>
          <w:sz w:val="19"/>
        </w:rPr>
        <w:t>Participate first as an ordinary learner. Review second as an informed DEC staff member. Do not search for faults on every screen, and do not deliberately try to break the system unless you have been assigned a specific verification task.</w:t>
      </w:r>
    </w:p>
    <w:p>
      <w:pPr>
        <w:pStyle w:val="Heading1"/>
        <w:keepNext/>
        <w:pageBreakBefore/>
        <w:spacing w:before="160" w:after="80"/>
      </w:pPr>
      <w:r>
        <w:rPr>
          <w:rFonts w:ascii="Aptos Display" w:hAnsi="Aptos Display"/>
          <w:b/>
          <w:i w:val="0"/>
          <w:color w:val="0F172A"/>
          <w:sz w:val="32"/>
        </w:rPr>
        <w:t>Contents</w:t>
      </w:r>
    </w:p>
    <w:p>
      <w:pPr>
        <w:spacing w:before="0" w:after="20" w:line="259" w:lineRule="auto"/>
      </w:pPr>
      <w:r>
        <w:rPr>
          <w:rFonts w:ascii="Aptos" w:hAnsi="Aptos"/>
          <w:b w:val="0"/>
          <w:i w:val="0"/>
          <w:color w:val="111827"/>
          <w:sz w:val="18"/>
        </w:rPr>
        <w:t>1. Programme Background and Phase One Assignment</w:t>
      </w:r>
    </w:p>
    <w:p>
      <w:pPr>
        <w:spacing w:before="0" w:after="20" w:line="259" w:lineRule="auto"/>
      </w:pPr>
      <w:r>
        <w:rPr>
          <w:rFonts w:ascii="Aptos" w:hAnsi="Aptos"/>
          <w:b w:val="0"/>
          <w:i w:val="0"/>
          <w:color w:val="111827"/>
          <w:sz w:val="18"/>
        </w:rPr>
        <w:t>2. How Phase One Fits the Wider Capacity-Development Pathway</w:t>
      </w:r>
    </w:p>
    <w:p>
      <w:pPr>
        <w:spacing w:before="0" w:after="20" w:line="259" w:lineRule="auto"/>
      </w:pPr>
      <w:r>
        <w:rPr>
          <w:rFonts w:ascii="Aptos" w:hAnsi="Aptos"/>
          <w:b w:val="0"/>
          <w:i w:val="0"/>
          <w:color w:val="111827"/>
          <w:sz w:val="18"/>
        </w:rPr>
        <w:t>3. Phase One Learning Products: Status and Boundaries</w:t>
      </w:r>
    </w:p>
    <w:p>
      <w:pPr>
        <w:spacing w:before="0" w:after="20" w:line="259" w:lineRule="auto"/>
      </w:pPr>
      <w:r>
        <w:rPr>
          <w:rFonts w:ascii="Aptos" w:hAnsi="Aptos"/>
          <w:b w:val="0"/>
          <w:i w:val="0"/>
          <w:color w:val="111827"/>
          <w:sz w:val="18"/>
        </w:rPr>
        <w:t>4. Internal Pilot Purpose, Scope and Decisions</w:t>
      </w:r>
    </w:p>
    <w:p>
      <w:pPr>
        <w:spacing w:before="0" w:after="20" w:line="259" w:lineRule="auto"/>
      </w:pPr>
      <w:r>
        <w:rPr>
          <w:rFonts w:ascii="Aptos" w:hAnsi="Aptos"/>
          <w:b w:val="0"/>
          <w:i w:val="0"/>
          <w:color w:val="111827"/>
          <w:sz w:val="18"/>
        </w:rPr>
        <w:t>5. What Must Be Good Enough at This Stage</w:t>
      </w:r>
    </w:p>
    <w:p>
      <w:pPr>
        <w:spacing w:before="0" w:after="20" w:line="259" w:lineRule="auto"/>
      </w:pPr>
      <w:r>
        <w:rPr>
          <w:rFonts w:ascii="Aptos" w:hAnsi="Aptos"/>
          <w:b w:val="0"/>
          <w:i w:val="0"/>
          <w:color w:val="111827"/>
          <w:sz w:val="18"/>
        </w:rPr>
        <w:t>6. Pilot Decision Horizons: What Must Be Fixed Now and What Can Wait</w:t>
      </w:r>
    </w:p>
    <w:p>
      <w:pPr>
        <w:spacing w:before="0" w:after="20" w:line="259" w:lineRule="auto"/>
      </w:pPr>
      <w:r>
        <w:rPr>
          <w:rFonts w:ascii="Aptos" w:hAnsi="Aptos"/>
          <w:b w:val="0"/>
          <w:i w:val="0"/>
          <w:color w:val="111827"/>
          <w:sz w:val="18"/>
        </w:rPr>
        <w:t>7. HRBA Course Design Brief: Capacity-to-Action</w:t>
      </w:r>
    </w:p>
    <w:p>
      <w:pPr>
        <w:spacing w:before="0" w:after="20" w:line="259" w:lineRule="auto"/>
      </w:pPr>
      <w:r>
        <w:rPr>
          <w:rFonts w:ascii="Aptos" w:hAnsi="Aptos"/>
          <w:b w:val="0"/>
          <w:i w:val="0"/>
          <w:color w:val="111827"/>
          <w:sz w:val="18"/>
        </w:rPr>
        <w:t>8. Project Management Course Design Brief: Capacity-to-Action</w:t>
      </w:r>
    </w:p>
    <w:p>
      <w:pPr>
        <w:spacing w:before="0" w:after="20" w:line="259" w:lineRule="auto"/>
      </w:pPr>
      <w:r>
        <w:rPr>
          <w:rFonts w:ascii="Aptos" w:hAnsi="Aptos"/>
          <w:b w:val="0"/>
          <w:i w:val="0"/>
          <w:color w:val="111827"/>
          <w:sz w:val="18"/>
        </w:rPr>
        <w:t>9. How the Internal Pilot Works</w:t>
      </w:r>
    </w:p>
    <w:p>
      <w:pPr>
        <w:spacing w:before="0" w:after="20" w:line="259" w:lineRule="auto"/>
      </w:pPr>
      <w:r>
        <w:rPr>
          <w:rFonts w:ascii="Aptos" w:hAnsi="Aptos"/>
          <w:b w:val="0"/>
          <w:i w:val="0"/>
          <w:color w:val="111827"/>
          <w:sz w:val="18"/>
        </w:rPr>
        <w:t>10. Three Separate Evidence Layers</w:t>
      </w:r>
    </w:p>
    <w:p>
      <w:pPr>
        <w:spacing w:before="0" w:after="20" w:line="259" w:lineRule="auto"/>
      </w:pPr>
      <w:r>
        <w:rPr>
          <w:rFonts w:ascii="Aptos" w:hAnsi="Aptos"/>
          <w:b w:val="0"/>
          <w:i w:val="0"/>
          <w:color w:val="111827"/>
          <w:sz w:val="18"/>
        </w:rPr>
        <w:t>11. Required Practical Learner-Journey Checks</w:t>
      </w:r>
    </w:p>
    <w:p>
      <w:pPr>
        <w:spacing w:before="0" w:after="20" w:line="259" w:lineRule="auto"/>
      </w:pPr>
      <w:r>
        <w:rPr>
          <w:rFonts w:ascii="Aptos" w:hAnsi="Aptos"/>
          <w:b w:val="0"/>
          <w:i w:val="0"/>
          <w:color w:val="111827"/>
          <w:sz w:val="18"/>
        </w:rPr>
        <w:t>12. Final Course Review: Six Quality Domains</w:t>
      </w:r>
    </w:p>
    <w:p>
      <w:pPr>
        <w:spacing w:before="0" w:after="20" w:line="259" w:lineRule="auto"/>
      </w:pPr>
      <w:r>
        <w:rPr>
          <w:rFonts w:ascii="Aptos" w:hAnsi="Aptos"/>
          <w:b w:val="0"/>
          <w:i w:val="0"/>
          <w:color w:val="111827"/>
          <w:sz w:val="18"/>
        </w:rPr>
        <w:t>13. Quick Findings and Evidence Writing</w:t>
      </w:r>
    </w:p>
    <w:p>
      <w:pPr>
        <w:spacing w:before="0" w:after="20" w:line="259" w:lineRule="auto"/>
      </w:pPr>
      <w:r>
        <w:rPr>
          <w:rFonts w:ascii="Aptos" w:hAnsi="Aptos"/>
          <w:b w:val="0"/>
          <w:i w:val="0"/>
          <w:color w:val="111827"/>
          <w:sz w:val="18"/>
        </w:rPr>
        <w:t>14. Support, Escalation and Pilot Coordination</w:t>
      </w:r>
    </w:p>
    <w:p>
      <w:pPr>
        <w:spacing w:before="0" w:after="20" w:line="259" w:lineRule="auto"/>
      </w:pPr>
      <w:r>
        <w:rPr>
          <w:rFonts w:ascii="Aptos" w:hAnsi="Aptos"/>
          <w:b w:val="0"/>
          <w:i w:val="0"/>
          <w:color w:val="111827"/>
          <w:sz w:val="18"/>
        </w:rPr>
        <w:t>15. Analysis, Action and Readiness Decisions</w:t>
      </w:r>
    </w:p>
    <w:p>
      <w:pPr>
        <w:spacing w:before="0" w:after="20" w:line="259" w:lineRule="auto"/>
      </w:pPr>
      <w:r>
        <w:rPr>
          <w:rFonts w:ascii="Aptos" w:hAnsi="Aptos"/>
          <w:b w:val="0"/>
          <w:i w:val="0"/>
          <w:color w:val="111827"/>
          <w:sz w:val="18"/>
        </w:rPr>
        <w:t>16. Pilot Close-Out and the Next Development Stage</w:t>
      </w:r>
    </w:p>
    <w:p>
      <w:pPr>
        <w:spacing w:before="0" w:after="20" w:line="259" w:lineRule="auto"/>
      </w:pPr>
      <w:r>
        <w:rPr>
          <w:rFonts w:ascii="Aptos" w:hAnsi="Aptos"/>
          <w:b w:val="0"/>
          <w:i w:val="0"/>
          <w:color w:val="111827"/>
          <w:sz w:val="18"/>
        </w:rPr>
        <w:t>17. Operational Details</w:t>
      </w:r>
    </w:p>
    <w:p>
      <w:pPr>
        <w:spacing w:before="0" w:after="20" w:line="259" w:lineRule="auto"/>
      </w:pPr>
      <w:r>
        <w:rPr>
          <w:rFonts w:ascii="Aptos" w:hAnsi="Aptos"/>
          <w:b w:val="0"/>
          <w:i w:val="0"/>
          <w:color w:val="111827"/>
          <w:sz w:val="18"/>
        </w:rPr>
        <w:t>18. Reference Basis</w:t>
      </w:r>
    </w:p>
    <w:tbl>
      <w:tblPr>
        <w:tblW w:type="auto" w:w="0"/>
        <w:jc w:val="center"/>
        <w:tblLook w:firstColumn="1" w:firstRow="1" w:lastColumn="0" w:lastRow="0" w:noHBand="0" w:noVBand="1" w:val="04A0"/>
      </w:tblPr>
      <w:tblGrid>
        <w:gridCol w:w="9866"/>
      </w:tblGrid>
      <w:tr>
        <w:trPr>
          <w:cantSplit/>
        </w:trPr>
        <w:tc>
          <w:tcPr>
            <w:tcW w:type="dxa" w:w="9866"/>
            <w:shd w:fill="EEF6FB"/>
            <w:tcBorders>
              <w:left w:val="single" w:sz="18" w:color="3B99D4"/>
              <w:top w:val="single" w:sz="4" w:color="D8E6EA"/>
              <w:bottom w:val="single" w:sz="4" w:color="D8E6EA"/>
              <w:right w:val="single" w:sz="4" w:color="D8E6EA"/>
            </w:tcBorders>
            <w:tcMar>
              <w:top w:w="110" w:type="dxa"/>
              <w:start w:w="130" w:type="dxa"/>
              <w:bottom w:w="110" w:type="dxa"/>
              <w:end w:w="130" w:type="dxa"/>
            </w:tcMar>
          </w:tcPr>
          <w:p>
            <w:r>
              <w:rPr>
                <w:b/>
                <w:color w:val="0F172A"/>
                <w:sz w:val="20"/>
              </w:rPr>
              <w:t>Pilot at a glance</w:t>
              <w:br/>
            </w:r>
            <w:r>
              <w:rPr>
                <w:color w:val="111827"/>
                <w:sz w:val="18"/>
              </w:rPr>
              <w:t>Use the Hub as a normal learner -&gt; record important Quick Findings -&gt; complete the course and practical checks -&gt; submit one Final Course Review -&gt; DEC decides whether the Hub and each course are ready for the selected-CSO pilot.</w:t>
            </w:r>
          </w:p>
        </w:tc>
      </w:tr>
    </w:tbl>
    <w:p>
      <w:r>
        <w:br w:type="page"/>
      </w:r>
    </w:p>
    <w:p>
      <w:pPr>
        <w:pStyle w:val="Heading1"/>
        <w:keepNext/>
        <w:spacing w:before="160" w:after="80"/>
      </w:pPr>
      <w:r>
        <w:rPr>
          <w:rFonts w:ascii="Aptos Display" w:hAnsi="Aptos Display"/>
          <w:b/>
          <w:i w:val="0"/>
          <w:color w:val="0F172A"/>
          <w:sz w:val="32"/>
        </w:rPr>
        <w:t>1. Programme Background and Phase One Assignment</w:t>
      </w:r>
    </w:p>
    <w:p>
      <w:pPr>
        <w:pStyle w:val="Heading2"/>
        <w:keepNext/>
        <w:spacing w:before="100" w:after="80"/>
      </w:pPr>
      <w:r>
        <w:rPr>
          <w:rFonts w:ascii="Aptos Display" w:hAnsi="Aptos Display"/>
          <w:b/>
          <w:i w:val="0"/>
          <w:color w:val="0F172A"/>
          <w:sz w:val="25"/>
        </w:rPr>
        <w:t>1.1 Programme context</w:t>
      </w:r>
    </w:p>
    <w:p>
      <w:pPr>
        <w:spacing w:before="0" w:after="80" w:line="259" w:lineRule="auto"/>
      </w:pPr>
      <w:r>
        <w:rPr>
          <w:rFonts w:ascii="Aptos" w:hAnsi="Aptos"/>
          <w:b w:val="0"/>
          <w:i w:val="0"/>
          <w:color w:val="111827"/>
          <w:sz w:val="19"/>
        </w:rPr>
        <w:t>The DEC CSO Learning Hub forms part of the Capacity Development Program for Local and Grassroots Civil Society Organisations (CDP-Lg CSOs) under the European Union Civil Society Fund Plus programme. The wider programme is implemented through the partnership of Development Expertise Center (DEC), Welthungerhilfe (WHH) and CoSAP and seeks to strengthen local and grassroots CSOs as capable actors in governance and inclusive development in Ethiopia.</w:t>
      </w:r>
    </w:p>
    <w:p>
      <w:pPr>
        <w:spacing w:before="0" w:after="80" w:line="259" w:lineRule="auto"/>
      </w:pPr>
      <w:r>
        <w:rPr>
          <w:rFonts w:ascii="Aptos" w:hAnsi="Aptos"/>
          <w:b w:val="0"/>
          <w:i w:val="0"/>
          <w:color w:val="111827"/>
          <w:sz w:val="19"/>
        </w:rPr>
        <w:t>The programme recognises that local and grassroots CSOs work in different regions and sectors and have different levels of staffing, resources, digital access and specialist support. The Learning Hub is therefore intended to extend access to structured capacity-development opportunities while complementing face-to-face training, coaching, mentoring, peer learning and organisational support.</w:t>
      </w:r>
    </w:p>
    <w:p>
      <w:pPr>
        <w:pStyle w:val="Heading2"/>
        <w:keepNext/>
        <w:spacing w:before="100" w:after="80"/>
      </w:pPr>
      <w:r>
        <w:rPr>
          <w:rFonts w:ascii="Aptos Display" w:hAnsi="Aptos Display"/>
          <w:b/>
          <w:i w:val="0"/>
          <w:color w:val="0F172A"/>
          <w:sz w:val="25"/>
        </w:rPr>
        <w:t>1.2 Phase One assignment</w:t>
      </w:r>
    </w:p>
    <w:p>
      <w:pPr>
        <w:spacing w:before="0" w:after="80" w:line="259" w:lineRule="auto"/>
      </w:pPr>
      <w:r>
        <w:rPr>
          <w:rFonts w:ascii="Aptos" w:hAnsi="Aptos"/>
          <w:b w:val="0"/>
          <w:i w:val="0"/>
          <w:color w:val="111827"/>
          <w:sz w:val="19"/>
        </w:rPr>
        <w:t>The Phase One agreement between DEC and Medab Solutions covers the creation of the digital learning foundation, including a mobile-responsive and accessible web experience, core learning features, transformation of training materials into interactive digital learning, and pilot testing with DEC and selected CSOs so that content and functionality can be refined before wider use.</w:t>
      </w:r>
    </w:p>
    <w:p>
      <w:pPr>
        <w:spacing w:before="0" w:after="80" w:line="259" w:lineRule="auto"/>
      </w:pPr>
      <w:r>
        <w:rPr>
          <w:rFonts w:ascii="Aptos" w:hAnsi="Aptos"/>
          <w:b w:val="0"/>
          <w:i w:val="0"/>
          <w:color w:val="111827"/>
          <w:sz w:val="19"/>
        </w:rPr>
        <w:t>The internal pilot is therefore part of the development process itself. It is not an optional check added after the work is finished. Its purpose is to produce evidence that helps DEC and programme partners decide what is already working, what must be corrected, what requires further validation with selected CSOs, and what should be developed later.</w:t>
      </w: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0F8F8C"/>
              <w:top w:val="single" w:sz="4" w:color="D8E6EA"/>
              <w:bottom w:val="single" w:sz="4" w:color="D8E6EA"/>
              <w:right w:val="single" w:sz="4" w:color="D8E6EA"/>
            </w:tcBorders>
          </w:tcPr>
          <w:p>
            <w:pPr>
              <w:spacing w:after="0"/>
            </w:pPr>
            <w:r>
              <w:rPr>
                <w:rFonts w:ascii="Aptos" w:hAnsi="Aptos"/>
                <w:b/>
                <w:i w:val="0"/>
                <w:color w:val="0F172A"/>
                <w:sz w:val="20"/>
              </w:rPr>
              <w:t>Key principle</w:t>
              <w:br/>
            </w:r>
            <w:r>
              <w:rPr>
                <w:rFonts w:ascii="Aptos" w:hAnsi="Aptos"/>
                <w:b w:val="0"/>
                <w:i w:val="0"/>
                <w:color w:val="111827"/>
                <w:sz w:val="18"/>
              </w:rPr>
              <w:t>Pilot evidence should guide decisions. A finding is useful when it helps DEC decide what to fix, improve, retain, investigate or defer.</w:t>
            </w:r>
          </w:p>
        </w:tc>
      </w:tr>
    </w:tbl>
    <w:p>
      <w:pPr>
        <w:spacing w:after="20"/>
      </w:pPr>
    </w:p>
    <w:p>
      <w:pPr>
        <w:pStyle w:val="Heading1"/>
        <w:keepNext/>
        <w:spacing w:before="160" w:after="80"/>
      </w:pPr>
      <w:r>
        <w:rPr>
          <w:rFonts w:ascii="Aptos Display" w:hAnsi="Aptos Display"/>
          <w:b/>
          <w:i w:val="0"/>
          <w:color w:val="0F172A"/>
          <w:sz w:val="32"/>
        </w:rPr>
        <w:t>2. How Phase One Fits the Wider Capacity-Development Pathway</w:t>
      </w:r>
    </w:p>
    <w:p>
      <w:pPr>
        <w:spacing w:before="0" w:after="80" w:line="259" w:lineRule="auto"/>
      </w:pPr>
      <w:r>
        <w:rPr>
          <w:rFonts w:ascii="Aptos" w:hAnsi="Aptos"/>
          <w:b w:val="0"/>
          <w:i w:val="0"/>
          <w:color w:val="111827"/>
          <w:sz w:val="19"/>
        </w:rPr>
        <w:t>The Learning Hub is intended as a capacity-strengthening ecosystem rather than a repository of online manuals. Phase One provides the structured learning foundation. Later phases extend that foundation through knowledge sharing, peer exchange, mentoring and collaborative application.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7"/>
              </w:rPr>
              <w:t>Programme stage</w:t>
            </w:r>
          </w:p>
        </w:tc>
        <w:tc>
          <w:tcPr>
            <w:tcW w:type="dxa" w:w="2835"/>
            <w:shd w:fill="0F172A"/>
            <w:tcMar>
              <w:top w:w="85" w:type="dxa"/>
              <w:start w:w="100" w:type="dxa"/>
              <w:bottom w:w="85" w:type="dxa"/>
              <w:end w:w="100" w:type="dxa"/>
            </w:tcMar>
            <w:vAlign w:val="center"/>
          </w:tcPr>
          <w:p>
            <w:pPr>
              <w:spacing w:after="0"/>
            </w:pPr>
            <w:r>
              <w:rPr>
                <w:rFonts w:ascii="Aptos" w:hAnsi="Aptos"/>
                <w:b/>
                <w:i w:val="0"/>
                <w:color w:val="FFFFFF"/>
                <w:sz w:val="17"/>
              </w:rPr>
              <w:t>Primary purpose</w:t>
            </w:r>
          </w:p>
        </w:tc>
        <w:tc>
          <w:tcPr>
            <w:tcW w:type="dxa" w:w="4252"/>
            <w:shd w:fill="0F172A"/>
            <w:tcMar>
              <w:top w:w="85" w:type="dxa"/>
              <w:start w:w="100" w:type="dxa"/>
              <w:bottom w:w="85" w:type="dxa"/>
              <w:end w:w="100" w:type="dxa"/>
            </w:tcMar>
            <w:vAlign w:val="center"/>
          </w:tcPr>
          <w:p>
            <w:pPr>
              <w:spacing w:after="0"/>
            </w:pPr>
            <w:r>
              <w:rPr>
                <w:rFonts w:ascii="Aptos" w:hAnsi="Aptos"/>
                <w:b/>
                <w:i w:val="0"/>
                <w:color w:val="FFFFFF"/>
                <w:sz w:val="17"/>
              </w:rPr>
              <w:t>What it contributes</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Phase One - Learn</w:t>
            </w:r>
          </w:p>
        </w:tc>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7"/>
              </w:rPr>
              <w:t>Accessible digital learning and guided practice</w:t>
            </w:r>
          </w:p>
        </w:tc>
        <w:tc>
          <w:tcPr>
            <w:tcW w:type="dxa" w:w="4252"/>
            <w:tcMar>
              <w:top w:w="85" w:type="dxa"/>
              <w:start w:w="100" w:type="dxa"/>
              <w:bottom w:w="85" w:type="dxa"/>
              <w:end w:w="100" w:type="dxa"/>
            </w:tcMar>
            <w:vAlign w:val="top"/>
          </w:tcPr>
          <w:p>
            <w:pPr>
              <w:spacing w:after="0" w:line="240" w:lineRule="auto"/>
            </w:pPr>
            <w:r>
              <w:rPr>
                <w:rFonts w:ascii="Aptos" w:hAnsi="Aptos"/>
                <w:b w:val="0"/>
                <w:i w:val="0"/>
                <w:color w:val="111827"/>
                <w:sz w:val="17"/>
              </w:rPr>
              <w:t>Contextual courses, individual learning access, practical activities, assessment, completion records and pilot evidence.</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Phase Two - Exchange and Connect</w:t>
            </w:r>
          </w:p>
        </w:tc>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Knowledge management, peer exchange and mentoring</w:t>
            </w:r>
          </w:p>
        </w:tc>
        <w:tc>
          <w:tcPr>
            <w:tcW w:type="dxa" w:w="4252"/>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Organised resources, practice stories, facilitated learning, peer exchange and mentoring.</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Phase Three - Co-create and Grow</w:t>
            </w:r>
          </w:p>
        </w:tc>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7"/>
              </w:rPr>
              <w:t>Collaborative application and locally led development</w:t>
            </w:r>
          </w:p>
        </w:tc>
        <w:tc>
          <w:tcPr>
            <w:tcW w:type="dxa" w:w="4252"/>
            <w:tcMar>
              <w:top w:w="85" w:type="dxa"/>
              <w:start w:w="100" w:type="dxa"/>
              <w:bottom w:w="85" w:type="dxa"/>
              <w:end w:w="100" w:type="dxa"/>
            </w:tcMar>
            <w:vAlign w:val="top"/>
          </w:tcPr>
          <w:p>
            <w:pPr>
              <w:spacing w:after="0" w:line="240" w:lineRule="auto"/>
            </w:pPr>
            <w:r>
              <w:rPr>
                <w:rFonts w:ascii="Aptos" w:hAnsi="Aptos"/>
                <w:b w:val="0"/>
                <w:i w:val="0"/>
                <w:color w:val="111827"/>
                <w:sz w:val="17"/>
              </w:rPr>
              <w:t>Co-creation, joint tools and project ideas, mentorship and project-development support.</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EEF6FB"/>
            <w:tcMar>
              <w:top w:w="110" w:type="dxa"/>
              <w:start w:w="130" w:type="dxa"/>
              <w:bottom w:w="110" w:type="dxa"/>
              <w:end w:w="130" w:type="dxa"/>
            </w:tcMar>
            <w:tcBorders>
              <w:left w:val="single" w:sz="18" w:color="3B99D4"/>
              <w:top w:val="single" w:sz="4" w:color="D8E6EA"/>
              <w:bottom w:val="single" w:sz="4" w:color="D8E6EA"/>
              <w:right w:val="single" w:sz="4" w:color="D8E6EA"/>
            </w:tcBorders>
          </w:tcPr>
          <w:p>
            <w:pPr>
              <w:spacing w:after="0"/>
            </w:pPr>
            <w:r>
              <w:rPr>
                <w:rFonts w:ascii="Aptos" w:hAnsi="Aptos"/>
                <w:b/>
                <w:i w:val="0"/>
                <w:color w:val="0F172A"/>
                <w:sz w:val="20"/>
              </w:rPr>
              <w:t>The wider pathway</w:t>
              <w:br/>
            </w:r>
            <w:r>
              <w:rPr>
                <w:rFonts w:ascii="Aptos" w:hAnsi="Aptos"/>
                <w:b w:val="0"/>
                <w:i w:val="0"/>
                <w:color w:val="111827"/>
                <w:sz w:val="21"/>
              </w:rPr>
              <w:t>LEARN -&gt; APPLY -&gt; REFLECT -&gt; EXCHANGE -&gt; CO-CREATE</w:t>
            </w:r>
          </w:p>
        </w:tc>
      </w:tr>
    </w:tbl>
    <w:p>
      <w:pPr>
        <w:spacing w:after="20"/>
      </w:pPr>
    </w:p>
    <w:p>
      <w:pPr>
        <w:spacing w:before="0" w:after="80" w:line="259" w:lineRule="auto"/>
      </w:pPr>
      <w:r>
        <w:rPr>
          <w:rFonts w:ascii="Aptos" w:hAnsi="Aptos"/>
          <w:b w:val="0"/>
          <w:i w:val="0"/>
          <w:color w:val="111827"/>
          <w:sz w:val="19"/>
        </w:rPr>
        <w:t>The two Phase One courses should therefore be judged as the first structured learning layer in a wider programme. They are not expected to solve every organisational, management, resource or contextual constraint faced by a CSO.</w:t>
      </w:r>
    </w:p>
    <w:p>
      <w:pPr>
        <w:pStyle w:val="Heading1"/>
        <w:keepNext/>
        <w:spacing w:before="160" w:after="80"/>
      </w:pPr>
      <w:r>
        <w:rPr>
          <w:rFonts w:ascii="Aptos Display" w:hAnsi="Aptos Display"/>
          <w:b/>
          <w:i w:val="0"/>
          <w:color w:val="0F172A"/>
          <w:sz w:val="32"/>
        </w:rPr>
        <w:t>3. Phase One Learning Products: Status and Boundaries</w:t>
      </w:r>
    </w:p>
    <w:p>
      <w:pPr>
        <w:pStyle w:val="Heading2"/>
        <w:keepNext/>
        <w:spacing w:before="100" w:after="80"/>
      </w:pPr>
      <w:r>
        <w:rPr>
          <w:rFonts w:ascii="Aptos Display" w:hAnsi="Aptos Display"/>
          <w:b/>
          <w:i w:val="0"/>
          <w:color w:val="0F172A"/>
          <w:sz w:val="25"/>
        </w:rPr>
        <w:t>3.1 What the pilot courses are - and are not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6"/>
              </w:rPr>
              <w:t>They are</w:t>
            </w:r>
          </w:p>
        </w:tc>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6"/>
              </w:rPr>
              <w:t>They are not</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Functional Phase One learning products prepared for structured validation.</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Final, immutable institutional curricula.</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Practical digital learning built around cases, activities, feedback and assessment.</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Online copies of a classroom manual.</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starting layer in a broader capacity-development pathway.</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The complete CSO capacity-development programme.</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Based on programme/training resources and additional content development required for self-paced learning.</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Verbatim reproductions of one previously approved DEC course or manual.</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Designed for local and grassroots CSO practitioners with different levels of prior experience.</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Specialist legal, academic or professional-certification programmes.</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Complete enough to test the full learner experience and learning design.</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Evidence that every current wording, screen, graphic or interaction has already been finally validated.</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basis for deciding what to retain, revise, further validate or enhance.</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final public-release visual design that cannot change.</w:t>
            </w:r>
          </w:p>
        </w:tc>
      </w:tr>
    </w:tbl>
    <w:p>
      <w:pPr>
        <w:spacing w:after="20"/>
      </w:pPr>
    </w:p>
    <w:p>
      <w:pPr>
        <w:pStyle w:val="Heading2"/>
        <w:keepNext/>
        <w:spacing w:before="100" w:after="80"/>
      </w:pPr>
      <w:r>
        <w:rPr>
          <w:rFonts w:ascii="Aptos Display" w:hAnsi="Aptos Display"/>
          <w:b/>
          <w:i w:val="0"/>
          <w:color w:val="0F172A"/>
          <w:sz w:val="25"/>
        </w:rPr>
        <w:t>3.2 Course-content status</w:t>
      </w:r>
    </w:p>
    <w:p>
      <w:pPr>
        <w:spacing w:before="0" w:after="80" w:line="259" w:lineRule="auto"/>
      </w:pPr>
      <w:r>
        <w:rPr>
          <w:rFonts w:ascii="Aptos" w:hAnsi="Aptos"/>
          <w:b w:val="0"/>
          <w:i w:val="0"/>
          <w:color w:val="111827"/>
          <w:sz w:val="19"/>
        </w:rPr>
        <w:t>The Phase One contract anticipated that DEC would provide training materials for digitisation. During implementation, additional learner-facing explanations, learning sequences, fictional cases, activities, knowledge checks and assessment items were also developed so that the materials could function as self-paced e-learning.</w:t>
      </w:r>
    </w:p>
    <w:p>
      <w:pPr>
        <w:spacing w:before="0" w:after="80" w:line="259" w:lineRule="auto"/>
      </w:pPr>
      <w:r>
        <w:rPr>
          <w:rFonts w:ascii="Aptos" w:hAnsi="Aptos"/>
          <w:b w:val="0"/>
          <w:i w:val="0"/>
          <w:color w:val="111827"/>
          <w:sz w:val="19"/>
        </w:rPr>
        <w:t>For HRBA, the course draws on DEC's earlier HRBA training/design resources and authoritative HRBA references, but it should not be treated as a verbatim digital copy of one previous course. The Project Management course was also developed as a practical Phase One learning product rather than a simple conversion of one existing training package. The exact content remains subject to technical validation, pilot evidence and DEC/programme-partner approval before wider release.</w:t>
      </w:r>
    </w:p>
    <w:p>
      <w:pPr>
        <w:pStyle w:val="Heading2"/>
        <w:keepNext/>
        <w:spacing w:before="100" w:after="80"/>
      </w:pPr>
      <w:r>
        <w:rPr>
          <w:rFonts w:ascii="Aptos Display" w:hAnsi="Aptos Display"/>
          <w:b/>
          <w:i w:val="0"/>
          <w:color w:val="0F172A"/>
          <w:sz w:val="25"/>
        </w:rPr>
        <w:t>3.3 Pilot-stage design and final wider-release design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7"/>
              </w:rPr>
              <w:t>Validate now</w:t>
            </w:r>
          </w:p>
        </w:tc>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7"/>
              </w:rPr>
              <w:t>Can be refined later</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Readable text, clear hierarchy and controls that work.</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Final illustration style and decorative visual treatment.</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Mobile-responsive completion on common devices.</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Additional animation and richer visual effects.</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Activities that have clear instructions and valid completion paths.</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More elaborate interaction patterns where they add learning value.</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Feedback that helps the learner understand and improve a decision.</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Additional optional media and enrichment content.</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Assessment aligned to what the learner practised.</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7"/>
              </w:rPr>
              <w:t>Final public-facing branding polish.</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Core accessibility and observable usability barriers.</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Additional optimisation after the validated content/design is stable.</w:t>
            </w:r>
          </w:p>
        </w:tc>
      </w:tr>
    </w:tbl>
    <w:p>
      <w:pPr>
        <w:spacing w:after="20"/>
      </w:pPr>
    </w:p>
    <w:p>
      <w:pPr>
        <w:pStyle w:val="Heading1"/>
        <w:keepNext/>
        <w:spacing w:before="160" w:after="80"/>
      </w:pPr>
      <w:r>
        <w:rPr>
          <w:rFonts w:ascii="Aptos Display" w:hAnsi="Aptos Display"/>
          <w:b/>
          <w:i w:val="0"/>
          <w:color w:val="0F172A"/>
          <w:sz w:val="32"/>
        </w:rPr>
        <w:t>4. Internal Pilot Purpose, Scope and Decisions</w:t>
      </w: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91C852"/>
              <w:top w:val="single" w:sz="4" w:color="D8E6EA"/>
              <w:bottom w:val="single" w:sz="4" w:color="D8E6EA"/>
              <w:right w:val="single" w:sz="4" w:color="D8E6EA"/>
            </w:tcBorders>
          </w:tcPr>
          <w:p>
            <w:pPr>
              <w:spacing w:after="0"/>
            </w:pPr>
            <w:r>
              <w:rPr>
                <w:rFonts w:ascii="Aptos" w:hAnsi="Aptos"/>
                <w:b/>
                <w:i w:val="0"/>
                <w:color w:val="0F172A"/>
                <w:sz w:val="20"/>
              </w:rPr>
              <w:t>Internal pilot purpose</w:t>
              <w:br/>
            </w:r>
            <w:r>
              <w:rPr>
                <w:rFonts w:ascii="Aptos" w:hAnsi="Aptos"/>
                <w:b w:val="0"/>
                <w:i w:val="0"/>
                <w:color w:val="111827"/>
                <w:sz w:val="18"/>
              </w:rPr>
              <w:t>Determine whether the DEC CSO Learning Hub and the two Phase One courses provide a sufficiently reliable, relevant and useful foundation to proceed to the controlled selected-CSO pilot, while identifying the corrections and validation questions that must be addressed first.</w:t>
            </w:r>
          </w:p>
        </w:tc>
      </w:tr>
    </w:tbl>
    <w:p>
      <w:pPr>
        <w:spacing w:after="20"/>
      </w:pPr>
    </w:p>
    <w:p>
      <w:pPr>
        <w:pStyle w:val="Heading2"/>
        <w:keepNext/>
        <w:spacing w:before="100" w:after="80"/>
      </w:pPr>
      <w:r>
        <w:rPr>
          <w:rFonts w:ascii="Aptos Display" w:hAnsi="Aptos Display"/>
          <w:b/>
          <w:i w:val="0"/>
          <w:color w:val="0F172A"/>
          <w:sz w:val="25"/>
        </w:rPr>
        <w:t>4.1 What the pilot should help DEC decide</w:t>
      </w:r>
    </w:p>
    <w:p>
      <w:pPr>
        <w:pStyle w:val="ListBullet"/>
        <w:spacing w:after="40" w:line="252" w:lineRule="auto"/>
      </w:pPr>
      <w:r>
        <w:rPr>
          <w:rFonts w:ascii="Aptos" w:hAnsi="Aptos"/>
          <w:b w:val="0"/>
          <w:i w:val="0"/>
          <w:color w:val="111827"/>
          <w:sz w:val="19"/>
        </w:rPr>
        <w:t>Can a learner enter the Hub, reach the correct course, leave and return, progress through required activities, complete the assessment and access completion or certificate information?</w:t>
      </w:r>
    </w:p>
    <w:p>
      <w:pPr>
        <w:pStyle w:val="ListBullet"/>
        <w:spacing w:after="40" w:line="252" w:lineRule="auto"/>
      </w:pPr>
      <w:r>
        <w:rPr>
          <w:rFonts w:ascii="Aptos" w:hAnsi="Aptos"/>
          <w:b w:val="0"/>
          <w:i w:val="0"/>
          <w:color w:val="111827"/>
          <w:sz w:val="19"/>
        </w:rPr>
        <w:t>Are the course instructions, activities, feedback and assessments understandable and educationally sound?</w:t>
      </w:r>
    </w:p>
    <w:p>
      <w:pPr>
        <w:pStyle w:val="ListBullet"/>
        <w:spacing w:after="40" w:line="252" w:lineRule="auto"/>
      </w:pPr>
      <w:r>
        <w:rPr>
          <w:rFonts w:ascii="Aptos" w:hAnsi="Aptos"/>
          <w:b w:val="0"/>
          <w:i w:val="0"/>
          <w:color w:val="111827"/>
          <w:sz w:val="19"/>
        </w:rPr>
        <w:t>Do the courses help practitioners make better decisions about realistic CSO work rather than only remember terms?</w:t>
      </w:r>
    </w:p>
    <w:p>
      <w:pPr>
        <w:pStyle w:val="ListBullet"/>
        <w:spacing w:after="40" w:line="252" w:lineRule="auto"/>
      </w:pPr>
      <w:r>
        <w:rPr>
          <w:rFonts w:ascii="Aptos" w:hAnsi="Aptos"/>
          <w:b w:val="0"/>
          <w:i w:val="0"/>
          <w:color w:val="111827"/>
          <w:sz w:val="19"/>
        </w:rPr>
        <w:t>Are the language, cases, examples and tools credible and adaptable for local and grassroots CSOs?</w:t>
      </w:r>
    </w:p>
    <w:p>
      <w:pPr>
        <w:pStyle w:val="ListBullet"/>
        <w:spacing w:after="40" w:line="252" w:lineRule="auto"/>
      </w:pPr>
      <w:r>
        <w:rPr>
          <w:rFonts w:ascii="Aptos" w:hAnsi="Aptos"/>
          <w:b w:val="0"/>
          <w:i w:val="0"/>
          <w:color w:val="111827"/>
          <w:sz w:val="19"/>
        </w:rPr>
        <w:t>Can the learning be used on ordinary smartphones and standard computers under realistic internet conditions?</w:t>
      </w:r>
    </w:p>
    <w:p>
      <w:pPr>
        <w:pStyle w:val="ListBullet"/>
        <w:spacing w:after="40" w:line="252" w:lineRule="auto"/>
      </w:pPr>
      <w:r>
        <w:rPr>
          <w:rFonts w:ascii="Aptos" w:hAnsi="Aptos"/>
          <w:b w:val="0"/>
          <w:i w:val="0"/>
          <w:color w:val="111827"/>
          <w:sz w:val="19"/>
        </w:rPr>
        <w:t>Can DEC support learners, manage the courses and use the evidence to make clear improvement and readiness decisions?</w:t>
      </w:r>
    </w:p>
    <w:p>
      <w:pPr>
        <w:pStyle w:val="Heading2"/>
        <w:keepNext/>
        <w:spacing w:before="100" w:after="80"/>
      </w:pPr>
      <w:r>
        <w:rPr>
          <w:rFonts w:ascii="Aptos Display" w:hAnsi="Aptos Display"/>
          <w:b/>
          <w:i w:val="0"/>
          <w:color w:val="0F172A"/>
          <w:sz w:val="25"/>
        </w:rPr>
        <w:t>4.2 What is being tested</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38"/>
            <w:shd w:fill="0F172A"/>
            <w:tcMar>
              <w:top w:w="85" w:type="dxa"/>
              <w:start w:w="100" w:type="dxa"/>
              <w:bottom w:w="85" w:type="dxa"/>
              <w:end w:w="100" w:type="dxa"/>
            </w:tcMar>
            <w:vAlign w:val="center"/>
          </w:tcPr>
          <w:p>
            <w:pPr>
              <w:spacing w:after="0"/>
            </w:pPr>
            <w:r>
              <w:rPr>
                <w:rFonts w:ascii="Aptos" w:hAnsi="Aptos"/>
                <w:b/>
                <w:i w:val="0"/>
                <w:color w:val="FFFFFF"/>
                <w:sz w:val="17"/>
              </w:rPr>
              <w:t>Area</w:t>
            </w:r>
          </w:p>
        </w:tc>
        <w:tc>
          <w:tcPr>
            <w:tcW w:type="dxa" w:w="6860"/>
            <w:shd w:fill="0F172A"/>
            <w:tcMar>
              <w:top w:w="85" w:type="dxa"/>
              <w:start w:w="100" w:type="dxa"/>
              <w:bottom w:w="85" w:type="dxa"/>
              <w:end w:w="100" w:type="dxa"/>
            </w:tcMar>
            <w:vAlign w:val="center"/>
          </w:tcPr>
          <w:p>
            <w:pPr>
              <w:spacing w:after="0"/>
            </w:pPr>
            <w:r>
              <w:rPr>
                <w:rFonts w:ascii="Aptos" w:hAnsi="Aptos"/>
                <w:b/>
                <w:i w:val="0"/>
                <w:color w:val="FFFFFF"/>
                <w:sz w:val="17"/>
              </w:rPr>
              <w:t>Evidence sought</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7"/>
              </w:rPr>
              <w:t>Hub learner journey</w:t>
            </w:r>
          </w:p>
        </w:tc>
        <w:tc>
          <w:tcPr>
            <w:tcW w:type="dxa" w:w="6860"/>
            <w:tcMar>
              <w:top w:w="85" w:type="dxa"/>
              <w:start w:w="100" w:type="dxa"/>
              <w:bottom w:w="85" w:type="dxa"/>
              <w:end w:w="100" w:type="dxa"/>
            </w:tcMar>
            <w:vAlign w:val="top"/>
          </w:tcPr>
          <w:p>
            <w:pPr>
              <w:spacing w:after="0" w:line="240" w:lineRule="auto"/>
            </w:pPr>
            <w:r>
              <w:rPr>
                <w:rFonts w:ascii="Aptos" w:hAnsi="Aptos"/>
                <w:b w:val="0"/>
                <w:i w:val="0"/>
                <w:color w:val="111827"/>
                <w:sz w:val="17"/>
              </w:rPr>
              <w:t>Registration/activation, sign-in, correct course access, saved progress, assessment, completion, certificate, return and support route.</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HRBA course</w:t>
            </w:r>
          </w:p>
        </w:tc>
        <w:tc>
          <w:tcPr>
            <w:tcW w:type="dxa" w:w="686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Whether the guided learning helps practitioners analyse context, rights and responsibility, power, participation, risk, project design, implementation, accountability and MEAL.</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7"/>
              </w:rPr>
              <w:t>Project Management course</w:t>
            </w:r>
          </w:p>
        </w:tc>
        <w:tc>
          <w:tcPr>
            <w:tcW w:type="dxa" w:w="6860"/>
            <w:tcMar>
              <w:top w:w="85" w:type="dxa"/>
              <w:start w:w="100" w:type="dxa"/>
              <w:bottom w:w="85" w:type="dxa"/>
              <w:end w:w="100" w:type="dxa"/>
            </w:tcMar>
            <w:vAlign w:val="top"/>
          </w:tcPr>
          <w:p>
            <w:pPr>
              <w:spacing w:after="0" w:line="240" w:lineRule="auto"/>
            </w:pPr>
            <w:r>
              <w:rPr>
                <w:rFonts w:ascii="Aptos" w:hAnsi="Aptos"/>
                <w:b w:val="0"/>
                <w:i w:val="0"/>
                <w:color w:val="111827"/>
                <w:sz w:val="17"/>
              </w:rPr>
              <w:t>Whether the learning supports practical decisions about purpose, results, stakeholders, roles, planning, time/resources, risk, implementation, adaptation, closure and learning.</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Learning quality</w:t>
            </w:r>
          </w:p>
        </w:tc>
        <w:tc>
          <w:tcPr>
            <w:tcW w:type="dxa" w:w="686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Clear instructions, manageable navigation/pacing, meaningful practice, useful feedback and assessment alignment.</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7"/>
              </w:rPr>
              <w:t>Context &amp; inclusion</w:t>
            </w:r>
          </w:p>
        </w:tc>
        <w:tc>
          <w:tcPr>
            <w:tcW w:type="dxa" w:w="6860"/>
            <w:tcMar>
              <w:top w:w="85" w:type="dxa"/>
              <w:start w:w="100" w:type="dxa"/>
              <w:bottom w:w="85" w:type="dxa"/>
              <w:end w:w="100" w:type="dxa"/>
            </w:tcMar>
            <w:vAlign w:val="top"/>
          </w:tcPr>
          <w:p>
            <w:pPr>
              <w:spacing w:after="0" w:line="240" w:lineRule="auto"/>
            </w:pPr>
            <w:r>
              <w:rPr>
                <w:rFonts w:ascii="Aptos" w:hAnsi="Aptos"/>
                <w:b w:val="0"/>
                <w:i w:val="0"/>
                <w:color w:val="111827"/>
                <w:sz w:val="17"/>
              </w:rPr>
              <w:t>Plain language, credible cases, respectful representation and realistic constraints.</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Application</w:t>
            </w:r>
          </w:p>
        </w:tc>
        <w:tc>
          <w:tcPr>
            <w:tcW w:type="dxa" w:w="686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Whether a learner can identify a realistic way to use or adapt the learning in CSO work.</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7"/>
              </w:rPr>
              <w:t>DEC readiness</w:t>
            </w:r>
          </w:p>
        </w:tc>
        <w:tc>
          <w:tcPr>
            <w:tcW w:type="dxa" w:w="6860"/>
            <w:tcMar>
              <w:top w:w="85" w:type="dxa"/>
              <w:start w:w="100" w:type="dxa"/>
              <w:bottom w:w="85" w:type="dxa"/>
              <w:end w:w="100" w:type="dxa"/>
            </w:tcMar>
            <w:vAlign w:val="top"/>
          </w:tcPr>
          <w:p>
            <w:pPr>
              <w:spacing w:after="0" w:line="240" w:lineRule="auto"/>
            </w:pPr>
            <w:r>
              <w:rPr>
                <w:rFonts w:ascii="Aptos" w:hAnsi="Aptos"/>
                <w:b w:val="0"/>
                <w:i w:val="0"/>
                <w:color w:val="111827"/>
                <w:sz w:val="17"/>
              </w:rPr>
              <w:t>Support, records, feedback, administration and evidence-to-action processes.</w:t>
            </w:r>
          </w:p>
        </w:tc>
      </w:tr>
    </w:tbl>
    <w:p>
      <w:pPr>
        <w:spacing w:after="20"/>
      </w:pPr>
    </w:p>
    <w:p>
      <w:pPr>
        <w:pStyle w:val="Heading1"/>
        <w:keepNext/>
        <w:spacing w:before="160" w:after="80"/>
      </w:pPr>
      <w:r>
        <w:rPr>
          <w:rFonts w:ascii="Aptos Display" w:hAnsi="Aptos Display"/>
          <w:b/>
          <w:i w:val="0"/>
          <w:color w:val="0F172A"/>
          <w:sz w:val="32"/>
        </w:rPr>
        <w:t>5. What Must Be Good Enough at This Stage</w:t>
      </w:r>
    </w:p>
    <w:p>
      <w:pPr>
        <w:spacing w:before="0" w:after="80" w:line="259" w:lineRule="auto"/>
      </w:pPr>
      <w:r>
        <w:rPr>
          <w:rFonts w:ascii="Aptos" w:hAnsi="Aptos"/>
          <w:b w:val="0"/>
          <w:i w:val="0"/>
          <w:color w:val="111827"/>
          <w:sz w:val="19"/>
        </w:rPr>
        <w:t>Internal reviewers should judge the minimum needed for a credible selected-CSO pilot, not the level of polish expected after all validation is complete.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139"/>
            <w:shd w:fill="0F172A"/>
            <w:tcMar>
              <w:top w:w="85" w:type="dxa"/>
              <w:start w:w="100" w:type="dxa"/>
              <w:bottom w:w="85" w:type="dxa"/>
              <w:end w:w="100" w:type="dxa"/>
            </w:tcMar>
            <w:vAlign w:val="center"/>
          </w:tcPr>
          <w:p>
            <w:pPr>
              <w:spacing w:after="0"/>
            </w:pPr>
            <w:r>
              <w:rPr>
                <w:rFonts w:ascii="Aptos" w:hAnsi="Aptos"/>
                <w:b/>
                <w:i w:val="0"/>
                <w:color w:val="FFFFFF"/>
                <w:sz w:val="16"/>
              </w:rPr>
              <w:t>Minimum requirement now</w:t>
            </w:r>
          </w:p>
        </w:tc>
        <w:tc>
          <w:tcPr>
            <w:tcW w:type="dxa" w:w="5159"/>
            <w:shd w:fill="0F172A"/>
            <w:tcMar>
              <w:top w:w="85" w:type="dxa"/>
              <w:start w:w="100" w:type="dxa"/>
              <w:bottom w:w="85" w:type="dxa"/>
              <w:end w:w="100" w:type="dxa"/>
            </w:tcMar>
            <w:vAlign w:val="center"/>
          </w:tcPr>
          <w:p>
            <w:pPr>
              <w:spacing w:after="0"/>
            </w:pPr>
            <w:r>
              <w:rPr>
                <w:rFonts w:ascii="Aptos" w:hAnsi="Aptos"/>
                <w:b/>
                <w:i w:val="0"/>
                <w:color w:val="FFFFFF"/>
                <w:sz w:val="16"/>
              </w:rPr>
              <w:t>Why it matters</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Core content is accurate, credible and safe.</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Incorrect or misleading content should not be carried into the selected-CSO pilot.</w:t>
            </w:r>
          </w:p>
        </w:tc>
      </w:tr>
      <w:tr>
        <w:trPr>
          <w:cantSplit/>
        </w:trPr>
        <w:tc>
          <w:tcPr>
            <w:tcW w:type="dxa" w:w="413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course has a clear practical learning purpose.</w:t>
            </w:r>
          </w:p>
        </w:tc>
        <w:tc>
          <w:tcPr>
            <w:tcW w:type="dxa" w:w="515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A digital course should help learners recognise, decide or do something useful.</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Activities have valid, understandable completion paths.</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A learner must be able to complete what the course requires.</w:t>
            </w:r>
          </w:p>
        </w:tc>
      </w:tr>
      <w:tr>
        <w:trPr>
          <w:cantSplit/>
        </w:trPr>
        <w:tc>
          <w:tcPr>
            <w:tcW w:type="dxa" w:w="413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Corrective feedback supports learning.</w:t>
            </w:r>
          </w:p>
        </w:tc>
        <w:tc>
          <w:tcPr>
            <w:tcW w:type="dxa" w:w="515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Difficulty should help build judgment, not create a trap.</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Assessment reflects what the learner practised.</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Completion should represent the intended learning, not unrelated recall.</w:t>
            </w:r>
          </w:p>
        </w:tc>
      </w:tr>
      <w:tr>
        <w:trPr>
          <w:cantSplit/>
        </w:trPr>
        <w:tc>
          <w:tcPr>
            <w:tcW w:type="dxa" w:w="413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Mobile use is workable on ordinary devices.</w:t>
            </w:r>
          </w:p>
        </w:tc>
        <w:tc>
          <w:tcPr>
            <w:tcW w:type="dxa" w:w="515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Target users will not all use high-specification devices.</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Text, visuals and controls remain usable and understandable.</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Readability and usable controls are core learning requirements.</w:t>
            </w:r>
          </w:p>
        </w:tc>
      </w:tr>
      <w:tr>
        <w:trPr>
          <w:cantSplit/>
        </w:trPr>
        <w:tc>
          <w:tcPr>
            <w:tcW w:type="dxa" w:w="413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Major accessibility barriers are identifiable and acted on.</w:t>
            </w:r>
          </w:p>
        </w:tc>
        <w:tc>
          <w:tcPr>
            <w:tcW w:type="dxa" w:w="515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A learner should not be excluded by avoidable design barriers.</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Access, progress, completion and learner records are reliable.</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The learning service must preserve the right learner's journey.</w:t>
            </w:r>
          </w:p>
        </w:tc>
      </w:tr>
      <w:tr>
        <w:trPr>
          <w:cantSplit/>
        </w:trPr>
        <w:tc>
          <w:tcPr>
            <w:tcW w:type="dxa" w:w="413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Performance remains reasonable under variable or interrupted internet connectivity.</w:t>
            </w:r>
          </w:p>
        </w:tc>
        <w:tc>
          <w:tcPr>
            <w:tcW w:type="dxa" w:w="515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course needs to fit realistic access conditions.</w:t>
            </w:r>
          </w:p>
        </w:tc>
      </w:tr>
      <w:tr>
        <w:trPr>
          <w:cantSplit/>
        </w:trPr>
        <w:tc>
          <w:tcPr>
            <w:tcW w:type="dxa" w:w="4139"/>
            <w:tcMar>
              <w:top w:w="85" w:type="dxa"/>
              <w:start w:w="100" w:type="dxa"/>
              <w:bottom w:w="85" w:type="dxa"/>
              <w:end w:w="100" w:type="dxa"/>
            </w:tcMar>
            <w:vAlign w:val="top"/>
          </w:tcPr>
          <w:p>
            <w:pPr>
              <w:spacing w:after="0" w:line="240" w:lineRule="auto"/>
            </w:pPr>
            <w:r>
              <w:rPr>
                <w:rFonts w:ascii="Aptos" w:hAnsi="Aptos"/>
                <w:b w:val="0"/>
                <w:i w:val="0"/>
                <w:color w:val="111827"/>
                <w:sz w:val="16"/>
              </w:rPr>
              <w:t>Language, examples and tools are relevant to local/grassroots CSO practice.</w:t>
            </w:r>
          </w:p>
        </w:tc>
        <w:tc>
          <w:tcPr>
            <w:tcW w:type="dxa" w:w="5159"/>
            <w:tcMar>
              <w:top w:w="85" w:type="dxa"/>
              <w:start w:w="100" w:type="dxa"/>
              <w:bottom w:w="85" w:type="dxa"/>
              <w:end w:w="100" w:type="dxa"/>
            </w:tcMar>
            <w:vAlign w:val="top"/>
          </w:tcPr>
          <w:p>
            <w:pPr>
              <w:spacing w:after="0" w:line="240" w:lineRule="auto"/>
            </w:pPr>
            <w:r>
              <w:rPr>
                <w:rFonts w:ascii="Aptos" w:hAnsi="Aptos"/>
                <w:b w:val="0"/>
                <w:i w:val="0"/>
                <w:color w:val="111827"/>
                <w:sz w:val="16"/>
              </w:rPr>
              <w:t>Contextual fit is central to the value of the learning.</w:t>
            </w:r>
          </w:p>
        </w:tc>
      </w:tr>
    </w:tbl>
    <w:p>
      <w:pPr>
        <w:spacing w:after="20"/>
      </w:pPr>
    </w:p>
    <w:p>
      <w:pPr>
        <w:pStyle w:val="Heading2"/>
        <w:keepNext/>
        <w:spacing w:before="100" w:after="80"/>
      </w:pPr>
      <w:r>
        <w:rPr>
          <w:rFonts w:ascii="Aptos Display" w:hAnsi="Aptos Display"/>
          <w:b/>
          <w:i w:val="0"/>
          <w:color w:val="0F172A"/>
          <w:sz w:val="25"/>
        </w:rPr>
        <w:t>5.1 Design for realistic devices and internet conditions</w:t>
      </w:r>
    </w:p>
    <w:p>
      <w:pPr>
        <w:spacing w:before="0" w:after="80" w:line="259" w:lineRule="auto"/>
      </w:pPr>
      <w:r>
        <w:rPr>
          <w:rFonts w:ascii="Aptos" w:hAnsi="Aptos"/>
          <w:b w:val="0"/>
          <w:i w:val="0"/>
          <w:color w:val="111827"/>
          <w:sz w:val="19"/>
        </w:rPr>
        <w:t>A more technically elaborate interaction is not automatically a better learning interaction. Where a simple tap, selection or decision activity achieves the intended learning purpose more reliably than a precision-heavy interaction, the simpler option can be the better design choice. For example, a clear click/tap selection may be more robust than drag-and-drop on small touchscreens or less capable devices.</w:t>
      </w:r>
    </w:p>
    <w:p>
      <w:pPr>
        <w:spacing w:before="0" w:after="80" w:line="259" w:lineRule="auto"/>
      </w:pPr>
      <w:r>
        <w:rPr>
          <w:rFonts w:ascii="Aptos" w:hAnsi="Aptos"/>
          <w:b w:val="0"/>
          <w:i w:val="0"/>
          <w:color w:val="111827"/>
          <w:sz w:val="19"/>
        </w:rPr>
        <w:t>Do not rate a simple interaction lower merely because a more animated option is possible. Rate it based on whether it supports the intended learning clearly, accessibly and reliably.</w:t>
      </w:r>
    </w:p>
    <w:tbl>
      <w:tblPr>
        <w:tblW w:type="auto" w:w="0"/>
        <w:jc w:val="center"/>
        <w:tblLayout w:type="autofit"/>
        <w:tblLook w:firstColumn="1" w:firstRow="1" w:lastColumn="0" w:lastRow="0" w:noHBand="0" w:noVBand="1" w:val="04A0"/>
      </w:tblPr>
      <w:tblGrid>
        <w:gridCol w:w="9866"/>
      </w:tblGrid>
      <w:tr>
        <w:trPr>
          <w:cantSplit/>
        </w:trPr>
        <w:tc>
          <w:tcPr>
            <w:tcW w:type="dxa" w:w="9866"/>
            <w:shd w:fill="EEF6FB"/>
            <w:tcMar>
              <w:top w:w="110" w:type="dxa"/>
              <w:start w:w="130" w:type="dxa"/>
              <w:bottom w:w="110" w:type="dxa"/>
              <w:end w:w="130" w:type="dxa"/>
            </w:tcMar>
            <w:tcBorders>
              <w:left w:val="single" w:sz="18" w:color="3B99D4"/>
              <w:top w:val="single" w:sz="4" w:color="D8E6EA"/>
              <w:bottom w:val="single" w:sz="4" w:color="D8E6EA"/>
              <w:right w:val="single" w:sz="4" w:color="D8E6EA"/>
            </w:tcBorders>
          </w:tcPr>
          <w:p>
            <w:pPr>
              <w:spacing w:after="0"/>
            </w:pPr>
            <w:r>
              <w:rPr>
                <w:rFonts w:ascii="Aptos" w:hAnsi="Aptos"/>
                <w:b/>
                <w:i w:val="0"/>
                <w:color w:val="0F172A"/>
                <w:sz w:val="20"/>
              </w:rPr>
              <w:t>Accessibility during the internal pilot</w:t>
              <w:br/>
            </w:r>
            <w:r>
              <w:rPr>
                <w:rFonts w:ascii="Aptos" w:hAnsi="Aptos"/>
                <w:b w:val="0"/>
                <w:i w:val="0"/>
                <w:color w:val="111827"/>
                <w:sz w:val="18"/>
              </w:rPr>
              <w:t>Internal testers are expected to report observable barriers to reading, navigation, controls, media and completion. A formal technical accessibility audit is a separate quality-assurance task and should not be replaced by ordinary learner feedback.</w:t>
            </w:r>
          </w:p>
        </w:tc>
      </w:tr>
    </w:tbl>
    <w:p>
      <w:pPr>
        <w:spacing w:after="20"/>
      </w:pPr>
    </w:p>
    <w:p>
      <w:pPr>
        <w:pStyle w:val="Heading1"/>
        <w:keepNext/>
        <w:spacing w:before="160" w:after="80"/>
      </w:pPr>
      <w:r>
        <w:rPr>
          <w:rFonts w:ascii="Aptos Display" w:hAnsi="Aptos Display"/>
          <w:b/>
          <w:i w:val="0"/>
          <w:color w:val="0F172A"/>
          <w:sz w:val="32"/>
        </w:rPr>
        <w:t>6. Pilot Decision Horizons: What Must Be Fixed Now and What Can Wait</w:t>
      </w:r>
    </w:p>
    <w:p>
      <w:pPr>
        <w:spacing w:before="0" w:after="80" w:line="259" w:lineRule="auto"/>
      </w:pPr>
      <w:r>
        <w:rPr>
          <w:rFonts w:ascii="Aptos" w:hAnsi="Aptos"/>
          <w:b w:val="0"/>
          <w:i w:val="0"/>
          <w:color w:val="111827"/>
          <w:sz w:val="19"/>
        </w:rPr>
        <w:t>Every important finding should be considered against the next decision gate. The same issue can be important without being an immediate blocker.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6"/>
              </w:rPr>
              <w:t>Decision horizon</w:t>
            </w:r>
          </w:p>
        </w:tc>
        <w:tc>
          <w:tcPr>
            <w:tcW w:type="dxa" w:w="3402"/>
            <w:shd w:fill="0F172A"/>
            <w:tcMar>
              <w:top w:w="85" w:type="dxa"/>
              <w:start w:w="100" w:type="dxa"/>
              <w:bottom w:w="85" w:type="dxa"/>
              <w:end w:w="100" w:type="dxa"/>
            </w:tcMar>
            <w:vAlign w:val="center"/>
          </w:tcPr>
          <w:p>
            <w:pPr>
              <w:spacing w:after="0"/>
            </w:pPr>
            <w:r>
              <w:rPr>
                <w:rFonts w:ascii="Aptos" w:hAnsi="Aptos"/>
                <w:b/>
                <w:i w:val="0"/>
                <w:color w:val="FFFFFF"/>
                <w:sz w:val="16"/>
              </w:rPr>
              <w:t>Use when</w:t>
            </w:r>
          </w:p>
        </w:tc>
        <w:tc>
          <w:tcPr>
            <w:tcW w:type="dxa" w:w="3628"/>
            <w:shd w:fill="0F172A"/>
            <w:tcMar>
              <w:top w:w="85" w:type="dxa"/>
              <w:start w:w="100" w:type="dxa"/>
              <w:bottom w:w="85" w:type="dxa"/>
              <w:end w:w="100" w:type="dxa"/>
            </w:tcMar>
            <w:vAlign w:val="center"/>
          </w:tcPr>
          <w:p>
            <w:pPr>
              <w:spacing w:after="0"/>
            </w:pPr>
            <w:r>
              <w:rPr>
                <w:rFonts w:ascii="Aptos" w:hAnsi="Aptos"/>
                <w:b/>
                <w:i w:val="0"/>
                <w:color w:val="FFFFFF"/>
                <w:sz w:val="16"/>
              </w:rPr>
              <w:t>Typical examples</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6"/>
              </w:rPr>
              <w:t>1. Stop / Fix during internal pilot</w:t>
            </w:r>
          </w:p>
        </w:tc>
        <w:tc>
          <w:tcPr>
            <w:tcW w:type="dxa" w:w="3402"/>
            <w:tcMar>
              <w:top w:w="85" w:type="dxa"/>
              <w:start w:w="100" w:type="dxa"/>
              <w:bottom w:w="85" w:type="dxa"/>
              <w:end w:w="100" w:type="dxa"/>
            </w:tcMar>
            <w:vAlign w:val="top"/>
          </w:tcPr>
          <w:p>
            <w:pPr>
              <w:spacing w:after="0" w:line="240" w:lineRule="auto"/>
            </w:pPr>
            <w:r>
              <w:rPr>
                <w:rFonts w:ascii="Aptos" w:hAnsi="Aptos"/>
                <w:b w:val="0"/>
                <w:i w:val="0"/>
                <w:color w:val="111827"/>
                <w:sz w:val="16"/>
              </w:rPr>
              <w:t>The issue prevents valid testing, exposes learner information, creates a major learning error or makes a critical journey unreliable.</w:t>
            </w:r>
          </w:p>
        </w:tc>
        <w:tc>
          <w:tcPr>
            <w:tcW w:type="dxa" w:w="3628"/>
            <w:tcMar>
              <w:top w:w="85" w:type="dxa"/>
              <w:start w:w="100" w:type="dxa"/>
              <w:bottom w:w="85" w:type="dxa"/>
              <w:end w:w="100" w:type="dxa"/>
            </w:tcMar>
            <w:vAlign w:val="top"/>
          </w:tcPr>
          <w:p>
            <w:pPr>
              <w:spacing w:after="0" w:line="240" w:lineRule="auto"/>
            </w:pPr>
            <w:r>
              <w:rPr>
                <w:rFonts w:ascii="Aptos" w:hAnsi="Aptos"/>
                <w:b w:val="0"/>
                <w:i w:val="0"/>
                <w:color w:val="111827"/>
                <w:sz w:val="16"/>
              </w:rPr>
              <w:t>Cannot sign in/reach course; wrong learner record; required activity has no valid route; progress lost; assessment/completion materially fails; severe learning/access barrier.</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2. Resolve before selected-CSO pilot</w:t>
            </w:r>
          </w:p>
        </w:tc>
        <w:tc>
          <w:tcPr>
            <w:tcW w:type="dxa" w:w="3402"/>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internal pilot can continue, but the issue would materially reduce the quality or credibility of the external pilot.</w:t>
            </w:r>
          </w:p>
        </w:tc>
        <w:tc>
          <w:tcPr>
            <w:tcW w:type="dxa" w:w="362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Confusing instructions; repeated fragile navigation; misleading feedback; assessment mismatch; important contextual/content weakness; significant readability/accessibility issue.</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6"/>
              </w:rPr>
              <w:t>3. Improve before wider release</w:t>
            </w:r>
          </w:p>
        </w:tc>
        <w:tc>
          <w:tcPr>
            <w:tcW w:type="dxa" w:w="3402"/>
            <w:tcMar>
              <w:top w:w="85" w:type="dxa"/>
              <w:start w:w="100" w:type="dxa"/>
              <w:bottom w:w="85" w:type="dxa"/>
              <w:end w:w="100" w:type="dxa"/>
            </w:tcMar>
            <w:vAlign w:val="top"/>
          </w:tcPr>
          <w:p>
            <w:pPr>
              <w:spacing w:after="0" w:line="240" w:lineRule="auto"/>
            </w:pPr>
            <w:r>
              <w:rPr>
                <w:rFonts w:ascii="Aptos" w:hAnsi="Aptos"/>
                <w:b w:val="0"/>
                <w:i w:val="0"/>
                <w:color w:val="111827"/>
                <w:sz w:val="16"/>
              </w:rPr>
              <w:t>The selected-CSO pilot can still generate useful evidence, but the issue should be improved before broader use.</w:t>
            </w:r>
          </w:p>
        </w:tc>
        <w:tc>
          <w:tcPr>
            <w:tcW w:type="dxa" w:w="3628"/>
            <w:tcMar>
              <w:top w:w="85" w:type="dxa"/>
              <w:start w:w="100" w:type="dxa"/>
              <w:bottom w:w="85" w:type="dxa"/>
              <w:end w:w="100" w:type="dxa"/>
            </w:tcMar>
            <w:vAlign w:val="top"/>
          </w:tcPr>
          <w:p>
            <w:pPr>
              <w:spacing w:after="0" w:line="240" w:lineRule="auto"/>
            </w:pPr>
            <w:r>
              <w:rPr>
                <w:rFonts w:ascii="Aptos" w:hAnsi="Aptos"/>
                <w:b w:val="0"/>
                <w:i w:val="0"/>
                <w:color w:val="111827"/>
                <w:sz w:val="16"/>
              </w:rPr>
              <w:t>Final visual consistency; richer media; additional optional job aids; refined spacing/iconography; additional optimisation.</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4. Later programme / later phase</w:t>
            </w:r>
          </w:p>
        </w:tc>
        <w:tc>
          <w:tcPr>
            <w:tcW w:type="dxa" w:w="3402"/>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idea is valuable but belongs to the wider learning, knowledge-sharing or co-creation pathway rather than the immediate course validation.</w:t>
            </w:r>
          </w:p>
        </w:tc>
        <w:tc>
          <w:tcPr>
            <w:tcW w:type="dxa" w:w="362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Expanded multilingual/offline functions; peer-learning community; mentoring workflows; co-creation spaces; advanced collaboration tools.</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FFF4E5"/>
            <w:tcMar>
              <w:top w:w="110" w:type="dxa"/>
              <w:start w:w="130" w:type="dxa"/>
              <w:bottom w:w="110" w:type="dxa"/>
              <w:end w:w="130" w:type="dxa"/>
            </w:tcMar>
            <w:tcBorders>
              <w:left w:val="single" w:sz="18" w:color="F59E0B"/>
              <w:top w:val="single" w:sz="4" w:color="D8E6EA"/>
              <w:bottom w:val="single" w:sz="4" w:color="D8E6EA"/>
              <w:right w:val="single" w:sz="4" w:color="D8E6EA"/>
            </w:tcBorders>
          </w:tcPr>
          <w:p>
            <w:pPr>
              <w:spacing w:after="0"/>
            </w:pPr>
            <w:r>
              <w:rPr>
                <w:rFonts w:ascii="Aptos" w:hAnsi="Aptos"/>
                <w:b/>
                <w:i w:val="0"/>
                <w:color w:val="0F172A"/>
                <w:sz w:val="20"/>
              </w:rPr>
              <w:t>A useful pilot comment</w:t>
              <w:br/>
            </w:r>
            <w:r>
              <w:rPr>
                <w:rFonts w:ascii="Aptos" w:hAnsi="Aptos"/>
                <w:b w:val="0"/>
                <w:i w:val="0"/>
                <w:color w:val="111827"/>
                <w:sz w:val="18"/>
              </w:rPr>
              <w:t>“Important for the wider programme, but not a Phase One course blocker” is a valid and useful finding when supported by evidence.</w:t>
            </w:r>
          </w:p>
        </w:tc>
      </w:tr>
    </w:tbl>
    <w:p>
      <w:pPr>
        <w:spacing w:after="20"/>
      </w:pPr>
    </w:p>
    <w:p>
      <w:pPr>
        <w:pStyle w:val="Heading1"/>
        <w:keepNext/>
        <w:spacing w:before="160" w:after="80"/>
      </w:pPr>
      <w:r>
        <w:rPr>
          <w:rFonts w:ascii="Aptos Display" w:hAnsi="Aptos Display"/>
          <w:b/>
          <w:i w:val="0"/>
          <w:color w:val="0F172A"/>
          <w:sz w:val="32"/>
        </w:rPr>
        <w:t>7. HRBA Course Design Brief: Capacity-to-Action</w:t>
      </w:r>
    </w:p>
    <w:p>
      <w:pPr>
        <w:pStyle w:val="Heading2"/>
        <w:keepNext/>
        <w:spacing w:before="100" w:after="80"/>
      </w:pPr>
      <w:r>
        <w:rPr>
          <w:rFonts w:ascii="Aptos Display" w:hAnsi="Aptos Display"/>
          <w:b/>
          <w:i w:val="0"/>
          <w:color w:val="0F172A"/>
          <w:sz w:val="25"/>
        </w:rPr>
        <w:t>7.1 Course purpose</w:t>
      </w:r>
    </w:p>
    <w:p>
      <w:pPr>
        <w:spacing w:before="0" w:after="80" w:line="259" w:lineRule="auto"/>
      </w:pPr>
      <w:r>
        <w:rPr>
          <w:rFonts w:ascii="Aptos" w:hAnsi="Aptos"/>
          <w:b w:val="0"/>
          <w:i w:val="0"/>
          <w:color w:val="111827"/>
          <w:sz w:val="19"/>
        </w:rPr>
        <w:t>Applying the Human Rights-Based Approach in CSO Practice is best understood as a capacity-development intervention for improving how CSO practitioners analyse situations and make project decisions. Its main purpose is not to transmit HRBA terminology.</w:t>
      </w: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0F8F8C"/>
              <w:top w:val="single" w:sz="4" w:color="D8E6EA"/>
              <w:bottom w:val="single" w:sz="4" w:color="D8E6EA"/>
              <w:right w:val="single" w:sz="4" w:color="D8E6EA"/>
            </w:tcBorders>
          </w:tcPr>
          <w:p>
            <w:pPr>
              <w:spacing w:after="0"/>
            </w:pPr>
            <w:r>
              <w:rPr>
                <w:rFonts w:ascii="Aptos" w:hAnsi="Aptos"/>
                <w:b/>
                <w:i w:val="0"/>
                <w:color w:val="0F172A"/>
                <w:sz w:val="20"/>
              </w:rPr>
              <w:t>Intended HRBA capacity result</w:t>
              <w:br/>
            </w:r>
            <w:r>
              <w:rPr>
                <w:rFonts w:ascii="Aptos" w:hAnsi="Aptos"/>
                <w:b w:val="0"/>
                <w:i w:val="0"/>
                <w:color w:val="111827"/>
                <w:sz w:val="18"/>
              </w:rPr>
              <w:t>Local and grassroots CSOs make more inclusive, accountable, safe, context-sensitive and evidence-informed project decisions using HRBA across analysis and design, implementation and MEAL.</w:t>
            </w:r>
          </w:p>
        </w:tc>
      </w:tr>
    </w:tbl>
    <w:p>
      <w:pPr>
        <w:spacing w:after="20"/>
      </w:pPr>
    </w:p>
    <w:p>
      <w:pPr>
        <w:pStyle w:val="Heading2"/>
        <w:keepNext/>
        <w:spacing w:before="100" w:after="80"/>
      </w:pPr>
      <w:r>
        <w:rPr>
          <w:rFonts w:ascii="Aptos Display" w:hAnsi="Aptos Display"/>
          <w:b/>
          <w:i w:val="0"/>
          <w:color w:val="0F172A"/>
          <w:sz w:val="25"/>
        </w:rPr>
        <w:t>7.2 Capacity-to-Action pathway</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438"/>
            <w:shd w:fill="0F172A"/>
            <w:tcMar>
              <w:top w:w="85" w:type="dxa"/>
              <w:start w:w="100" w:type="dxa"/>
              <w:bottom w:w="85" w:type="dxa"/>
              <w:end w:w="100" w:type="dxa"/>
            </w:tcMar>
            <w:vAlign w:val="center"/>
          </w:tcPr>
          <w:p>
            <w:pPr>
              <w:spacing w:after="0"/>
            </w:pPr>
            <w:r>
              <w:rPr>
                <w:rFonts w:ascii="Aptos" w:hAnsi="Aptos"/>
                <w:b/>
                <w:i w:val="0"/>
                <w:color w:val="FFFFFF"/>
                <w:sz w:val="15"/>
              </w:rPr>
              <w:t>Priority action</w:t>
            </w:r>
          </w:p>
        </w:tc>
        <w:tc>
          <w:tcPr>
            <w:tcW w:type="dxa" w:w="3572"/>
            <w:shd w:fill="0F172A"/>
            <w:tcMar>
              <w:top w:w="85" w:type="dxa"/>
              <w:start w:w="100" w:type="dxa"/>
              <w:bottom w:w="85" w:type="dxa"/>
              <w:end w:w="100" w:type="dxa"/>
            </w:tcMar>
            <w:vAlign w:val="center"/>
          </w:tcPr>
          <w:p>
            <w:pPr>
              <w:spacing w:after="0"/>
            </w:pPr>
            <w:r>
              <w:rPr>
                <w:rFonts w:ascii="Aptos" w:hAnsi="Aptos"/>
                <w:b/>
                <w:i w:val="0"/>
                <w:color w:val="FFFFFF"/>
                <w:sz w:val="15"/>
              </w:rPr>
              <w:t>What it means in CSO practice</w:t>
            </w:r>
          </w:p>
        </w:tc>
        <w:tc>
          <w:tcPr>
            <w:tcW w:type="dxa" w:w="3288"/>
            <w:shd w:fill="0F172A"/>
            <w:tcMar>
              <w:top w:w="85" w:type="dxa"/>
              <w:start w:w="100" w:type="dxa"/>
              <w:bottom w:w="85" w:type="dxa"/>
              <w:end w:w="100" w:type="dxa"/>
            </w:tcMar>
            <w:vAlign w:val="center"/>
          </w:tcPr>
          <w:p>
            <w:pPr>
              <w:spacing w:after="0"/>
            </w:pPr>
            <w:r>
              <w:rPr>
                <w:rFonts w:ascii="Aptos" w:hAnsi="Aptos"/>
                <w:b/>
                <w:i w:val="0"/>
                <w:color w:val="FFFFFF"/>
                <w:sz w:val="15"/>
              </w:rPr>
              <w:t>Where the course should build it</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Diagnose context and inequality</w:t>
            </w:r>
          </w:p>
        </w:tc>
        <w:tc>
          <w:tcPr>
            <w:tcW w:type="dxa" w:w="3572"/>
            <w:tcMar>
              <w:top w:w="85" w:type="dxa"/>
              <w:start w:w="100" w:type="dxa"/>
              <w:bottom w:w="85" w:type="dxa"/>
              <w:end w:w="100" w:type="dxa"/>
            </w:tcMar>
            <w:vAlign w:val="top"/>
          </w:tcPr>
          <w:p>
            <w:pPr>
              <w:spacing w:after="0" w:line="240" w:lineRule="auto"/>
            </w:pPr>
            <w:r>
              <w:rPr>
                <w:rFonts w:ascii="Aptos" w:hAnsi="Aptos"/>
                <w:b w:val="0"/>
                <w:i w:val="0"/>
                <w:color w:val="111827"/>
                <w:sz w:val="15"/>
              </w:rPr>
              <w:t>Ask who is affected differently, who is missing, what barriers exist and why.</w:t>
            </w:r>
          </w:p>
        </w:tc>
        <w:tc>
          <w:tcPr>
            <w:tcW w:type="dxa" w:w="3288"/>
            <w:tcMar>
              <w:top w:w="85" w:type="dxa"/>
              <w:start w:w="100" w:type="dxa"/>
              <w:bottom w:w="85" w:type="dxa"/>
              <w:end w:w="100" w:type="dxa"/>
            </w:tcMar>
            <w:vAlign w:val="top"/>
          </w:tcPr>
          <w:p>
            <w:pPr>
              <w:spacing w:after="0" w:line="240" w:lineRule="auto"/>
            </w:pPr>
            <w:r>
              <w:rPr>
                <w:rFonts w:ascii="Aptos" w:hAnsi="Aptos"/>
                <w:b w:val="0"/>
                <w:i w:val="0"/>
                <w:color w:val="111827"/>
                <w:sz w:val="15"/>
              </w:rPr>
              <w:t>Context &amp; Inequality Scan; rights-holder/barrier analysis.</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Clarify rights, responsibilities and CSO role</w:t>
            </w:r>
          </w:p>
        </w:tc>
        <w:tc>
          <w:tcPr>
            <w:tcW w:type="dxa" w:w="3572"/>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Distinguish rights-holders, duty-bearers, supporting actors and what the CSO can appropriately do.</w:t>
            </w:r>
          </w:p>
        </w:tc>
        <w:tc>
          <w:tcPr>
            <w:tcW w:type="dxa" w:w="328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Foundations; actor/responsibility work; implementation role-boundary decisions.</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Analyse power, participation and exclusion</w:t>
            </w:r>
          </w:p>
        </w:tc>
        <w:tc>
          <w:tcPr>
            <w:tcW w:type="dxa" w:w="3572"/>
            <w:tcMar>
              <w:top w:w="85" w:type="dxa"/>
              <w:start w:w="100" w:type="dxa"/>
              <w:bottom w:w="85" w:type="dxa"/>
              <w:end w:w="100" w:type="dxa"/>
            </w:tcMar>
            <w:vAlign w:val="top"/>
          </w:tcPr>
          <w:p>
            <w:pPr>
              <w:spacing w:after="0" w:line="240" w:lineRule="auto"/>
            </w:pPr>
            <w:r>
              <w:rPr>
                <w:rFonts w:ascii="Aptos" w:hAnsi="Aptos"/>
                <w:b w:val="0"/>
                <w:i w:val="0"/>
                <w:color w:val="111827"/>
                <w:sz w:val="15"/>
              </w:rPr>
              <w:t>Identify influence, gatekeeping, weak voice and whether participation creates meaningful influence.</w:t>
            </w:r>
          </w:p>
        </w:tc>
        <w:tc>
          <w:tcPr>
            <w:tcW w:type="dxa" w:w="3288"/>
            <w:tcMar>
              <w:top w:w="85" w:type="dxa"/>
              <w:start w:w="100" w:type="dxa"/>
              <w:bottom w:w="85" w:type="dxa"/>
              <w:end w:w="100" w:type="dxa"/>
            </w:tcMar>
            <w:vAlign w:val="top"/>
          </w:tcPr>
          <w:p>
            <w:pPr>
              <w:spacing w:after="0" w:line="240" w:lineRule="auto"/>
            </w:pPr>
            <w:r>
              <w:rPr>
                <w:rFonts w:ascii="Aptos" w:hAnsi="Aptos"/>
                <w:b w:val="0"/>
                <w:i w:val="0"/>
                <w:color w:val="111827"/>
                <w:sz w:val="15"/>
              </w:rPr>
              <w:t>Power &amp; Influence Map; inclusion checks; participation/accountability work.</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Convert analysis into better design</w:t>
            </w:r>
          </w:p>
        </w:tc>
        <w:tc>
          <w:tcPr>
            <w:tcW w:type="dxa" w:w="3572"/>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Change objectives, activities, logic, accessibility, assumptions or indicators when analysis shows a gap.</w:t>
            </w:r>
          </w:p>
        </w:tc>
        <w:tc>
          <w:tcPr>
            <w:tcW w:type="dxa" w:w="328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HRBA Project Design Repair and related design activities.</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Anticipate risk and do no harm</w:t>
            </w:r>
          </w:p>
        </w:tc>
        <w:tc>
          <w:tcPr>
            <w:tcW w:type="dxa" w:w="3572"/>
            <w:tcMar>
              <w:top w:w="85" w:type="dxa"/>
              <w:start w:w="100" w:type="dxa"/>
              <w:bottom w:w="85" w:type="dxa"/>
              <w:end w:w="100" w:type="dxa"/>
            </w:tcMar>
            <w:vAlign w:val="top"/>
          </w:tcPr>
          <w:p>
            <w:pPr>
              <w:spacing w:after="0" w:line="240" w:lineRule="auto"/>
            </w:pPr>
            <w:r>
              <w:rPr>
                <w:rFonts w:ascii="Aptos" w:hAnsi="Aptos"/>
                <w:b w:val="0"/>
                <w:i w:val="0"/>
                <w:color w:val="111827"/>
                <w:sz w:val="15"/>
              </w:rPr>
              <w:t>Identify exposure, retaliation, confidentiality, exclusion and role/engagement risks before acting.</w:t>
            </w:r>
          </w:p>
        </w:tc>
        <w:tc>
          <w:tcPr>
            <w:tcW w:type="dxa" w:w="3288"/>
            <w:tcMar>
              <w:top w:w="85" w:type="dxa"/>
              <w:start w:w="100" w:type="dxa"/>
              <w:bottom w:w="85" w:type="dxa"/>
              <w:end w:w="100" w:type="dxa"/>
            </w:tcMar>
            <w:vAlign w:val="top"/>
          </w:tcPr>
          <w:p>
            <w:pPr>
              <w:spacing w:after="0" w:line="240" w:lineRule="auto"/>
            </w:pPr>
            <w:r>
              <w:rPr>
                <w:rFonts w:ascii="Aptos" w:hAnsi="Aptos"/>
                <w:b w:val="0"/>
                <w:i w:val="0"/>
                <w:color w:val="111827"/>
                <w:sz w:val="15"/>
              </w:rPr>
              <w:t>Risk and do-no-harm activities.</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Implement responsibly</w:t>
            </w:r>
          </w:p>
        </w:tc>
        <w:tc>
          <w:tcPr>
            <w:tcW w:type="dxa" w:w="3572"/>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Communicate, coordinate, engage and follow up without replacing duty-bearer responsibilities.</w:t>
            </w:r>
          </w:p>
        </w:tc>
        <w:tc>
          <w:tcPr>
            <w:tcW w:type="dxa" w:w="328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Module 4 implementation and responsibility-boundary decisions.</w:t>
            </w:r>
          </w:p>
        </w:tc>
      </w:tr>
      <w:tr>
        <w:trPr>
          <w:cantSplit/>
        </w:trPr>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Use MEAL evidence for accountability and adaptation</w:t>
            </w:r>
          </w:p>
        </w:tc>
        <w:tc>
          <w:tcPr>
            <w:tcW w:type="dxa" w:w="3572"/>
            <w:tcMar>
              <w:top w:w="85" w:type="dxa"/>
              <w:start w:w="100" w:type="dxa"/>
              <w:bottom w:w="85" w:type="dxa"/>
              <w:end w:w="100" w:type="dxa"/>
            </w:tcMar>
            <w:vAlign w:val="top"/>
          </w:tcPr>
          <w:p>
            <w:pPr>
              <w:spacing w:after="0" w:line="240" w:lineRule="auto"/>
            </w:pPr>
            <w:r>
              <w:rPr>
                <w:rFonts w:ascii="Aptos" w:hAnsi="Aptos"/>
                <w:b w:val="0"/>
                <w:i w:val="0"/>
                <w:color w:val="111827"/>
                <w:sz w:val="15"/>
              </w:rPr>
              <w:t>Move beyond counts; examine who benefited, who was missed, what changed and what should adapt.</w:t>
            </w:r>
          </w:p>
        </w:tc>
        <w:tc>
          <w:tcPr>
            <w:tcW w:type="dxa" w:w="3288"/>
            <w:tcMar>
              <w:top w:w="85" w:type="dxa"/>
              <w:start w:w="100" w:type="dxa"/>
              <w:bottom w:w="85" w:type="dxa"/>
              <w:end w:w="100" w:type="dxa"/>
            </w:tcMar>
            <w:vAlign w:val="top"/>
          </w:tcPr>
          <w:p>
            <w:pPr>
              <w:spacing w:after="0" w:line="240" w:lineRule="auto"/>
            </w:pPr>
            <w:r>
              <w:rPr>
                <w:rFonts w:ascii="Aptos" w:hAnsi="Aptos"/>
                <w:b w:val="0"/>
                <w:i w:val="0"/>
                <w:color w:val="111827"/>
                <w:sz w:val="15"/>
              </w:rPr>
              <w:t>Indicators, safe evidence/disaggregation, feedback-response and evidence-to-action activities.</w:t>
            </w:r>
          </w:p>
        </w:tc>
      </w:tr>
      <w:tr>
        <w:trPr>
          <w:cantSplit/>
        </w:trPr>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Review and adapt practice</w:t>
            </w:r>
          </w:p>
        </w:tc>
        <w:tc>
          <w:tcPr>
            <w:tcW w:type="dxa" w:w="3572"/>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Use evidence and reflection to identify a realistic next action rather than treating course completion as the end.</w:t>
            </w:r>
          </w:p>
        </w:tc>
        <w:tc>
          <w:tcPr>
            <w:tcW w:type="dxa" w:w="328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Portfolio-style outputs, final reflection and follow-up application.</w:t>
            </w:r>
          </w:p>
        </w:tc>
      </w:tr>
    </w:tbl>
    <w:p>
      <w:pPr>
        <w:spacing w:after="20"/>
      </w:pPr>
    </w:p>
    <w:p>
      <w:pPr>
        <w:pStyle w:val="Heading2"/>
        <w:keepNext/>
        <w:spacing w:before="100" w:after="80"/>
      </w:pPr>
      <w:r>
        <w:rPr>
          <w:rFonts w:ascii="Aptos Display" w:hAnsi="Aptos Display"/>
          <w:b/>
          <w:i w:val="0"/>
          <w:color w:val="0F172A"/>
          <w:sz w:val="25"/>
        </w:rPr>
        <w:t>7.3 What internal reviewers should pay particular attention to</w:t>
      </w:r>
    </w:p>
    <w:p>
      <w:pPr>
        <w:pStyle w:val="ListBullet"/>
        <w:spacing w:after="40" w:line="252" w:lineRule="auto"/>
      </w:pPr>
      <w:r>
        <w:rPr>
          <w:rFonts w:ascii="Aptos" w:hAnsi="Aptos"/>
          <w:b w:val="0"/>
          <w:i w:val="0"/>
          <w:color w:val="111827"/>
          <w:sz w:val="19"/>
        </w:rPr>
        <w:t>Does the course move HRBA beyond definitions and terminology into practical judgment?</w:t>
      </w:r>
    </w:p>
    <w:p>
      <w:pPr>
        <w:pStyle w:val="ListBullet"/>
        <w:spacing w:after="40" w:line="252" w:lineRule="auto"/>
      </w:pPr>
      <w:r>
        <w:rPr>
          <w:rFonts w:ascii="Aptos" w:hAnsi="Aptos"/>
          <w:b w:val="0"/>
          <w:i w:val="0"/>
          <w:color w:val="111827"/>
          <w:sz w:val="19"/>
        </w:rPr>
        <w:t>Does the learner distinguish rights-holders, duty-bearers and the appropriate role of a CSO?</w:t>
      </w:r>
    </w:p>
    <w:p>
      <w:pPr>
        <w:pStyle w:val="ListBullet"/>
        <w:spacing w:after="40" w:line="252" w:lineRule="auto"/>
      </w:pPr>
      <w:r>
        <w:rPr>
          <w:rFonts w:ascii="Aptos" w:hAnsi="Aptos"/>
          <w:b w:val="0"/>
          <w:i w:val="0"/>
          <w:color w:val="111827"/>
          <w:sz w:val="19"/>
        </w:rPr>
        <w:t>Does participation mean more than attendance - including voice, influence, access and follow-up?</w:t>
      </w:r>
    </w:p>
    <w:p>
      <w:pPr>
        <w:pStyle w:val="ListBullet"/>
        <w:spacing w:after="40" w:line="252" w:lineRule="auto"/>
      </w:pPr>
      <w:r>
        <w:rPr>
          <w:rFonts w:ascii="Aptos" w:hAnsi="Aptos"/>
          <w:b w:val="0"/>
          <w:i w:val="0"/>
          <w:color w:val="111827"/>
          <w:sz w:val="19"/>
        </w:rPr>
        <w:t>Do power, exclusion, gender, disability and other barriers affect the decisions the learner is asked to make?</w:t>
      </w:r>
    </w:p>
    <w:p>
      <w:pPr>
        <w:pStyle w:val="ListBullet"/>
        <w:spacing w:after="40" w:line="252" w:lineRule="auto"/>
      </w:pPr>
      <w:r>
        <w:rPr>
          <w:rFonts w:ascii="Aptos" w:hAnsi="Aptos"/>
          <w:b w:val="0"/>
          <w:i w:val="0"/>
          <w:color w:val="111827"/>
          <w:sz w:val="19"/>
        </w:rPr>
        <w:t>Does Module 3 analysis lead to actual changes in project design, rather than stopping at analysis?</w:t>
      </w:r>
    </w:p>
    <w:p>
      <w:pPr>
        <w:pStyle w:val="ListBullet"/>
        <w:spacing w:after="40" w:line="252" w:lineRule="auto"/>
      </w:pPr>
      <w:r>
        <w:rPr>
          <w:rFonts w:ascii="Aptos" w:hAnsi="Aptos"/>
          <w:b w:val="0"/>
          <w:i w:val="0"/>
          <w:color w:val="111827"/>
          <w:sz w:val="19"/>
        </w:rPr>
        <w:t>Does Module 4 maintain clear responsibility boundaries and use constructive engagement and adaptation?</w:t>
      </w:r>
    </w:p>
    <w:p>
      <w:pPr>
        <w:pStyle w:val="ListBullet"/>
        <w:spacing w:after="40" w:line="252" w:lineRule="auto"/>
      </w:pPr>
      <w:r>
        <w:rPr>
          <w:rFonts w:ascii="Aptos" w:hAnsi="Aptos"/>
          <w:b w:val="0"/>
          <w:i w:val="0"/>
          <w:color w:val="111827"/>
          <w:sz w:val="19"/>
        </w:rPr>
        <w:t>Does Module 5 connect evidence with accountability, learning and management decisions?</w:t>
      </w:r>
    </w:p>
    <w:p>
      <w:pPr>
        <w:pStyle w:val="ListBullet"/>
        <w:spacing w:after="40" w:line="252" w:lineRule="auto"/>
      </w:pPr>
      <w:r>
        <w:rPr>
          <w:rFonts w:ascii="Aptos" w:hAnsi="Aptos"/>
          <w:b w:val="0"/>
          <w:i w:val="0"/>
          <w:color w:val="111827"/>
          <w:sz w:val="19"/>
        </w:rPr>
        <w:t>Does corrective feedback explain why a weak choice is weak and help the learner improve the next decision?</w:t>
      </w:r>
    </w:p>
    <w:p>
      <w:pPr>
        <w:pStyle w:val="ListBullet"/>
        <w:spacing w:after="40" w:line="252" w:lineRule="auto"/>
      </w:pPr>
      <w:r>
        <w:rPr>
          <w:rFonts w:ascii="Aptos" w:hAnsi="Aptos"/>
          <w:b w:val="0"/>
          <w:i w:val="0"/>
          <w:color w:val="111827"/>
          <w:sz w:val="19"/>
        </w:rPr>
        <w:t>Does the final assessment test the same practical judgments that the course has helped the learner practise?</w:t>
      </w:r>
    </w:p>
    <w:p>
      <w:pPr>
        <w:pStyle w:val="ListBullet"/>
        <w:spacing w:after="40" w:line="252" w:lineRule="auto"/>
      </w:pPr>
      <w:r>
        <w:rPr>
          <w:rFonts w:ascii="Aptos" w:hAnsi="Aptos"/>
          <w:b w:val="0"/>
          <w:i w:val="0"/>
          <w:color w:val="111827"/>
          <w:sz w:val="19"/>
        </w:rPr>
        <w:t>Can the learner identify at least one tool, question or decision approach that could be adapted to actual CSO work?</w:t>
      </w:r>
    </w:p>
    <w:p>
      <w:pPr>
        <w:pStyle w:val="Heading2"/>
        <w:keepNext/>
        <w:spacing w:before="100" w:after="80"/>
      </w:pPr>
      <w:r>
        <w:rPr>
          <w:rFonts w:ascii="Aptos Display" w:hAnsi="Aptos Display"/>
          <w:b/>
          <w:i w:val="0"/>
          <w:color w:val="0F172A"/>
          <w:sz w:val="25"/>
        </w:rPr>
        <w:t>7.4 What the HRBA course should not be expected to solve alone</w:t>
      </w:r>
    </w:p>
    <w:p>
      <w:pPr>
        <w:spacing w:before="0" w:after="80" w:line="259" w:lineRule="auto"/>
      </w:pPr>
      <w:r>
        <w:rPr>
          <w:rFonts w:ascii="Aptos" w:hAnsi="Aptos"/>
          <w:b w:val="0"/>
          <w:i w:val="0"/>
          <w:color w:val="111827"/>
          <w:sz w:val="19"/>
        </w:rPr>
        <w:t>A course cannot by itself solve lack of budget, limited organisational authority, weak MEAL systems, sensitive external relationships, connectivity constraints or the need for local management decisions. Where a learner understands what should change but cannot act because of an organisational or contextual barrier, the correct response may be a job aid, management action, peer learning, coaching, organisational process change or later programme support - not more course content.</w:t>
      </w:r>
    </w:p>
    <w:p>
      <w:pPr>
        <w:pStyle w:val="Heading1"/>
        <w:keepNext/>
        <w:spacing w:before="160" w:after="80"/>
      </w:pPr>
      <w:r>
        <w:rPr>
          <w:rFonts w:ascii="Aptos Display" w:hAnsi="Aptos Display"/>
          <w:b/>
          <w:i w:val="0"/>
          <w:color w:val="0F172A"/>
          <w:sz w:val="32"/>
        </w:rPr>
        <w:t>8. Project Management Course Design Brief: Capacity-to-Action</w:t>
      </w:r>
    </w:p>
    <w:p>
      <w:pPr>
        <w:pStyle w:val="Heading2"/>
        <w:keepNext/>
        <w:spacing w:before="100" w:after="80"/>
      </w:pPr>
      <w:r>
        <w:rPr>
          <w:rFonts w:ascii="Aptos Display" w:hAnsi="Aptos Display"/>
          <w:b/>
          <w:i w:val="0"/>
          <w:color w:val="0F172A"/>
          <w:sz w:val="25"/>
        </w:rPr>
        <w:t>8.1 Course purpose</w:t>
      </w:r>
    </w:p>
    <w:p>
      <w:pPr>
        <w:spacing w:before="0" w:after="80" w:line="259" w:lineRule="auto"/>
      </w:pPr>
      <w:r>
        <w:rPr>
          <w:rFonts w:ascii="Aptos" w:hAnsi="Aptos"/>
          <w:b w:val="0"/>
          <w:i w:val="0"/>
          <w:color w:val="111827"/>
          <w:sz w:val="19"/>
        </w:rPr>
        <w:t>Project Management for Local and Grassroots CSOs is intended to strengthen practical project-management judgment across the project cycle. The course should help practitioners connect purpose, results, stakeholders, planning, resources, risks, implementation, monitoring, adaptation and closure rather than treating these as disconnected tools.</w:t>
      </w:r>
    </w:p>
    <w:tbl>
      <w:tblPr>
        <w:tblW w:type="auto" w:w="0"/>
        <w:jc w:val="center"/>
        <w:tblLayout w:type="autofit"/>
        <w:tblLook w:firstColumn="1" w:firstRow="1" w:lastColumn="0" w:lastRow="0" w:noHBand="0" w:noVBand="1" w:val="04A0"/>
      </w:tblPr>
      <w:tblGrid>
        <w:gridCol w:w="9866"/>
      </w:tblGrid>
      <w:tr>
        <w:trPr>
          <w:cantSplit/>
        </w:trPr>
        <w:tc>
          <w:tcPr>
            <w:tcW w:type="dxa" w:w="9866"/>
            <w:shd w:fill="EEF6FB"/>
            <w:tcMar>
              <w:top w:w="110" w:type="dxa"/>
              <w:start w:w="130" w:type="dxa"/>
              <w:bottom w:w="110" w:type="dxa"/>
              <w:end w:w="130" w:type="dxa"/>
            </w:tcMar>
            <w:tcBorders>
              <w:left w:val="single" w:sz="18" w:color="3B99D4"/>
              <w:top w:val="single" w:sz="4" w:color="D8E6EA"/>
              <w:bottom w:val="single" w:sz="4" w:color="D8E6EA"/>
              <w:right w:val="single" w:sz="4" w:color="D8E6EA"/>
            </w:tcBorders>
          </w:tcPr>
          <w:p>
            <w:pPr>
              <w:spacing w:after="0"/>
            </w:pPr>
            <w:r>
              <w:rPr>
                <w:rFonts w:ascii="Aptos" w:hAnsi="Aptos"/>
                <w:b/>
                <w:i w:val="0"/>
                <w:color w:val="0F172A"/>
                <w:sz w:val="20"/>
              </w:rPr>
              <w:t>Intended Project Management capacity result</w:t>
              <w:br/>
            </w:r>
            <w:r>
              <w:rPr>
                <w:rFonts w:ascii="Aptos" w:hAnsi="Aptos"/>
                <w:b w:val="0"/>
                <w:i w:val="0"/>
                <w:color w:val="111827"/>
                <w:sz w:val="18"/>
              </w:rPr>
              <w:t>CSO practitioners plan, coordinate, monitor, adapt and close projects using clear results, responsibilities, realistic resources, active risk management and evidence-informed decisions.</w:t>
            </w:r>
          </w:p>
        </w:tc>
      </w:tr>
    </w:tbl>
    <w:p>
      <w:pPr>
        <w:spacing w:after="20"/>
      </w:pPr>
    </w:p>
    <w:p>
      <w:pPr>
        <w:pStyle w:val="Heading2"/>
        <w:keepNext/>
        <w:spacing w:before="100" w:after="80"/>
      </w:pPr>
      <w:r>
        <w:rPr>
          <w:rFonts w:ascii="Aptos Display" w:hAnsi="Aptos Display"/>
          <w:b/>
          <w:i w:val="0"/>
          <w:color w:val="0F172A"/>
          <w:sz w:val="25"/>
        </w:rPr>
        <w:t>8.2 Capacity-to-Action pathway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F172A"/>
            <w:tcMar>
              <w:top w:w="85" w:type="dxa"/>
              <w:start w:w="100" w:type="dxa"/>
              <w:bottom w:w="85" w:type="dxa"/>
              <w:end w:w="100" w:type="dxa"/>
            </w:tcMar>
            <w:vAlign w:val="center"/>
          </w:tcPr>
          <w:p>
            <w:pPr>
              <w:spacing w:after="0"/>
            </w:pPr>
            <w:r>
              <w:rPr>
                <w:rFonts w:ascii="Aptos" w:hAnsi="Aptos"/>
                <w:b/>
                <w:i w:val="0"/>
                <w:color w:val="FFFFFF"/>
                <w:sz w:val="17"/>
              </w:rPr>
              <w:t>Priority action</w:t>
            </w:r>
          </w:p>
        </w:tc>
        <w:tc>
          <w:tcPr>
            <w:tcW w:type="dxa" w:w="6350"/>
            <w:shd w:fill="0F172A"/>
            <w:tcMar>
              <w:top w:w="85" w:type="dxa"/>
              <w:start w:w="100" w:type="dxa"/>
              <w:bottom w:w="85" w:type="dxa"/>
              <w:end w:w="100" w:type="dxa"/>
            </w:tcMar>
            <w:vAlign w:val="center"/>
          </w:tcPr>
          <w:p>
            <w:pPr>
              <w:spacing w:after="0"/>
            </w:pPr>
            <w:r>
              <w:rPr>
                <w:rFonts w:ascii="Aptos" w:hAnsi="Aptos"/>
                <w:b/>
                <w:i w:val="0"/>
                <w:color w:val="FFFFFF"/>
                <w:sz w:val="17"/>
              </w:rPr>
              <w:t>What reviewers should see in the learning</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Clarify purpose and results</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Learners connect the problem/context to realistic objectives and results.</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Identify stakeholders and responsibilities</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Learners decide who needs to be involved and who owns what.</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Structure and plan the work</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Activities, deliverables and sequencing form a workable plan.</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Align time, resources and budget</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Planning decisions recognise practical resource constraints and trade-offs.</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Anticipate risks, assumptions, issues and change</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Learners distinguish and respond to uncertainty rather than only list risks.</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Monitor and adapt</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Progress and evidence lead to management decisions.</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Close, hand over and learn</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Closure is treated as a project-management responsibility, not an administrative afterthought.</w:t>
            </w:r>
          </w:p>
        </w:tc>
      </w:tr>
    </w:tbl>
    <w:p>
      <w:pPr>
        <w:spacing w:after="20"/>
      </w:pPr>
    </w:p>
    <w:p>
      <w:pPr>
        <w:pStyle w:val="Heading2"/>
        <w:keepNext/>
        <w:spacing w:before="100" w:after="80"/>
      </w:pPr>
      <w:r>
        <w:rPr>
          <w:rFonts w:ascii="Aptos Display" w:hAnsi="Aptos Display"/>
          <w:b/>
          <w:i w:val="0"/>
          <w:color w:val="0F172A"/>
          <w:sz w:val="25"/>
        </w:rPr>
        <w:t>8.3 What internal reviewers should pay particular attention to</w:t>
      </w:r>
    </w:p>
    <w:p>
      <w:pPr>
        <w:pStyle w:val="ListBullet"/>
        <w:spacing w:after="40" w:line="252" w:lineRule="auto"/>
      </w:pPr>
      <w:r>
        <w:rPr>
          <w:rFonts w:ascii="Aptos" w:hAnsi="Aptos"/>
          <w:b w:val="0"/>
          <w:i w:val="0"/>
          <w:color w:val="111827"/>
          <w:sz w:val="19"/>
        </w:rPr>
        <w:t>Does the continuing project case make the tools feel connected rather than isolated?</w:t>
      </w:r>
    </w:p>
    <w:p>
      <w:pPr>
        <w:pStyle w:val="ListBullet"/>
        <w:spacing w:after="40" w:line="252" w:lineRule="auto"/>
      </w:pPr>
      <w:r>
        <w:rPr>
          <w:rFonts w:ascii="Aptos" w:hAnsi="Aptos"/>
          <w:b w:val="0"/>
          <w:i w:val="0"/>
          <w:color w:val="111827"/>
          <w:sz w:val="19"/>
        </w:rPr>
        <w:t>Do learners make realistic project decisions rather than mainly memorise definitions?</w:t>
      </w:r>
    </w:p>
    <w:p>
      <w:pPr>
        <w:pStyle w:val="ListBullet"/>
        <w:spacing w:after="40" w:line="252" w:lineRule="auto"/>
      </w:pPr>
      <w:r>
        <w:rPr>
          <w:rFonts w:ascii="Aptos" w:hAnsi="Aptos"/>
          <w:b w:val="0"/>
          <w:i w:val="0"/>
          <w:color w:val="111827"/>
          <w:sz w:val="19"/>
        </w:rPr>
        <w:t>Are purpose, results, stakeholders, roles and planning logically connected?</w:t>
      </w:r>
    </w:p>
    <w:p>
      <w:pPr>
        <w:pStyle w:val="ListBullet"/>
        <w:spacing w:after="40" w:line="252" w:lineRule="auto"/>
      </w:pPr>
      <w:r>
        <w:rPr>
          <w:rFonts w:ascii="Aptos" w:hAnsi="Aptos"/>
          <w:b w:val="0"/>
          <w:i w:val="0"/>
          <w:color w:val="111827"/>
          <w:sz w:val="19"/>
        </w:rPr>
        <w:t>Do planning activities link deliverables, time, resources and budget?</w:t>
      </w:r>
    </w:p>
    <w:p>
      <w:pPr>
        <w:pStyle w:val="ListBullet"/>
        <w:spacing w:after="40" w:line="252" w:lineRule="auto"/>
      </w:pPr>
      <w:r>
        <w:rPr>
          <w:rFonts w:ascii="Aptos" w:hAnsi="Aptos"/>
          <w:b w:val="0"/>
          <w:i w:val="0"/>
          <w:color w:val="111827"/>
          <w:sz w:val="19"/>
        </w:rPr>
        <w:t>Do risk, assumption, issue and change activities improve decision-making?</w:t>
      </w:r>
    </w:p>
    <w:p>
      <w:pPr>
        <w:pStyle w:val="ListBullet"/>
        <w:spacing w:after="40" w:line="252" w:lineRule="auto"/>
      </w:pPr>
      <w:r>
        <w:rPr>
          <w:rFonts w:ascii="Aptos" w:hAnsi="Aptos"/>
          <w:b w:val="0"/>
          <w:i w:val="0"/>
          <w:color w:val="111827"/>
          <w:sz w:val="19"/>
        </w:rPr>
        <w:t>Does monitoring lead to adaptation rather than reporting only?</w:t>
      </w:r>
    </w:p>
    <w:p>
      <w:pPr>
        <w:pStyle w:val="ListBullet"/>
        <w:spacing w:after="40" w:line="252" w:lineRule="auto"/>
      </w:pPr>
      <w:r>
        <w:rPr>
          <w:rFonts w:ascii="Aptos" w:hAnsi="Aptos"/>
          <w:b w:val="0"/>
          <w:i w:val="0"/>
          <w:color w:val="111827"/>
          <w:sz w:val="19"/>
        </w:rPr>
        <w:t>Are closure, handover and learning treated as practical responsibilities?</w:t>
      </w:r>
    </w:p>
    <w:p>
      <w:pPr>
        <w:pStyle w:val="ListBullet"/>
        <w:spacing w:after="40" w:line="252" w:lineRule="auto"/>
      </w:pPr>
      <w:r>
        <w:rPr>
          <w:rFonts w:ascii="Aptos" w:hAnsi="Aptos"/>
          <w:b w:val="0"/>
          <w:i w:val="0"/>
          <w:color w:val="111827"/>
          <w:sz w:val="19"/>
        </w:rPr>
        <w:t>Can at least one tool/activity be adapted to a real CSO project?</w:t>
      </w:r>
    </w:p>
    <w:tbl>
      <w:tblPr>
        <w:tblW w:type="auto" w:w="0"/>
        <w:jc w:val="center"/>
        <w:tblLayout w:type="autofit"/>
        <w:tblLook w:firstColumn="1" w:firstRow="1" w:lastColumn="0" w:lastRow="0" w:noHBand="0" w:noVBand="1" w:val="04A0"/>
      </w:tblPr>
      <w:tblGrid>
        <w:gridCol w:w="9866"/>
      </w:tblGrid>
      <w:tr>
        <w:trPr>
          <w:cantSplit/>
        </w:trPr>
        <w:tc>
          <w:tcPr>
            <w:tcW w:type="dxa" w:w="9866"/>
            <w:shd w:fill="FFF4E5"/>
            <w:tcMar>
              <w:top w:w="110" w:type="dxa"/>
              <w:start w:w="130" w:type="dxa"/>
              <w:bottom w:w="110" w:type="dxa"/>
              <w:end w:w="130" w:type="dxa"/>
            </w:tcMar>
            <w:tcBorders>
              <w:left w:val="single" w:sz="18" w:color="F59E0B"/>
              <w:top w:val="single" w:sz="4" w:color="D8E6EA"/>
              <w:bottom w:val="single" w:sz="4" w:color="D8E6EA"/>
              <w:right w:val="single" w:sz="4" w:color="D8E6EA"/>
            </w:tcBorders>
          </w:tcPr>
          <w:p>
            <w:pPr>
              <w:spacing w:after="0"/>
            </w:pPr>
            <w:r>
              <w:rPr>
                <w:rFonts w:ascii="Aptos" w:hAnsi="Aptos"/>
                <w:b/>
                <w:i w:val="0"/>
                <w:color w:val="0F172A"/>
                <w:sz w:val="20"/>
              </w:rPr>
              <w:t>Do not force the two courses into one instructional template</w:t>
              <w:br/>
            </w:r>
            <w:r>
              <w:rPr>
                <w:rFonts w:ascii="Aptos" w:hAnsi="Aptos"/>
                <w:b w:val="0"/>
                <w:i w:val="0"/>
                <w:color w:val="111827"/>
                <w:sz w:val="18"/>
              </w:rPr>
              <w:t>HRBA uses a more guided and reflective journey; Project Management uses a more direct continuing-case and practical-tool approach. Judge both against common quality principles, but allow the subject matter to use the learning design that fits it.</w:t>
            </w:r>
          </w:p>
        </w:tc>
      </w:tr>
    </w:tbl>
    <w:p>
      <w:pPr>
        <w:spacing w:after="20"/>
      </w:pPr>
    </w:p>
    <w:p>
      <w:pPr>
        <w:pStyle w:val="Heading1"/>
        <w:keepNext/>
        <w:spacing w:before="160" w:after="80"/>
      </w:pPr>
      <w:r>
        <w:rPr>
          <w:rFonts w:ascii="Aptos Display" w:hAnsi="Aptos Display"/>
          <w:b/>
          <w:i w:val="0"/>
          <w:color w:val="0F172A"/>
          <w:sz w:val="32"/>
        </w:rPr>
        <w:t>9. How the Internal Pilot Works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134"/>
            <w:shd w:fill="0F172A"/>
            <w:tcMar>
              <w:top w:w="85" w:type="dxa"/>
              <w:start w:w="100" w:type="dxa"/>
              <w:bottom w:w="85" w:type="dxa"/>
              <w:end w:w="100" w:type="dxa"/>
            </w:tcMar>
            <w:vAlign w:val="center"/>
          </w:tcPr>
          <w:p>
            <w:pPr>
              <w:spacing w:after="0"/>
            </w:pPr>
            <w:r>
              <w:rPr>
                <w:rFonts w:ascii="Aptos" w:hAnsi="Aptos"/>
                <w:b/>
                <w:i w:val="0"/>
                <w:color w:val="FFFFFF"/>
                <w:sz w:val="16"/>
              </w:rPr>
              <w:t>Step</w:t>
            </w:r>
          </w:p>
        </w:tc>
        <w:tc>
          <w:tcPr>
            <w:tcW w:type="dxa" w:w="5103"/>
            <w:shd w:fill="0F172A"/>
            <w:tcMar>
              <w:top w:w="85" w:type="dxa"/>
              <w:start w:w="100" w:type="dxa"/>
              <w:bottom w:w="85" w:type="dxa"/>
              <w:end w:w="100" w:type="dxa"/>
            </w:tcMar>
            <w:vAlign w:val="center"/>
          </w:tcPr>
          <w:p>
            <w:pPr>
              <w:spacing w:after="0"/>
            </w:pPr>
            <w:r>
              <w:rPr>
                <w:rFonts w:ascii="Aptos" w:hAnsi="Aptos"/>
                <w:b/>
                <w:i w:val="0"/>
                <w:color w:val="FFFFFF"/>
                <w:sz w:val="16"/>
              </w:rPr>
              <w:t>Tester action</w:t>
            </w:r>
          </w:p>
        </w:tc>
        <w:tc>
          <w:tcPr>
            <w:tcW w:type="dxa" w:w="3061"/>
            <w:shd w:fill="0F172A"/>
            <w:tcMar>
              <w:top w:w="85" w:type="dxa"/>
              <w:start w:w="100" w:type="dxa"/>
              <w:bottom w:w="85" w:type="dxa"/>
              <w:end w:w="100" w:type="dxa"/>
            </w:tcMar>
            <w:vAlign w:val="center"/>
          </w:tcPr>
          <w:p>
            <w:pPr>
              <w:spacing w:after="0"/>
            </w:pPr>
            <w:r>
              <w:rPr>
                <w:rFonts w:ascii="Aptos" w:hAnsi="Aptos"/>
                <w:b/>
                <w:i w:val="0"/>
                <w:color w:val="FFFFFF"/>
                <w:sz w:val="16"/>
              </w:rPr>
              <w:t>Main output</w:t>
            </w:r>
          </w:p>
        </w:tc>
      </w:tr>
      <w:tr>
        <w:trPr>
          <w:cantSplit/>
        </w:trPr>
        <w:tc>
          <w:tcPr>
            <w:tcW w:type="dxa" w:w="1134"/>
            <w:tcMar>
              <w:top w:w="85" w:type="dxa"/>
              <w:start w:w="100" w:type="dxa"/>
              <w:bottom w:w="85" w:type="dxa"/>
              <w:end w:w="100" w:type="dxa"/>
            </w:tcMar>
            <w:vAlign w:val="top"/>
          </w:tcPr>
          <w:p>
            <w:pPr>
              <w:spacing w:after="0" w:line="240" w:lineRule="auto"/>
            </w:pPr>
            <w:r>
              <w:rPr>
                <w:rFonts w:ascii="Aptos" w:hAnsi="Aptos"/>
                <w:b w:val="0"/>
                <w:i w:val="0"/>
                <w:color w:val="111827"/>
                <w:sz w:val="16"/>
              </w:rPr>
              <w:t>1. Prepare</w:t>
            </w:r>
          </w:p>
        </w:tc>
        <w:tc>
          <w:tcPr>
            <w:tcW w:type="dxa" w:w="5103"/>
            <w:tcMar>
              <w:top w:w="85" w:type="dxa"/>
              <w:start w:w="100" w:type="dxa"/>
              <w:bottom w:w="85" w:type="dxa"/>
              <w:end w:w="100" w:type="dxa"/>
            </w:tcMar>
            <w:vAlign w:val="top"/>
          </w:tcPr>
          <w:p>
            <w:pPr>
              <w:spacing w:after="0" w:line="240" w:lineRule="auto"/>
            </w:pPr>
            <w:r>
              <w:rPr>
                <w:rFonts w:ascii="Aptos" w:hAnsi="Aptos"/>
                <w:b w:val="0"/>
                <w:i w:val="0"/>
                <w:color w:val="111827"/>
                <w:sz w:val="16"/>
              </w:rPr>
              <w:t>Confirm course assignment, learner route, device checks and support contact.</w:t>
            </w:r>
          </w:p>
        </w:tc>
        <w:tc>
          <w:tcPr>
            <w:tcW w:type="dxa" w:w="3061"/>
            <w:tcMar>
              <w:top w:w="85" w:type="dxa"/>
              <w:start w:w="100" w:type="dxa"/>
              <w:bottom w:w="85" w:type="dxa"/>
              <w:end w:w="100" w:type="dxa"/>
            </w:tcMar>
            <w:vAlign w:val="top"/>
          </w:tcPr>
          <w:p>
            <w:pPr>
              <w:spacing w:after="0" w:line="240" w:lineRule="auto"/>
            </w:pPr>
            <w:r>
              <w:rPr>
                <w:rFonts w:ascii="Aptos" w:hAnsi="Aptos"/>
                <w:b w:val="0"/>
                <w:i w:val="0"/>
                <w:color w:val="111827"/>
                <w:sz w:val="16"/>
              </w:rPr>
              <w:t>Tester plan</w:t>
            </w:r>
          </w:p>
        </w:tc>
      </w:tr>
      <w:tr>
        <w:trPr>
          <w:cantSplit/>
        </w:trPr>
        <w:tc>
          <w:tcPr>
            <w:tcW w:type="dxa" w:w="1134"/>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2. Access</w:t>
            </w:r>
          </w:p>
        </w:tc>
        <w:tc>
          <w:tcPr>
            <w:tcW w:type="dxa" w:w="510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Use the normal learner route to enter the Hub and open the assigned course.</w:t>
            </w:r>
          </w:p>
        </w:tc>
        <w:tc>
          <w:tcPr>
            <w:tcW w:type="dxa" w:w="306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Practical evidence</w:t>
            </w:r>
          </w:p>
        </w:tc>
      </w:tr>
      <w:tr>
        <w:trPr>
          <w:cantSplit/>
        </w:trPr>
        <w:tc>
          <w:tcPr>
            <w:tcW w:type="dxa" w:w="1134"/>
            <w:tcMar>
              <w:top w:w="85" w:type="dxa"/>
              <w:start w:w="100" w:type="dxa"/>
              <w:bottom w:w="85" w:type="dxa"/>
              <w:end w:w="100" w:type="dxa"/>
            </w:tcMar>
            <w:vAlign w:val="top"/>
          </w:tcPr>
          <w:p>
            <w:pPr>
              <w:spacing w:after="0" w:line="240" w:lineRule="auto"/>
            </w:pPr>
            <w:r>
              <w:rPr>
                <w:rFonts w:ascii="Aptos" w:hAnsi="Aptos"/>
                <w:b w:val="0"/>
                <w:i w:val="0"/>
                <w:color w:val="111827"/>
                <w:sz w:val="16"/>
              </w:rPr>
              <w:t>3. Learn</w:t>
            </w:r>
          </w:p>
        </w:tc>
        <w:tc>
          <w:tcPr>
            <w:tcW w:type="dxa" w:w="5103"/>
            <w:tcMar>
              <w:top w:w="85" w:type="dxa"/>
              <w:start w:w="100" w:type="dxa"/>
              <w:bottom w:w="85" w:type="dxa"/>
              <w:end w:w="100" w:type="dxa"/>
            </w:tcMar>
            <w:vAlign w:val="top"/>
          </w:tcPr>
          <w:p>
            <w:pPr>
              <w:spacing w:after="0" w:line="240" w:lineRule="auto"/>
            </w:pPr>
            <w:r>
              <w:rPr>
                <w:rFonts w:ascii="Aptos" w:hAnsi="Aptos"/>
                <w:b w:val="0"/>
                <w:i w:val="0"/>
                <w:color w:val="111827"/>
                <w:sz w:val="16"/>
              </w:rPr>
              <w:t>Work through the course normally. Do not stop after every screen to review it.</w:t>
            </w:r>
          </w:p>
        </w:tc>
        <w:tc>
          <w:tcPr>
            <w:tcW w:type="dxa" w:w="3061"/>
            <w:tcMar>
              <w:top w:w="85" w:type="dxa"/>
              <w:start w:w="100" w:type="dxa"/>
              <w:bottom w:w="85" w:type="dxa"/>
              <w:end w:w="100" w:type="dxa"/>
            </w:tcMar>
            <w:vAlign w:val="top"/>
          </w:tcPr>
          <w:p>
            <w:pPr>
              <w:spacing w:after="0" w:line="240" w:lineRule="auto"/>
            </w:pPr>
            <w:r>
              <w:rPr>
                <w:rFonts w:ascii="Aptos" w:hAnsi="Aptos"/>
                <w:b w:val="0"/>
                <w:i w:val="0"/>
                <w:color w:val="111827"/>
                <w:sz w:val="16"/>
              </w:rPr>
              <w:t>Learner experience</w:t>
            </w:r>
          </w:p>
        </w:tc>
      </w:tr>
      <w:tr>
        <w:trPr>
          <w:cantSplit/>
        </w:trPr>
        <w:tc>
          <w:tcPr>
            <w:tcW w:type="dxa" w:w="1134"/>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4. Report important events</w:t>
            </w:r>
          </w:p>
        </w:tc>
        <w:tc>
          <w:tcPr>
            <w:tcW w:type="dxa" w:w="510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Submit one Quick Finding when an important problem, repeated difficulty or strong feature occurs.</w:t>
            </w:r>
          </w:p>
        </w:tc>
        <w:tc>
          <w:tcPr>
            <w:tcW w:type="dxa" w:w="306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One observation per submission</w:t>
            </w:r>
          </w:p>
        </w:tc>
      </w:tr>
      <w:tr>
        <w:trPr>
          <w:cantSplit/>
        </w:trPr>
        <w:tc>
          <w:tcPr>
            <w:tcW w:type="dxa" w:w="1134"/>
            <w:tcMar>
              <w:top w:w="85" w:type="dxa"/>
              <w:start w:w="100" w:type="dxa"/>
              <w:bottom w:w="85" w:type="dxa"/>
              <w:end w:w="100" w:type="dxa"/>
            </w:tcMar>
            <w:vAlign w:val="top"/>
          </w:tcPr>
          <w:p>
            <w:pPr>
              <w:spacing w:after="0" w:line="240" w:lineRule="auto"/>
            </w:pPr>
            <w:r>
              <w:rPr>
                <w:rFonts w:ascii="Aptos" w:hAnsi="Aptos"/>
                <w:b w:val="0"/>
                <w:i w:val="0"/>
                <w:color w:val="111827"/>
                <w:sz w:val="16"/>
              </w:rPr>
              <w:t>5. Complete</w:t>
            </w:r>
          </w:p>
        </w:tc>
        <w:tc>
          <w:tcPr>
            <w:tcW w:type="dxa" w:w="5103"/>
            <w:tcMar>
              <w:top w:w="85" w:type="dxa"/>
              <w:start w:w="100" w:type="dxa"/>
              <w:bottom w:w="85" w:type="dxa"/>
              <w:end w:w="100" w:type="dxa"/>
            </w:tcMar>
            <w:vAlign w:val="top"/>
          </w:tcPr>
          <w:p>
            <w:pPr>
              <w:spacing w:after="0" w:line="240" w:lineRule="auto"/>
            </w:pPr>
            <w:r>
              <w:rPr>
                <w:rFonts w:ascii="Aptos" w:hAnsi="Aptos"/>
                <w:b w:val="0"/>
                <w:i w:val="0"/>
                <w:color w:val="111827"/>
                <w:sz w:val="16"/>
              </w:rPr>
              <w:t>Finish the assigned course, assessment and completion/certificate checks where possible.</w:t>
            </w:r>
          </w:p>
        </w:tc>
        <w:tc>
          <w:tcPr>
            <w:tcW w:type="dxa" w:w="3061"/>
            <w:tcMar>
              <w:top w:w="85" w:type="dxa"/>
              <w:start w:w="100" w:type="dxa"/>
              <w:bottom w:w="85" w:type="dxa"/>
              <w:end w:w="100" w:type="dxa"/>
            </w:tcMar>
            <w:vAlign w:val="top"/>
          </w:tcPr>
          <w:p>
            <w:pPr>
              <w:spacing w:after="0" w:line="240" w:lineRule="auto"/>
            </w:pPr>
            <w:r>
              <w:rPr>
                <w:rFonts w:ascii="Aptos" w:hAnsi="Aptos"/>
                <w:b w:val="0"/>
                <w:i w:val="0"/>
                <w:color w:val="111827"/>
                <w:sz w:val="16"/>
              </w:rPr>
              <w:t>Completion evidence</w:t>
            </w:r>
          </w:p>
        </w:tc>
      </w:tr>
      <w:tr>
        <w:trPr>
          <w:cantSplit/>
        </w:trPr>
        <w:tc>
          <w:tcPr>
            <w:tcW w:type="dxa" w:w="1134"/>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6. Review</w:t>
            </w:r>
          </w:p>
        </w:tc>
        <w:tc>
          <w:tcPr>
            <w:tcW w:type="dxa" w:w="510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Complete one Final Course Review &amp; Readiness form for the assigned course.</w:t>
            </w:r>
          </w:p>
        </w:tc>
        <w:tc>
          <w:tcPr>
            <w:tcW w:type="dxa" w:w="306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Course-level judgment</w:t>
            </w:r>
          </w:p>
        </w:tc>
      </w:tr>
      <w:tr>
        <w:trPr>
          <w:cantSplit/>
        </w:trPr>
        <w:tc>
          <w:tcPr>
            <w:tcW w:type="dxa" w:w="1134"/>
            <w:tcMar>
              <w:top w:w="85" w:type="dxa"/>
              <w:start w:w="100" w:type="dxa"/>
              <w:bottom w:w="85" w:type="dxa"/>
              <w:end w:w="100" w:type="dxa"/>
            </w:tcMar>
            <w:vAlign w:val="top"/>
          </w:tcPr>
          <w:p>
            <w:pPr>
              <w:spacing w:after="0" w:line="240" w:lineRule="auto"/>
            </w:pPr>
            <w:r>
              <w:rPr>
                <w:rFonts w:ascii="Aptos" w:hAnsi="Aptos"/>
                <w:b w:val="0"/>
                <w:i w:val="0"/>
                <w:color w:val="111827"/>
                <w:sz w:val="16"/>
              </w:rPr>
              <w:t>7. Analyse and decide</w:t>
            </w:r>
          </w:p>
        </w:tc>
        <w:tc>
          <w:tcPr>
            <w:tcW w:type="dxa" w:w="5103"/>
            <w:tcMar>
              <w:top w:w="85" w:type="dxa"/>
              <w:start w:w="100" w:type="dxa"/>
              <w:bottom w:w="85" w:type="dxa"/>
              <w:end w:w="100" w:type="dxa"/>
            </w:tcMar>
            <w:vAlign w:val="top"/>
          </w:tcPr>
          <w:p>
            <w:pPr>
              <w:spacing w:after="0" w:line="240" w:lineRule="auto"/>
            </w:pPr>
            <w:r>
              <w:rPr>
                <w:rFonts w:ascii="Aptos" w:hAnsi="Aptos"/>
                <w:b w:val="0"/>
                <w:i w:val="0"/>
                <w:color w:val="111827"/>
                <w:sz w:val="16"/>
              </w:rPr>
              <w:t>DEC combines forms, learner records, support experience and coordinator checks.</w:t>
            </w:r>
          </w:p>
        </w:tc>
        <w:tc>
          <w:tcPr>
            <w:tcW w:type="dxa" w:w="3061"/>
            <w:tcMar>
              <w:top w:w="85" w:type="dxa"/>
              <w:start w:w="100" w:type="dxa"/>
              <w:bottom w:w="85" w:type="dxa"/>
              <w:end w:w="100" w:type="dxa"/>
            </w:tcMar>
            <w:vAlign w:val="top"/>
          </w:tcPr>
          <w:p>
            <w:pPr>
              <w:spacing w:after="0" w:line="240" w:lineRule="auto"/>
            </w:pPr>
            <w:r>
              <w:rPr>
                <w:rFonts w:ascii="Aptos" w:hAnsi="Aptos"/>
                <w:b w:val="0"/>
                <w:i w:val="0"/>
                <w:color w:val="111827"/>
                <w:sz w:val="16"/>
              </w:rPr>
              <w:t>Actions and readiness decision</w:t>
            </w:r>
          </w:p>
        </w:tc>
      </w:tr>
    </w:tbl>
    <w:p>
      <w:pPr>
        <w:spacing w:after="20"/>
      </w:pPr>
    </w:p>
    <w:p>
      <w:pPr>
        <w:pStyle w:val="Heading2"/>
        <w:keepNext/>
        <w:spacing w:before="100" w:after="80"/>
      </w:pPr>
      <w:r>
        <w:rPr>
          <w:rFonts w:ascii="Aptos Display" w:hAnsi="Aptos Display"/>
          <w:b/>
          <w:i w:val="0"/>
          <w:color w:val="0F172A"/>
          <w:sz w:val="25"/>
        </w:rPr>
        <w:t>9.1 Tester roles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7"/>
              </w:rPr>
              <w:t>Role</w:t>
            </w:r>
          </w:p>
        </w:tc>
        <w:tc>
          <w:tcPr>
            <w:tcW w:type="dxa" w:w="7030"/>
            <w:shd w:fill="0F172A"/>
            <w:tcMar>
              <w:top w:w="85" w:type="dxa"/>
              <w:start w:w="100" w:type="dxa"/>
              <w:bottom w:w="85" w:type="dxa"/>
              <w:end w:w="100" w:type="dxa"/>
            </w:tcMar>
            <w:vAlign w:val="center"/>
          </w:tcPr>
          <w:p>
            <w:pPr>
              <w:spacing w:after="0"/>
            </w:pPr>
            <w:r>
              <w:rPr>
                <w:rFonts w:ascii="Aptos" w:hAnsi="Aptos"/>
                <w:b/>
                <w:i w:val="0"/>
                <w:color w:val="FFFFFF"/>
                <w:sz w:val="17"/>
              </w:rPr>
              <w:t>How to participate</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Normal learner</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Use the course as intended and report what you genuinely experience.</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Assigned verifier</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Complete a defined check such as a second device, cross-user separation or return-after-completion check.</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Both</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Learn normally first, then complete only the additional verification assigned by the coordinator.</w:t>
            </w:r>
          </w:p>
        </w:tc>
      </w:tr>
    </w:tbl>
    <w:p>
      <w:pPr>
        <w:spacing w:after="20"/>
      </w:pPr>
    </w:p>
    <w:p>
      <w:pPr>
        <w:pStyle w:val="Heading2"/>
        <w:keepNext/>
        <w:spacing w:before="100" w:after="80"/>
      </w:pPr>
      <w:r>
        <w:rPr>
          <w:rFonts w:ascii="Aptos Display" w:hAnsi="Aptos Display"/>
          <w:b/>
          <w:i w:val="0"/>
          <w:color w:val="0F172A"/>
          <w:sz w:val="25"/>
        </w:rPr>
        <w:t>9.2 Before you start</w:t>
      </w:r>
    </w:p>
    <w:p>
      <w:pPr>
        <w:pStyle w:val="ListBullet"/>
        <w:spacing w:after="40" w:line="252" w:lineRule="auto"/>
      </w:pPr>
      <w:r>
        <w:rPr>
          <w:rFonts w:ascii="Aptos" w:hAnsi="Aptos"/>
          <w:b w:val="0"/>
          <w:i w:val="0"/>
          <w:color w:val="111827"/>
          <w:sz w:val="19"/>
        </w:rPr>
        <w:t>Confirm your assigned course, main device and any additional device/browser or special verification task.</w:t>
      </w:r>
    </w:p>
    <w:p>
      <w:pPr>
        <w:pStyle w:val="ListBullet"/>
        <w:spacing w:after="40" w:line="252" w:lineRule="auto"/>
      </w:pPr>
      <w:r>
        <w:rPr>
          <w:rFonts w:ascii="Aptos" w:hAnsi="Aptos"/>
          <w:b w:val="0"/>
          <w:i w:val="0"/>
          <w:color w:val="111827"/>
          <w:sz w:val="19"/>
        </w:rPr>
        <w:t>Use the normal internal-pilot learner route. Self-register through the Hub unless the coordinator has assigned a specific test account or alternative verification route.</w:t>
      </w:r>
    </w:p>
    <w:p>
      <w:pPr>
        <w:pStyle w:val="ListBullet"/>
        <w:spacing w:after="40" w:line="252" w:lineRule="auto"/>
      </w:pPr>
      <w:r>
        <w:rPr>
          <w:rFonts w:ascii="Aptos" w:hAnsi="Aptos"/>
          <w:b w:val="0"/>
          <w:i w:val="0"/>
          <w:color w:val="111827"/>
          <w:sz w:val="19"/>
        </w:rPr>
        <w:t>Keep the same personal learner account throughout the test unless the coordinator instructs otherwise for a controlled verification.</w:t>
      </w:r>
    </w:p>
    <w:p>
      <w:pPr>
        <w:pStyle w:val="ListBullet"/>
        <w:spacing w:after="40" w:line="252" w:lineRule="auto"/>
      </w:pPr>
      <w:r>
        <w:rPr>
          <w:rFonts w:ascii="Aptos" w:hAnsi="Aptos"/>
          <w:b w:val="0"/>
          <w:i w:val="0"/>
          <w:color w:val="111827"/>
          <w:sz w:val="19"/>
        </w:rPr>
        <w:t>Open the Learning Hub: https://pilot-dec-cso.vercel.app</w:t>
      </w:r>
    </w:p>
    <w:p>
      <w:pPr>
        <w:pStyle w:val="ListBullet"/>
        <w:spacing w:after="40" w:line="252" w:lineRule="auto"/>
      </w:pPr>
      <w:r>
        <w:rPr>
          <w:rFonts w:ascii="Aptos" w:hAnsi="Aptos"/>
          <w:b w:val="0"/>
          <w:i w:val="0"/>
          <w:color w:val="111827"/>
          <w:sz w:val="19"/>
        </w:rPr>
        <w:t>Keep the Quick Finding form available while learning.</w:t>
      </w:r>
    </w:p>
    <w:p>
      <w:pPr>
        <w:pStyle w:val="ListBullet"/>
        <w:spacing w:after="40" w:line="252" w:lineRule="auto"/>
      </w:pPr>
      <w:r>
        <w:rPr>
          <w:rFonts w:ascii="Aptos" w:hAnsi="Aptos"/>
          <w:b w:val="0"/>
          <w:i w:val="0"/>
          <w:color w:val="111827"/>
          <w:sz w:val="19"/>
        </w:rPr>
        <w:t>Know the agreed DEC support contact.</w:t>
      </w:r>
    </w:p>
    <w:p>
      <w:pPr>
        <w:pStyle w:val="ListBullet"/>
        <w:spacing w:after="40" w:line="252" w:lineRule="auto"/>
      </w:pPr>
      <w:r>
        <w:rPr>
          <w:rFonts w:ascii="Aptos" w:hAnsi="Aptos"/>
          <w:b w:val="0"/>
          <w:i w:val="0"/>
          <w:color w:val="111827"/>
          <w:sz w:val="19"/>
        </w:rPr>
        <w:t>Follow the normal learner journey. Do not deliberately break the system unless you have a specific verification assignment.</w:t>
      </w:r>
    </w:p>
    <w:p>
      <w:pPr>
        <w:pStyle w:val="Heading1"/>
        <w:keepNext/>
        <w:spacing w:before="160" w:after="80"/>
      </w:pPr>
      <w:r>
        <w:rPr>
          <w:rFonts w:ascii="Aptos Display" w:hAnsi="Aptos Display"/>
          <w:b/>
          <w:i w:val="0"/>
          <w:color w:val="0F172A"/>
          <w:sz w:val="32"/>
        </w:rPr>
        <w:t>10. Three Separate Evidence Layers</w:t>
      </w:r>
    </w:p>
    <w:p>
      <w:pPr>
        <w:spacing w:before="0" w:after="80" w:line="259" w:lineRule="auto"/>
      </w:pPr>
      <w:r>
        <w:rPr>
          <w:rFonts w:ascii="Aptos" w:hAnsi="Aptos"/>
          <w:b w:val="0"/>
          <w:i w:val="0"/>
          <w:color w:val="111827"/>
          <w:sz w:val="19"/>
        </w:rPr>
        <w:t>Do not combine what happened, how well it worked and what DEC should do into one score. The pilot deliberately keeps three evidence layers separate.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6"/>
              </w:rPr>
              <w:t>Evidence layer</w:t>
            </w:r>
          </w:p>
        </w:tc>
        <w:tc>
          <w:tcPr>
            <w:tcW w:type="dxa" w:w="3118"/>
            <w:shd w:fill="0F172A"/>
            <w:tcMar>
              <w:top w:w="85" w:type="dxa"/>
              <w:start w:w="100" w:type="dxa"/>
              <w:bottom w:w="85" w:type="dxa"/>
              <w:end w:w="100" w:type="dxa"/>
            </w:tcMar>
            <w:vAlign w:val="center"/>
          </w:tcPr>
          <w:p>
            <w:pPr>
              <w:spacing w:after="0"/>
            </w:pPr>
            <w:r>
              <w:rPr>
                <w:rFonts w:ascii="Aptos" w:hAnsi="Aptos"/>
                <w:b/>
                <w:i w:val="0"/>
                <w:color w:val="FFFFFF"/>
                <w:sz w:val="16"/>
              </w:rPr>
              <w:t>Question answered</w:t>
            </w:r>
          </w:p>
        </w:tc>
        <w:tc>
          <w:tcPr>
            <w:tcW w:type="dxa" w:w="3912"/>
            <w:shd w:fill="0F172A"/>
            <w:tcMar>
              <w:top w:w="85" w:type="dxa"/>
              <w:start w:w="100" w:type="dxa"/>
              <w:bottom w:w="85" w:type="dxa"/>
              <w:end w:w="100" w:type="dxa"/>
            </w:tcMar>
            <w:vAlign w:val="center"/>
          </w:tcPr>
          <w:p>
            <w:pPr>
              <w:spacing w:after="0"/>
            </w:pPr>
            <w:r>
              <w:rPr>
                <w:rFonts w:ascii="Aptos" w:hAnsi="Aptos"/>
                <w:b/>
                <w:i w:val="0"/>
                <w:color w:val="FFFFFF"/>
                <w:sz w:val="16"/>
              </w:rPr>
              <w:t>Scale</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6"/>
              </w:rPr>
              <w:t>Practical verification</w:t>
            </w:r>
          </w:p>
        </w:tc>
        <w:tc>
          <w:tcPr>
            <w:tcW w:type="dxa" w:w="3118"/>
            <w:tcMar>
              <w:top w:w="85" w:type="dxa"/>
              <w:start w:w="100" w:type="dxa"/>
              <w:bottom w:w="85" w:type="dxa"/>
              <w:end w:w="100" w:type="dxa"/>
            </w:tcMar>
            <w:vAlign w:val="top"/>
          </w:tcPr>
          <w:p>
            <w:pPr>
              <w:spacing w:after="0" w:line="240" w:lineRule="auto"/>
            </w:pPr>
            <w:r>
              <w:rPr>
                <w:rFonts w:ascii="Aptos" w:hAnsi="Aptos"/>
                <w:b w:val="0"/>
                <w:i w:val="0"/>
                <w:color w:val="111827"/>
                <w:sz w:val="16"/>
              </w:rPr>
              <w:t>Did the task work when you performed it?</w:t>
            </w:r>
          </w:p>
        </w:tc>
        <w:tc>
          <w:tcPr>
            <w:tcW w:type="dxa" w:w="3912"/>
            <w:tcMar>
              <w:top w:w="85" w:type="dxa"/>
              <w:start w:w="100" w:type="dxa"/>
              <w:bottom w:w="85" w:type="dxa"/>
              <w:end w:w="100" w:type="dxa"/>
            </w:tcMar>
            <w:vAlign w:val="top"/>
          </w:tcPr>
          <w:p>
            <w:pPr>
              <w:spacing w:after="0" w:line="240" w:lineRule="auto"/>
            </w:pPr>
            <w:r>
              <w:rPr>
                <w:rFonts w:ascii="Aptos" w:hAnsi="Aptos"/>
                <w:b w:val="0"/>
                <w:i w:val="0"/>
                <w:color w:val="111827"/>
                <w:sz w:val="16"/>
              </w:rPr>
              <w:t>PASS | PASS WITH ISSUE | FAIL | NOT TESTED</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Quality judgment</w:t>
            </w:r>
          </w:p>
        </w:tc>
        <w:tc>
          <w:tcPr>
            <w:tcW w:type="dxa" w:w="311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How well did it work for a normal learner?</w:t>
            </w:r>
          </w:p>
        </w:tc>
        <w:tc>
          <w:tcPr>
            <w:tcW w:type="dxa" w:w="3912"/>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0 BLOCKED | 1 FRAGILE | 2 WORKABLE | 3 STRONG | NOT TESTED / N/A</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6"/>
              </w:rPr>
              <w:t>Action judgment</w:t>
            </w:r>
          </w:p>
        </w:tc>
        <w:tc>
          <w:tcPr>
            <w:tcW w:type="dxa" w:w="3118"/>
            <w:tcMar>
              <w:top w:w="85" w:type="dxa"/>
              <w:start w:w="100" w:type="dxa"/>
              <w:bottom w:w="85" w:type="dxa"/>
              <w:end w:w="100" w:type="dxa"/>
            </w:tcMar>
            <w:vAlign w:val="top"/>
          </w:tcPr>
          <w:p>
            <w:pPr>
              <w:spacing w:after="0" w:line="240" w:lineRule="auto"/>
            </w:pPr>
            <w:r>
              <w:rPr>
                <w:rFonts w:ascii="Aptos" w:hAnsi="Aptos"/>
                <w:b w:val="0"/>
                <w:i w:val="0"/>
                <w:color w:val="111827"/>
                <w:sz w:val="16"/>
              </w:rPr>
              <w:t>What should DEC do with the evidence?</w:t>
            </w:r>
          </w:p>
        </w:tc>
        <w:tc>
          <w:tcPr>
            <w:tcW w:type="dxa" w:w="3912"/>
            <w:tcMar>
              <w:top w:w="85" w:type="dxa"/>
              <w:start w:w="100" w:type="dxa"/>
              <w:bottom w:w="85" w:type="dxa"/>
              <w:end w:w="100" w:type="dxa"/>
            </w:tcMar>
            <w:vAlign w:val="top"/>
          </w:tcPr>
          <w:p>
            <w:pPr>
              <w:spacing w:after="0" w:line="240" w:lineRule="auto"/>
            </w:pPr>
            <w:r>
              <w:rPr>
                <w:rFonts w:ascii="Aptos" w:hAnsi="Aptos"/>
                <w:b w:val="0"/>
                <w:i w:val="0"/>
                <w:color w:val="111827"/>
                <w:sz w:val="16"/>
              </w:rPr>
              <w:t>Fix Now | Improve Before Wider Use | Retain as Designed | Investigate Further | Consider for a Later Phase</w:t>
            </w:r>
          </w:p>
        </w:tc>
      </w:tr>
    </w:tbl>
    <w:p>
      <w:pPr>
        <w:spacing w:after="20"/>
      </w:pPr>
    </w:p>
    <w:p>
      <w:pPr>
        <w:pStyle w:val="Heading2"/>
        <w:keepNext/>
        <w:spacing w:before="100" w:after="80"/>
      </w:pPr>
      <w:r>
        <w:rPr>
          <w:rFonts w:ascii="Aptos Display" w:hAnsi="Aptos Display"/>
          <w:b/>
          <w:i w:val="0"/>
          <w:color w:val="0F172A"/>
          <w:sz w:val="25"/>
        </w:rPr>
        <w:t>10.1 Practical verification scale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7"/>
              </w:rPr>
              <w:t>Result</w:t>
            </w:r>
          </w:p>
        </w:tc>
        <w:tc>
          <w:tcPr>
            <w:tcW w:type="dxa" w:w="7030"/>
            <w:shd w:fill="0F172A"/>
            <w:tcMar>
              <w:top w:w="85" w:type="dxa"/>
              <w:start w:w="100" w:type="dxa"/>
              <w:bottom w:w="85" w:type="dxa"/>
              <w:end w:w="100" w:type="dxa"/>
            </w:tcMar>
            <w:vAlign w:val="center"/>
          </w:tcPr>
          <w:p>
            <w:pPr>
              <w:spacing w:after="0"/>
            </w:pPr>
            <w:r>
              <w:rPr>
                <w:rFonts w:ascii="Aptos" w:hAnsi="Aptos"/>
                <w:b/>
                <w:i w:val="0"/>
                <w:color w:val="FFFFFF"/>
                <w:sz w:val="17"/>
              </w:rPr>
              <w:t>Use when</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PASS</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The task worked as intended without a material issue.</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PASS WITH ISSUE</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The task was completed, but there was meaningful difficulty, uncertainty, inconsistency or workaround.</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FAIL</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The task could not be completed correctly, or the result was materially wrong.</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NOT TESTED</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You did not perform or observe the check.</w:t>
            </w:r>
          </w:p>
        </w:tc>
      </w:tr>
    </w:tbl>
    <w:p>
      <w:pPr>
        <w:spacing w:after="20"/>
      </w:pPr>
    </w:p>
    <w:p>
      <w:pPr>
        <w:pStyle w:val="Heading2"/>
        <w:keepNext/>
        <w:spacing w:before="100" w:after="80"/>
      </w:pPr>
      <w:r>
        <w:rPr>
          <w:rFonts w:ascii="Aptos Display" w:hAnsi="Aptos Display"/>
          <w:b/>
          <w:i w:val="0"/>
          <w:color w:val="0F172A"/>
          <w:sz w:val="25"/>
        </w:rPr>
        <w:t>10.2 Quality rating scale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7"/>
              </w:rPr>
              <w:t>Rating</w:t>
            </w:r>
          </w:p>
        </w:tc>
        <w:tc>
          <w:tcPr>
            <w:tcW w:type="dxa" w:w="7030"/>
            <w:shd w:fill="0F172A"/>
            <w:tcMar>
              <w:top w:w="85" w:type="dxa"/>
              <w:start w:w="100" w:type="dxa"/>
              <w:bottom w:w="85" w:type="dxa"/>
              <w:end w:w="100" w:type="dxa"/>
            </w:tcMar>
            <w:vAlign w:val="center"/>
          </w:tcPr>
          <w:p>
            <w:pPr>
              <w:spacing w:after="0"/>
            </w:pPr>
            <w:r>
              <w:rPr>
                <w:rFonts w:ascii="Aptos" w:hAnsi="Aptos"/>
                <w:b/>
                <w:i w:val="0"/>
                <w:color w:val="FFFFFF"/>
                <w:sz w:val="17"/>
              </w:rPr>
              <w:t>Definition</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0 BLOCKED</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The learner cannot complete the task or achieve the intended learning result.</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1 FRAGILE</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It works only with significant difficulty, repeated support, workaround or inconsistent results.</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2 WORKABLE</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It generally works; manageable improvement would strengthen the experience.</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3 STRONG</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It works consistently, clearly and usefully and should generally be retained.</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NOT TESTED / N/A</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You did not experience or test it sufficiently, or it did not apply to your assignment. Do not score it.</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91C852"/>
              <w:top w:val="single" w:sz="4" w:color="D8E6EA"/>
              <w:bottom w:val="single" w:sz="4" w:color="D8E6EA"/>
              <w:right w:val="single" w:sz="4" w:color="D8E6EA"/>
            </w:tcBorders>
          </w:tcPr>
          <w:p>
            <w:pPr>
              <w:spacing w:after="0"/>
            </w:pPr>
            <w:r>
              <w:rPr>
                <w:rFonts w:ascii="Aptos" w:hAnsi="Aptos"/>
                <w:b/>
                <w:i w:val="0"/>
                <w:color w:val="0F172A"/>
                <w:sz w:val="20"/>
              </w:rPr>
              <w:t>Example</w:t>
              <w:br/>
            </w:r>
            <w:r>
              <w:rPr>
                <w:rFonts w:ascii="Aptos" w:hAnsi="Aptos"/>
                <w:b w:val="0"/>
                <w:i w:val="0"/>
                <w:color w:val="111827"/>
                <w:sz w:val="18"/>
              </w:rPr>
              <w:t>Progress saving = PASS because progress returned correctly. Quality = 2 WORKABLE because the learner could not tell whether it had saved. Action = Improve Before Wider Use. The practical result and the quality judgment can therefore be different.</w:t>
            </w:r>
          </w:p>
        </w:tc>
      </w:tr>
    </w:tbl>
    <w:p>
      <w:pPr>
        <w:spacing w:after="20"/>
      </w:pPr>
    </w:p>
    <w:p>
      <w:pPr>
        <w:pStyle w:val="Heading1"/>
        <w:keepNext/>
        <w:spacing w:before="160" w:after="80"/>
      </w:pPr>
      <w:r>
        <w:rPr>
          <w:rFonts w:ascii="Aptos Display" w:hAnsi="Aptos Display"/>
          <w:b/>
          <w:i w:val="0"/>
          <w:color w:val="0F172A"/>
          <w:sz w:val="32"/>
        </w:rPr>
        <w:t>11. Required Practical Learner-Journey Checks</w:t>
      </w:r>
    </w:p>
    <w:p>
      <w:pPr>
        <w:spacing w:before="0" w:after="80" w:line="259" w:lineRule="auto"/>
      </w:pPr>
      <w:r>
        <w:rPr>
          <w:rFonts w:ascii="Aptos" w:hAnsi="Aptos"/>
          <w:b w:val="0"/>
          <w:i w:val="0"/>
          <w:color w:val="111827"/>
          <w:sz w:val="19"/>
        </w:rPr>
        <w:t>Complete the checks assigned to you and record what actually happened. Some special checks are shown only when the coordinator assigns them. If an assigned check was not completed, use NOT TESTED; do not invent evidence.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680"/>
            <w:shd w:fill="0F172A"/>
            <w:tcMar>
              <w:top w:w="85" w:type="dxa"/>
              <w:start w:w="100" w:type="dxa"/>
              <w:bottom w:w="85" w:type="dxa"/>
              <w:end w:w="100" w:type="dxa"/>
            </w:tcMar>
            <w:vAlign w:val="center"/>
          </w:tcPr>
          <w:p>
            <w:pPr>
              <w:spacing w:after="0"/>
            </w:pPr>
            <w:r>
              <w:rPr>
                <w:rFonts w:ascii="Aptos" w:hAnsi="Aptos"/>
                <w:b/>
                <w:i w:val="0"/>
                <w:color w:val="FFFFFF"/>
                <w:sz w:val="15"/>
              </w:rPr>
              <w:t>ID</w:t>
            </w:r>
          </w:p>
        </w:tc>
        <w:tc>
          <w:tcPr>
            <w:tcW w:type="dxa" w:w="2438"/>
            <w:shd w:fill="0F172A"/>
            <w:tcMar>
              <w:top w:w="85" w:type="dxa"/>
              <w:start w:w="100" w:type="dxa"/>
              <w:bottom w:w="85" w:type="dxa"/>
              <w:end w:w="100" w:type="dxa"/>
            </w:tcMar>
            <w:vAlign w:val="center"/>
          </w:tcPr>
          <w:p>
            <w:pPr>
              <w:spacing w:after="0"/>
            </w:pPr>
            <w:r>
              <w:rPr>
                <w:rFonts w:ascii="Aptos" w:hAnsi="Aptos"/>
                <w:b/>
                <w:i w:val="0"/>
                <w:color w:val="FFFFFF"/>
                <w:sz w:val="15"/>
              </w:rPr>
              <w:t>Check</w:t>
            </w:r>
          </w:p>
        </w:tc>
        <w:tc>
          <w:tcPr>
            <w:tcW w:type="dxa" w:w="4706"/>
            <w:shd w:fill="0F172A"/>
            <w:tcMar>
              <w:top w:w="85" w:type="dxa"/>
              <w:start w:w="100" w:type="dxa"/>
              <w:bottom w:w="85" w:type="dxa"/>
              <w:end w:w="100" w:type="dxa"/>
            </w:tcMar>
            <w:vAlign w:val="center"/>
          </w:tcPr>
          <w:p>
            <w:pPr>
              <w:spacing w:after="0"/>
            </w:pPr>
            <w:r>
              <w:rPr>
                <w:rFonts w:ascii="Aptos" w:hAnsi="Aptos"/>
                <w:b/>
                <w:i w:val="0"/>
                <w:color w:val="FFFFFF"/>
                <w:sz w:val="15"/>
              </w:rPr>
              <w:t>What to do</w:t>
            </w:r>
          </w:p>
        </w:tc>
        <w:tc>
          <w:tcPr>
            <w:tcW w:type="dxa" w:w="1474"/>
            <w:shd w:fill="0F172A"/>
            <w:tcMar>
              <w:top w:w="85" w:type="dxa"/>
              <w:start w:w="100" w:type="dxa"/>
              <w:bottom w:w="85" w:type="dxa"/>
              <w:end w:w="100" w:type="dxa"/>
            </w:tcMar>
            <w:vAlign w:val="center"/>
          </w:tcPr>
          <w:p>
            <w:pPr>
              <w:spacing w:after="0"/>
            </w:pPr>
            <w:r>
              <w:rPr>
                <w:rFonts w:ascii="Aptos" w:hAnsi="Aptos"/>
                <w:b/>
                <w:i w:val="0"/>
                <w:color w:val="FFFFFF"/>
                <w:sz w:val="15"/>
              </w:rPr>
              <w:t>Coverage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B1</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Account activation / registration</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Use the normal route and confirm the learner account can be created or activated.</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Assigned where needed</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B2</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Sign in</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Sign out, then sign in again normally.</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B3</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Correct course access</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Open the course assigned to your learner account.</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B4</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Course entitlement / separation</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Confirm an unassigned course is not incorrectly available.</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Assigned</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B5</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Start / resume</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Start the course or return to the correct place where you stopped.</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B6</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Required-action gating</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On one required activity, check that it cannot be improperly skipped.</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B7</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Normal progression</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Complete the required activity correctly and confirm progression then works.</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B8</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Exit / reopen persistence</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Advance at least one screen, exit, reopen and confirm the correct progress returns.</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B9</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Meaningful use on assigned device</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Complete at least one real learning activity on the assigned device.</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B10</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Video / media</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Open and use at least one video or media element.</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B11</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Final assessment</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Complete the course assessment or final test.</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B12</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Completion / certificate</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Confirm completion and certificate information appear correctly.</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B13</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Return after completion</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Reopen the course and confirm completion remains recorded.</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Assigned</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B14</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Cross-user separation</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Confirm another learner's progress or records are not visible.</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Assigned</w:t>
            </w:r>
          </w:p>
        </w:tc>
      </w:tr>
      <w:tr>
        <w:trPr>
          <w:cantSplit/>
        </w:trPr>
        <w:tc>
          <w:tcPr>
            <w:tcW w:type="dxa" w:w="680"/>
            <w:tcMar>
              <w:top w:w="85" w:type="dxa"/>
              <w:start w:w="100" w:type="dxa"/>
              <w:bottom w:w="85" w:type="dxa"/>
              <w:end w:w="100" w:type="dxa"/>
            </w:tcMar>
            <w:vAlign w:val="top"/>
          </w:tcPr>
          <w:p>
            <w:pPr>
              <w:spacing w:after="0" w:line="240" w:lineRule="auto"/>
            </w:pPr>
            <w:r>
              <w:rPr>
                <w:rFonts w:ascii="Aptos" w:hAnsi="Aptos"/>
                <w:b w:val="0"/>
                <w:i w:val="0"/>
                <w:color w:val="111827"/>
                <w:sz w:val="15"/>
              </w:rPr>
              <w:t>B15</w:t>
            </w:r>
          </w:p>
        </w:tc>
        <w:tc>
          <w:tcPr>
            <w:tcW w:type="dxa" w:w="2438"/>
            <w:tcMar>
              <w:top w:w="85" w:type="dxa"/>
              <w:start w:w="100" w:type="dxa"/>
              <w:bottom w:w="85" w:type="dxa"/>
              <w:end w:w="100" w:type="dxa"/>
            </w:tcMar>
            <w:vAlign w:val="top"/>
          </w:tcPr>
          <w:p>
            <w:pPr>
              <w:spacing w:after="0" w:line="240" w:lineRule="auto"/>
            </w:pPr>
            <w:r>
              <w:rPr>
                <w:rFonts w:ascii="Aptos" w:hAnsi="Aptos"/>
                <w:b w:val="0"/>
                <w:i w:val="0"/>
                <w:color w:val="111827"/>
                <w:sz w:val="15"/>
              </w:rPr>
              <w:t>Feedback / support route</w:t>
            </w:r>
          </w:p>
        </w:tc>
        <w:tc>
          <w:tcPr>
            <w:tcW w:type="dxa" w:w="4706"/>
            <w:tcMar>
              <w:top w:w="85" w:type="dxa"/>
              <w:start w:w="100" w:type="dxa"/>
              <w:bottom w:w="85" w:type="dxa"/>
              <w:end w:w="100" w:type="dxa"/>
            </w:tcMar>
            <w:vAlign w:val="top"/>
          </w:tcPr>
          <w:p>
            <w:pPr>
              <w:spacing w:after="0" w:line="240" w:lineRule="auto"/>
            </w:pPr>
            <w:r>
              <w:rPr>
                <w:rFonts w:ascii="Aptos" w:hAnsi="Aptos"/>
                <w:b w:val="0"/>
                <w:i w:val="0"/>
                <w:color w:val="111827"/>
                <w:sz w:val="15"/>
              </w:rPr>
              <w:t>Confirm the learner can identify where to give feedback or get help.</w:t>
            </w:r>
          </w:p>
        </w:tc>
        <w:tc>
          <w:tcPr>
            <w:tcW w:type="dxa" w:w="1474"/>
            <w:tcMar>
              <w:top w:w="85" w:type="dxa"/>
              <w:start w:w="100" w:type="dxa"/>
              <w:bottom w:w="85" w:type="dxa"/>
              <w:end w:w="100" w:type="dxa"/>
            </w:tcMar>
            <w:vAlign w:val="top"/>
          </w:tcPr>
          <w:p>
            <w:pPr>
              <w:spacing w:after="0" w:line="240" w:lineRule="auto"/>
            </w:pPr>
            <w:r>
              <w:rPr>
                <w:rFonts w:ascii="Aptos" w:hAnsi="Aptos"/>
                <w:b w:val="0"/>
                <w:i w:val="0"/>
                <w:color w:val="111827"/>
                <w:sz w:val="15"/>
              </w:rPr>
              <w:t>Core</w:t>
            </w:r>
          </w:p>
        </w:tc>
      </w:tr>
      <w:tr>
        <w:trPr>
          <w:cantSplit/>
        </w:trPr>
        <w:tc>
          <w:tcPr>
            <w:tcW w:type="dxa" w:w="680"/>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B16</w:t>
            </w:r>
          </w:p>
        </w:tc>
        <w:tc>
          <w:tcPr>
            <w:tcW w:type="dxa" w:w="2438"/>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Second device / browser</w:t>
            </w:r>
          </w:p>
        </w:tc>
        <w:tc>
          <w:tcPr>
            <w:tcW w:type="dxa" w:w="4706"/>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Complete a meaningful activity and confirm the experience on the assigned second device/browser.</w:t>
            </w:r>
          </w:p>
        </w:tc>
        <w:tc>
          <w:tcPr>
            <w:tcW w:type="dxa" w:w="1474"/>
            <w:tcMar>
              <w:top w:w="85" w:type="dxa"/>
              <w:start w:w="100" w:type="dxa"/>
              <w:bottom w:w="85" w:type="dxa"/>
              <w:end w:w="100" w:type="dxa"/>
            </w:tcMar>
            <w:shd w:fill="F8FAFC"/>
            <w:vAlign w:val="top"/>
          </w:tcPr>
          <w:p>
            <w:pPr>
              <w:spacing w:after="0" w:line="240" w:lineRule="auto"/>
            </w:pPr>
            <w:r>
              <w:rPr>
                <w:rFonts w:ascii="Aptos" w:hAnsi="Aptos"/>
                <w:b w:val="0"/>
                <w:i w:val="0"/>
                <w:color w:val="111827"/>
                <w:sz w:val="15"/>
              </w:rPr>
              <w:t>Assigned</w:t>
            </w:r>
          </w:p>
        </w:tc>
      </w:tr>
    </w:tbl>
    <w:p>
      <w:pPr>
        <w:spacing w:after="20"/>
      </w:pPr>
    </w:p>
    <w:p>
      <w:pPr>
        <w:pStyle w:val="Heading2"/>
        <w:keepNext/>
        <w:spacing w:before="100" w:after="80"/>
      </w:pPr>
      <w:r>
        <w:rPr>
          <w:rFonts w:ascii="Aptos Display" w:hAnsi="Aptos Display"/>
          <w:b/>
          <w:i w:val="0"/>
          <w:color w:val="0F172A"/>
          <w:sz w:val="25"/>
        </w:rPr>
        <w:t>11.1 Critical evidence</w:t>
      </w:r>
    </w:p>
    <w:p>
      <w:pPr>
        <w:spacing w:before="0" w:after="80" w:line="259" w:lineRule="auto"/>
      </w:pPr>
      <w:r>
        <w:rPr>
          <w:rFonts w:ascii="Aptos" w:hAnsi="Aptos"/>
          <w:b w:val="0"/>
          <w:i w:val="0"/>
          <w:color w:val="111827"/>
          <w:sz w:val="19"/>
        </w:rPr>
        <w:t>Access, learner/account separation, progression and saved progress are critical. Assessment, completion and certificate reliability are also important evidence. If any of these fail, submit a Quick Finding immediately and contact the agreed support channel.</w:t>
      </w:r>
    </w:p>
    <w:p>
      <w:pPr>
        <w:spacing w:before="0" w:after="80" w:line="259" w:lineRule="auto"/>
      </w:pPr>
      <w:r>
        <w:rPr>
          <w:rFonts w:ascii="Aptos" w:hAnsi="Aptos"/>
          <w:b w:val="0"/>
          <w:i w:val="0"/>
          <w:color w:val="111827"/>
          <w:sz w:val="19"/>
        </w:rPr>
        <w:t>Record the course, module/screen/activity or stable identifier, what you selected or did, what appeared next, and whether the same result happened again. Add a screenshot only when it materially clarifies the issue.</w:t>
      </w:r>
    </w:p>
    <w:p>
      <w:pPr>
        <w:pStyle w:val="Heading2"/>
        <w:keepNext/>
        <w:spacing w:before="100" w:after="80"/>
      </w:pPr>
      <w:r>
        <w:rPr>
          <w:rFonts w:ascii="Aptos Display" w:hAnsi="Aptos Display"/>
          <w:b/>
          <w:i w:val="0"/>
          <w:color w:val="0F172A"/>
          <w:sz w:val="25"/>
        </w:rPr>
        <w:t>11.2 What counts as a possible blocker</w:t>
      </w:r>
    </w:p>
    <w:p>
      <w:pPr>
        <w:pStyle w:val="ListBullet"/>
        <w:spacing w:after="40" w:line="252" w:lineRule="auto"/>
      </w:pPr>
      <w:r>
        <w:rPr>
          <w:rFonts w:ascii="Aptos" w:hAnsi="Aptos"/>
          <w:b w:val="0"/>
          <w:i w:val="0"/>
          <w:color w:val="111827"/>
          <w:sz w:val="19"/>
        </w:rPr>
        <w:t>A learner cannot register/activate, sign in or reach the assigned course.</w:t>
      </w:r>
    </w:p>
    <w:p>
      <w:pPr>
        <w:pStyle w:val="ListBullet"/>
        <w:spacing w:after="40" w:line="252" w:lineRule="auto"/>
      </w:pPr>
      <w:r>
        <w:rPr>
          <w:rFonts w:ascii="Aptos" w:hAnsi="Aptos"/>
          <w:b w:val="0"/>
          <w:i w:val="0"/>
          <w:color w:val="111827"/>
          <w:sz w:val="19"/>
        </w:rPr>
        <w:t>A learner can see another learner's assignment, progress, assessment or certificate.</w:t>
      </w:r>
    </w:p>
    <w:p>
      <w:pPr>
        <w:pStyle w:val="ListBullet"/>
        <w:spacing w:after="40" w:line="252" w:lineRule="auto"/>
      </w:pPr>
      <w:r>
        <w:rPr>
          <w:rFonts w:ascii="Aptos" w:hAnsi="Aptos"/>
          <w:b w:val="0"/>
          <w:i w:val="0"/>
          <w:color w:val="111827"/>
          <w:sz w:val="19"/>
        </w:rPr>
        <w:t>Required progression does not unlock after the correct action, or a genuinely required action can be improperly skipped.</w:t>
      </w:r>
    </w:p>
    <w:p>
      <w:pPr>
        <w:pStyle w:val="ListBullet"/>
        <w:spacing w:after="40" w:line="252" w:lineRule="auto"/>
      </w:pPr>
      <w:r>
        <w:rPr>
          <w:rFonts w:ascii="Aptos" w:hAnsi="Aptos"/>
          <w:b w:val="0"/>
          <w:i w:val="0"/>
          <w:color w:val="111827"/>
          <w:sz w:val="19"/>
        </w:rPr>
        <w:t>Progress is lost or attached to the wrong learner.</w:t>
      </w:r>
    </w:p>
    <w:p>
      <w:pPr>
        <w:pStyle w:val="ListBullet"/>
        <w:spacing w:after="40" w:line="252" w:lineRule="auto"/>
      </w:pPr>
      <w:r>
        <w:rPr>
          <w:rFonts w:ascii="Aptos" w:hAnsi="Aptos"/>
          <w:b w:val="0"/>
          <w:i w:val="0"/>
          <w:color w:val="111827"/>
          <w:sz w:val="19"/>
        </w:rPr>
        <w:t>Assessment, completion or certificate cannot be reached or is materially wrong.</w:t>
      </w:r>
    </w:p>
    <w:p>
      <w:pPr>
        <w:pStyle w:val="ListBullet"/>
        <w:spacing w:after="40" w:line="252" w:lineRule="auto"/>
      </w:pPr>
      <w:r>
        <w:rPr>
          <w:rFonts w:ascii="Aptos" w:hAnsi="Aptos"/>
          <w:b w:val="0"/>
          <w:i w:val="0"/>
          <w:color w:val="111827"/>
          <w:sz w:val="19"/>
        </w:rPr>
        <w:t>A major content or learning error creates a misleading, harmful or impossible route.</w:t>
      </w:r>
    </w:p>
    <w:p>
      <w:pPr>
        <w:pStyle w:val="ListBullet"/>
        <w:spacing w:after="40" w:line="252" w:lineRule="auto"/>
      </w:pPr>
      <w:r>
        <w:rPr>
          <w:rFonts w:ascii="Aptos" w:hAnsi="Aptos"/>
          <w:b w:val="0"/>
          <w:i w:val="0"/>
          <w:color w:val="111827"/>
          <w:sz w:val="19"/>
        </w:rPr>
        <w:t>A severe accessibility or usability barrier prevents the learner from completing a core task.</w:t>
      </w:r>
    </w:p>
    <w:tbl>
      <w:tblPr>
        <w:tblW w:type="auto" w:w="0"/>
        <w:jc w:val="center"/>
        <w:tblLayout w:type="autofit"/>
        <w:tblLook w:firstColumn="1" w:firstRow="1" w:lastColumn="0" w:lastRow="0" w:noHBand="0" w:noVBand="1" w:val="04A0"/>
      </w:tblPr>
      <w:tblGrid>
        <w:gridCol w:w="9866"/>
      </w:tblGrid>
      <w:tr>
        <w:trPr>
          <w:cantSplit/>
        </w:trPr>
        <w:tc>
          <w:tcPr>
            <w:tcW w:type="dxa" w:w="9866"/>
            <w:shd w:fill="FFF4E5"/>
            <w:tcMar>
              <w:top w:w="110" w:type="dxa"/>
              <w:start w:w="130" w:type="dxa"/>
              <w:bottom w:w="110" w:type="dxa"/>
              <w:end w:w="130" w:type="dxa"/>
            </w:tcMar>
            <w:tcBorders>
              <w:left w:val="single" w:sz="18" w:color="F59E0B"/>
              <w:top w:val="single" w:sz="4" w:color="D8E6EA"/>
              <w:bottom w:val="single" w:sz="4" w:color="D8E6EA"/>
              <w:right w:val="single" w:sz="4" w:color="D8E6EA"/>
            </w:tcBorders>
          </w:tcPr>
          <w:p>
            <w:pPr>
              <w:spacing w:after="0"/>
            </w:pPr>
            <w:r>
              <w:rPr>
                <w:rFonts w:ascii="Aptos" w:hAnsi="Aptos"/>
                <w:b/>
                <w:i w:val="0"/>
                <w:color w:val="0F172A"/>
                <w:sz w:val="20"/>
              </w:rPr>
              <w:t>When unsure</w:t>
              <w:br/>
            </w:r>
            <w:r>
              <w:rPr>
                <w:rFonts w:ascii="Aptos" w:hAnsi="Aptos"/>
                <w:b w:val="0"/>
                <w:i w:val="0"/>
                <w:color w:val="111827"/>
                <w:sz w:val="18"/>
              </w:rPr>
              <w:t>Mark the issue as Not sure / needs investigation where the form allows, explain what you observed and ask DEC to investigate. A challenging learning activity is not automatically a blocker.</w:t>
            </w:r>
          </w:p>
        </w:tc>
      </w:tr>
    </w:tbl>
    <w:p>
      <w:pPr>
        <w:spacing w:after="20"/>
      </w:pPr>
    </w:p>
    <w:p>
      <w:pPr>
        <w:pStyle w:val="Heading1"/>
        <w:keepNext/>
        <w:spacing w:before="160" w:after="80"/>
      </w:pPr>
      <w:r>
        <w:rPr>
          <w:rFonts w:ascii="Aptos Display" w:hAnsi="Aptos Display"/>
          <w:b/>
          <w:i w:val="0"/>
          <w:color w:val="0F172A"/>
          <w:sz w:val="32"/>
        </w:rPr>
        <w:t>12. Final Course Review: Six Quality Domains</w:t>
      </w:r>
    </w:p>
    <w:p>
      <w:pPr>
        <w:spacing w:before="0" w:after="80" w:line="259" w:lineRule="auto"/>
      </w:pPr>
      <w:r>
        <w:rPr>
          <w:rFonts w:ascii="Aptos" w:hAnsi="Aptos"/>
          <w:b w:val="0"/>
          <w:i w:val="0"/>
          <w:color w:val="111827"/>
          <w:sz w:val="19"/>
        </w:rPr>
        <w:t>Complete the Final Course Review once after finishing or reviewing your assigned course. First look back at your Quick Findings. Rate only what you experienced.</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0F172A"/>
            <w:tcMar>
              <w:top w:w="85" w:type="dxa"/>
              <w:start w:w="100" w:type="dxa"/>
              <w:bottom w:w="85" w:type="dxa"/>
              <w:end w:w="100" w:type="dxa"/>
            </w:tcMar>
            <w:vAlign w:val="center"/>
          </w:tcPr>
          <w:p>
            <w:pPr>
              <w:spacing w:after="0"/>
            </w:pPr>
            <w:r>
              <w:rPr>
                <w:rFonts w:ascii="Aptos" w:hAnsi="Aptos"/>
                <w:b/>
                <w:i w:val="0"/>
                <w:color w:val="FFFFFF"/>
                <w:sz w:val="16"/>
              </w:rPr>
              <w:t>Domain</w:t>
            </w:r>
          </w:p>
        </w:tc>
        <w:tc>
          <w:tcPr>
            <w:tcW w:type="dxa" w:w="6747"/>
            <w:shd w:fill="0F172A"/>
            <w:tcMar>
              <w:top w:w="85" w:type="dxa"/>
              <w:start w:w="100" w:type="dxa"/>
              <w:bottom w:w="85" w:type="dxa"/>
              <w:end w:w="100" w:type="dxa"/>
            </w:tcMar>
            <w:vAlign w:val="center"/>
          </w:tcPr>
          <w:p>
            <w:pPr>
              <w:spacing w:after="0"/>
            </w:pPr>
            <w:r>
              <w:rPr>
                <w:rFonts w:ascii="Aptos" w:hAnsi="Aptos"/>
                <w:b/>
                <w:i w:val="0"/>
                <w:color w:val="FFFFFF"/>
                <w:sz w:val="16"/>
              </w:rPr>
              <w:t>What to consider</w:t>
            </w:r>
          </w:p>
        </w:tc>
      </w:tr>
      <w:tr>
        <w:trPr>
          <w:cantSplit/>
        </w:trPr>
        <w:tc>
          <w:tcPr>
            <w:tcW w:type="dxa" w:w="2551"/>
            <w:tcMar>
              <w:top w:w="85" w:type="dxa"/>
              <w:start w:w="100" w:type="dxa"/>
              <w:bottom w:w="85" w:type="dxa"/>
              <w:end w:w="100" w:type="dxa"/>
            </w:tcMar>
            <w:vAlign w:val="top"/>
          </w:tcPr>
          <w:p>
            <w:pPr>
              <w:spacing w:after="0" w:line="240" w:lineRule="auto"/>
            </w:pPr>
            <w:r>
              <w:rPr>
                <w:rFonts w:ascii="Aptos" w:hAnsi="Aptos"/>
                <w:b w:val="0"/>
                <w:i w:val="0"/>
                <w:color w:val="111827"/>
                <w:sz w:val="16"/>
              </w:rPr>
              <w:t>1. Access &amp; Entry</w:t>
            </w:r>
          </w:p>
        </w:tc>
        <w:tc>
          <w:tcPr>
            <w:tcW w:type="dxa" w:w="6747"/>
            <w:tcMar>
              <w:top w:w="85" w:type="dxa"/>
              <w:start w:w="100" w:type="dxa"/>
              <w:bottom w:w="85" w:type="dxa"/>
              <w:end w:w="100" w:type="dxa"/>
            </w:tcMar>
            <w:vAlign w:val="top"/>
          </w:tcPr>
          <w:p>
            <w:pPr>
              <w:spacing w:after="0" w:line="240" w:lineRule="auto"/>
            </w:pPr>
            <w:r>
              <w:rPr>
                <w:rFonts w:ascii="Aptos" w:hAnsi="Aptos"/>
                <w:b w:val="0"/>
                <w:i w:val="0"/>
                <w:color w:val="111827"/>
                <w:sz w:val="16"/>
              </w:rPr>
              <w:t>Entering, registration/sign-in, finding/continuing the course, learner-linked progress, return and device/browser experience.</w:t>
            </w:r>
          </w:p>
        </w:tc>
      </w:tr>
      <w:tr>
        <w:trPr>
          <w:cantSplit/>
        </w:trPr>
        <w:tc>
          <w:tcPr>
            <w:tcW w:type="dxa" w:w="255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2. Learning Experience</w:t>
            </w:r>
          </w:p>
        </w:tc>
        <w:tc>
          <w:tcPr>
            <w:tcW w:type="dxa" w:w="6747"/>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Instructions, navigation, required actions, readability, pacing, corrective feedback and mobile learning.</w:t>
            </w:r>
          </w:p>
        </w:tc>
      </w:tr>
      <w:tr>
        <w:trPr>
          <w:cantSplit/>
        </w:trPr>
        <w:tc>
          <w:tcPr>
            <w:tcW w:type="dxa" w:w="2551"/>
            <w:tcMar>
              <w:top w:w="85" w:type="dxa"/>
              <w:start w:w="100" w:type="dxa"/>
              <w:bottom w:w="85" w:type="dxa"/>
              <w:end w:w="100" w:type="dxa"/>
            </w:tcMar>
            <w:vAlign w:val="top"/>
          </w:tcPr>
          <w:p>
            <w:pPr>
              <w:spacing w:after="0" w:line="240" w:lineRule="auto"/>
            </w:pPr>
            <w:r>
              <w:rPr>
                <w:rFonts w:ascii="Aptos" w:hAnsi="Aptos"/>
                <w:b w:val="0"/>
                <w:i w:val="0"/>
                <w:color w:val="111827"/>
                <w:sz w:val="16"/>
              </w:rPr>
              <w:t>3. Learning &amp; Better Decisions</w:t>
            </w:r>
          </w:p>
        </w:tc>
        <w:tc>
          <w:tcPr>
            <w:tcW w:type="dxa" w:w="6747"/>
            <w:tcMar>
              <w:top w:w="85" w:type="dxa"/>
              <w:start w:w="100" w:type="dxa"/>
              <w:bottom w:w="85" w:type="dxa"/>
              <w:end w:w="100" w:type="dxa"/>
            </w:tcMar>
            <w:vAlign w:val="top"/>
          </w:tcPr>
          <w:p>
            <w:pPr>
              <w:spacing w:after="0" w:line="240" w:lineRule="auto"/>
            </w:pPr>
            <w:r>
              <w:rPr>
                <w:rFonts w:ascii="Aptos" w:hAnsi="Aptos"/>
                <w:b w:val="0"/>
                <w:i w:val="0"/>
                <w:color w:val="111827"/>
                <w:sz w:val="16"/>
              </w:rPr>
              <w:t>Whether the course helps the learner understand, make meaningful decisions, improve weak decisions, apply learning progressively and complete an aligned assessment.</w:t>
            </w:r>
          </w:p>
        </w:tc>
      </w:tr>
      <w:tr>
        <w:trPr>
          <w:cantSplit/>
        </w:trPr>
        <w:tc>
          <w:tcPr>
            <w:tcW w:type="dxa" w:w="255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4. Context &amp; Relevance</w:t>
            </w:r>
          </w:p>
        </w:tc>
        <w:tc>
          <w:tcPr>
            <w:tcW w:type="dxa" w:w="6747"/>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Understandable language, credible cases, adaptability, respectful inclusion and realistic CSO constraints.</w:t>
            </w:r>
          </w:p>
        </w:tc>
      </w:tr>
      <w:tr>
        <w:trPr>
          <w:cantSplit/>
        </w:trPr>
        <w:tc>
          <w:tcPr>
            <w:tcW w:type="dxa" w:w="2551"/>
            <w:tcMar>
              <w:top w:w="85" w:type="dxa"/>
              <w:start w:w="100" w:type="dxa"/>
              <w:bottom w:w="85" w:type="dxa"/>
              <w:end w:w="100" w:type="dxa"/>
            </w:tcMar>
            <w:vAlign w:val="top"/>
          </w:tcPr>
          <w:p>
            <w:pPr>
              <w:spacing w:after="0" w:line="240" w:lineRule="auto"/>
            </w:pPr>
            <w:r>
              <w:rPr>
                <w:rFonts w:ascii="Aptos" w:hAnsi="Aptos"/>
                <w:b w:val="0"/>
                <w:i w:val="0"/>
                <w:color w:val="111827"/>
                <w:sz w:val="16"/>
              </w:rPr>
              <w:t>5. Application &amp; Transfer</w:t>
            </w:r>
          </w:p>
        </w:tc>
        <w:tc>
          <w:tcPr>
            <w:tcW w:type="dxa" w:w="6747"/>
            <w:tcMar>
              <w:top w:w="85" w:type="dxa"/>
              <w:start w:w="100" w:type="dxa"/>
              <w:bottom w:w="85" w:type="dxa"/>
              <w:end w:w="100" w:type="dxa"/>
            </w:tcMar>
            <w:vAlign w:val="top"/>
          </w:tcPr>
          <w:p>
            <w:pPr>
              <w:spacing w:after="0" w:line="240" w:lineRule="auto"/>
            </w:pPr>
            <w:r>
              <w:rPr>
                <w:rFonts w:ascii="Aptos" w:hAnsi="Aptos"/>
                <w:b w:val="0"/>
                <w:i w:val="0"/>
                <w:color w:val="111827"/>
                <w:sz w:val="16"/>
              </w:rPr>
              <w:t>A realistic workplace use, an adaptable tool/activity and connection to a real task, decision or organisational conversation.</w:t>
            </w:r>
          </w:p>
        </w:tc>
      </w:tr>
      <w:tr>
        <w:trPr>
          <w:cantSplit/>
        </w:trPr>
        <w:tc>
          <w:tcPr>
            <w:tcW w:type="dxa" w:w="2551"/>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6. DEC Operational Readiness</w:t>
            </w:r>
          </w:p>
        </w:tc>
        <w:tc>
          <w:tcPr>
            <w:tcW w:type="dxa" w:w="6747"/>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Learner support, reliable records, certificate, feedback route, common difficulties, manageability and usefulness of evidence.</w:t>
            </w:r>
          </w:p>
        </w:tc>
      </w:tr>
    </w:tbl>
    <w:p>
      <w:pPr>
        <w:spacing w:after="20"/>
      </w:pPr>
    </w:p>
    <w:p>
      <w:pPr>
        <w:pStyle w:val="Heading2"/>
        <w:keepNext/>
        <w:spacing w:before="100" w:after="80"/>
      </w:pPr>
      <w:r>
        <w:rPr>
          <w:rFonts w:ascii="Aptos Display" w:hAnsi="Aptos Display"/>
          <w:b/>
          <w:i w:val="0"/>
          <w:color w:val="0F172A"/>
          <w:sz w:val="25"/>
        </w:rPr>
        <w:t>12.1 Course-specific learning judgment</w:t>
      </w:r>
    </w:p>
    <w:p>
      <w:pPr>
        <w:spacing w:before="0" w:after="80" w:line="259" w:lineRule="auto"/>
      </w:pPr>
      <w:r>
        <w:rPr>
          <w:rFonts w:ascii="Aptos" w:hAnsi="Aptos"/>
          <w:b w:val="0"/>
          <w:i w:val="0"/>
          <w:color w:val="111827"/>
          <w:sz w:val="19"/>
        </w:rPr>
        <w:t>Domain 3 includes course-specific indicators. For HRBA, focus on rights and responsibilities, power/inclusion, project design, implementation and MEAL/accountability. For Project Management, focus on purpose/results, stakeholders/responsibilities, planning, risks/change, monitoring/adaptation and closure.</w:t>
      </w:r>
    </w:p>
    <w:p>
      <w:pPr>
        <w:pStyle w:val="Heading2"/>
        <w:keepNext/>
        <w:spacing w:before="100" w:after="80"/>
      </w:pPr>
      <w:r>
        <w:rPr>
          <w:rFonts w:ascii="Aptos Display" w:hAnsi="Aptos Display"/>
          <w:b/>
          <w:i w:val="0"/>
          <w:color w:val="0F172A"/>
          <w:sz w:val="25"/>
        </w:rPr>
        <w:t>12.2 Comment rules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tcMar>
              <w:top w:w="85" w:type="dxa"/>
              <w:start w:w="100" w:type="dxa"/>
              <w:bottom w:w="85" w:type="dxa"/>
              <w:end w:w="100" w:type="dxa"/>
            </w:tcMar>
            <w:vAlign w:val="center"/>
          </w:tcPr>
          <w:p>
            <w:pPr>
              <w:spacing w:after="0"/>
            </w:pPr>
            <w:r>
              <w:rPr>
                <w:rFonts w:ascii="Aptos" w:hAnsi="Aptos"/>
                <w:b/>
                <w:i w:val="0"/>
                <w:color w:val="FFFFFF"/>
                <w:sz w:val="17"/>
              </w:rPr>
              <w:t>Rating</w:t>
            </w:r>
          </w:p>
        </w:tc>
        <w:tc>
          <w:tcPr>
            <w:tcW w:type="dxa" w:w="7030"/>
            <w:shd w:fill="0F172A"/>
            <w:tcMar>
              <w:top w:w="85" w:type="dxa"/>
              <w:start w:w="100" w:type="dxa"/>
              <w:bottom w:w="85" w:type="dxa"/>
              <w:end w:w="100" w:type="dxa"/>
            </w:tcMar>
            <w:vAlign w:val="center"/>
          </w:tcPr>
          <w:p>
            <w:pPr>
              <w:spacing w:after="0"/>
            </w:pPr>
            <w:r>
              <w:rPr>
                <w:rFonts w:ascii="Aptos" w:hAnsi="Aptos"/>
                <w:b/>
                <w:i w:val="0"/>
                <w:color w:val="FFFFFF"/>
                <w:sz w:val="17"/>
              </w:rPr>
              <w:t>Comment rule</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0 BLOCKED</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Explain what happened and what would improve it - required.</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1 FRAGILE</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Explain what happened and what would improve it - required.</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2 WORKABLE</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Add an improvement comment when useful - optional.</w:t>
            </w:r>
          </w:p>
        </w:tc>
      </w:tr>
      <w:tr>
        <w:trPr>
          <w:cantSplit/>
        </w:trPr>
        <w:tc>
          <w:tcPr>
            <w:tcW w:type="dxa" w:w="226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3 STRONG</w:t>
            </w:r>
          </w:p>
        </w:tc>
        <w:tc>
          <w:tcPr>
            <w:tcW w:type="dxa" w:w="703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No comment required. Use KEEP at the end to identify the strongest feature.</w:t>
            </w:r>
          </w:p>
        </w:tc>
      </w:tr>
      <w:tr>
        <w:trPr>
          <w:cantSplit/>
        </w:trPr>
        <w:tc>
          <w:tcPr>
            <w:tcW w:type="dxa" w:w="2268"/>
            <w:tcMar>
              <w:top w:w="85" w:type="dxa"/>
              <w:start w:w="100" w:type="dxa"/>
              <w:bottom w:w="85" w:type="dxa"/>
              <w:end w:w="100" w:type="dxa"/>
            </w:tcMar>
            <w:vAlign w:val="top"/>
          </w:tcPr>
          <w:p>
            <w:pPr>
              <w:spacing w:after="0" w:line="240" w:lineRule="auto"/>
            </w:pPr>
            <w:r>
              <w:rPr>
                <w:rFonts w:ascii="Aptos" w:hAnsi="Aptos"/>
                <w:b w:val="0"/>
                <w:i w:val="0"/>
                <w:color w:val="111827"/>
                <w:sz w:val="17"/>
              </w:rPr>
              <w:t>NOT TESTED / N/A</w:t>
            </w:r>
          </w:p>
        </w:tc>
        <w:tc>
          <w:tcPr>
            <w:tcW w:type="dxa" w:w="7030"/>
            <w:tcMar>
              <w:top w:w="85" w:type="dxa"/>
              <w:start w:w="100" w:type="dxa"/>
              <w:bottom w:w="85" w:type="dxa"/>
              <w:end w:w="100" w:type="dxa"/>
            </w:tcMar>
            <w:vAlign w:val="top"/>
          </w:tcPr>
          <w:p>
            <w:pPr>
              <w:spacing w:after="0" w:line="240" w:lineRule="auto"/>
            </w:pPr>
            <w:r>
              <w:rPr>
                <w:rFonts w:ascii="Aptos" w:hAnsi="Aptos"/>
                <w:b w:val="0"/>
                <w:i w:val="0"/>
                <w:color w:val="111827"/>
                <w:sz w:val="17"/>
              </w:rPr>
              <w:t>Do not invent a rating. Explain missing critical evidence when the assigned check was not completed and the form asks.</w:t>
            </w:r>
          </w:p>
        </w:tc>
      </w:tr>
    </w:tbl>
    <w:p>
      <w:pPr>
        <w:spacing w:after="20"/>
      </w:pPr>
    </w:p>
    <w:p>
      <w:pPr>
        <w:pStyle w:val="Heading2"/>
        <w:keepNext/>
        <w:spacing w:before="100" w:after="80"/>
      </w:pPr>
      <w:r>
        <w:rPr>
          <w:rFonts w:ascii="Aptos Display" w:hAnsi="Aptos Display"/>
          <w:b/>
          <w:i w:val="0"/>
          <w:color w:val="0F172A"/>
          <w:sz w:val="25"/>
        </w:rPr>
        <w:t>12.3 Use the open-ended questions</w:t>
      </w:r>
    </w:p>
    <w:p>
      <w:pPr>
        <w:spacing w:before="0" w:after="80" w:line="259" w:lineRule="auto"/>
      </w:pPr>
      <w:r>
        <w:rPr>
          <w:rFonts w:ascii="Aptos" w:hAnsi="Aptos"/>
          <w:b w:val="0"/>
          <w:i w:val="0"/>
          <w:color w:val="111827"/>
          <w:sz w:val="19"/>
        </w:rPr>
        <w:t>The internal pilot is also an opportunity to improve the review instrument itself. Use the open questions when something important is missing, a rating is difficult to apply, or a question feels repetitive or unclear. This evidence will help DEC simplify and strengthen the form before the selected-CSO pilot.</w:t>
      </w:r>
    </w:p>
    <w:p>
      <w:pPr>
        <w:pStyle w:val="Heading1"/>
        <w:keepNext/>
        <w:spacing w:before="160" w:after="80"/>
      </w:pPr>
      <w:r>
        <w:rPr>
          <w:rFonts w:ascii="Aptos Display" w:hAnsi="Aptos Display"/>
          <w:b/>
          <w:i w:val="0"/>
          <w:color w:val="0F172A"/>
          <w:sz w:val="32"/>
        </w:rPr>
        <w:t>13. Quick Findings and Evidence Writing</w:t>
      </w:r>
    </w:p>
    <w:p>
      <w:pPr>
        <w:spacing w:before="0" w:after="80" w:line="259" w:lineRule="auto"/>
      </w:pPr>
      <w:r>
        <w:rPr>
          <w:rFonts w:ascii="Aptos" w:hAnsi="Aptos"/>
          <w:b w:val="0"/>
          <w:i w:val="0"/>
          <w:color w:val="111827"/>
          <w:sz w:val="19"/>
        </w:rPr>
        <w:t>Use Quick Finding while learning when something important happens. One submission equals one observation. Submit again for a different observation.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6"/>
              </w:rPr>
              <w:t>Submit a Quick Finding now</w:t>
            </w:r>
          </w:p>
        </w:tc>
        <w:tc>
          <w:tcPr>
            <w:tcW w:type="dxa" w:w="4649"/>
            <w:shd w:fill="0F172A"/>
            <w:tcMar>
              <w:top w:w="85" w:type="dxa"/>
              <w:start w:w="100" w:type="dxa"/>
              <w:bottom w:w="85" w:type="dxa"/>
              <w:end w:w="100" w:type="dxa"/>
            </w:tcMar>
            <w:vAlign w:val="center"/>
          </w:tcPr>
          <w:p>
            <w:pPr>
              <w:spacing w:after="0"/>
            </w:pPr>
            <w:r>
              <w:rPr>
                <w:rFonts w:ascii="Aptos" w:hAnsi="Aptos"/>
                <w:b/>
                <w:i w:val="0"/>
                <w:color w:val="FFFFFF"/>
                <w:sz w:val="16"/>
              </w:rPr>
              <w:t>Wait for the Final Review</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possible blocker or serious access/progression/record problem.</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general view about the whole course.</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A specific screen/activity that is confusing, repetitive, unnecessarily long or does not behave as expected.</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A rating that needs the full course for fair judgment.</w:t>
            </w:r>
          </w:p>
        </w:tc>
      </w:tr>
      <w:tr>
        <w:trPr>
          <w:cantSplit/>
        </w:trPr>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strong feature, activity or feedback approach that DEC should retain and may otherwise miss.</w:t>
            </w:r>
          </w:p>
        </w:tc>
        <w:tc>
          <w:tcPr>
            <w:tcW w:type="dxa" w:w="4649"/>
            <w:tcMar>
              <w:top w:w="85" w:type="dxa"/>
              <w:start w:w="100" w:type="dxa"/>
              <w:bottom w:w="85" w:type="dxa"/>
              <w:end w:w="100" w:type="dxa"/>
            </w:tcMar>
            <w:vAlign w:val="top"/>
          </w:tcPr>
          <w:p>
            <w:pPr>
              <w:spacing w:after="0" w:line="240" w:lineRule="auto"/>
            </w:pPr>
            <w:r>
              <w:rPr>
                <w:rFonts w:ascii="Aptos" w:hAnsi="Aptos"/>
                <w:b w:val="0"/>
                <w:i w:val="0"/>
                <w:color w:val="111827"/>
                <w:sz w:val="16"/>
              </w:rPr>
              <w:t>A minor preference that did not affect learning.</w:t>
            </w:r>
          </w:p>
        </w:tc>
      </w:tr>
      <w:tr>
        <w:trPr>
          <w:cantSplit/>
        </w:trPr>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A repeated support, device or media issue that affects learning.</w:t>
            </w:r>
          </w:p>
        </w:tc>
        <w:tc>
          <w:tcPr>
            <w:tcW w:type="dxa" w:w="4649"/>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Your overall readiness judgment.</w:t>
            </w:r>
          </w:p>
        </w:tc>
      </w:tr>
    </w:tbl>
    <w:p>
      <w:pPr>
        <w:spacing w:after="20"/>
      </w:pPr>
    </w:p>
    <w:p>
      <w:pPr>
        <w:pStyle w:val="Heading2"/>
        <w:keepNext/>
        <w:spacing w:before="100" w:after="80"/>
      </w:pPr>
      <w:r>
        <w:rPr>
          <w:rFonts w:ascii="Aptos Display" w:hAnsi="Aptos Display"/>
          <w:b/>
          <w:i w:val="0"/>
          <w:color w:val="0F172A"/>
          <w:sz w:val="25"/>
        </w:rPr>
        <w:t>13.1 Write evidence that can be acted on</w:t>
      </w:r>
    </w:p>
    <w:p>
      <w:pPr>
        <w:spacing w:before="0" w:after="80" w:line="259" w:lineRule="auto"/>
      </w:pPr>
      <w:r>
        <w:rPr>
          <w:rFonts w:ascii="Aptos" w:hAnsi="Aptos"/>
          <w:b w:val="0"/>
          <w:i w:val="0"/>
          <w:color w:val="111827"/>
          <w:sz w:val="19"/>
        </w:rPr>
        <w:t>A useful finding answers four questions:</w:t>
      </w:r>
    </w:p>
    <w:p>
      <w:pPr>
        <w:pStyle w:val="ListNumber"/>
        <w:spacing w:after="40" w:line="252" w:lineRule="auto"/>
      </w:pPr>
      <w:r>
        <w:rPr>
          <w:rFonts w:ascii="Aptos" w:hAnsi="Aptos"/>
          <w:b w:val="0"/>
          <w:i w:val="0"/>
          <w:color w:val="111827"/>
          <w:sz w:val="19"/>
        </w:rPr>
        <w:t>Where were you? Give the course and module/screen/activity or stable identifier.</w:t>
      </w:r>
    </w:p>
    <w:p>
      <w:pPr>
        <w:pStyle w:val="ListNumber"/>
        <w:spacing w:after="40" w:line="252" w:lineRule="auto"/>
      </w:pPr>
      <w:r>
        <w:rPr>
          <w:rFonts w:ascii="Aptos" w:hAnsi="Aptos"/>
          <w:b w:val="0"/>
          <w:i w:val="0"/>
          <w:color w:val="111827"/>
          <w:sz w:val="19"/>
        </w:rPr>
        <w:t>What did you do, and what happened next?</w:t>
      </w:r>
    </w:p>
    <w:p>
      <w:pPr>
        <w:pStyle w:val="ListNumber"/>
        <w:spacing w:after="40" w:line="252" w:lineRule="auto"/>
      </w:pPr>
      <w:r>
        <w:rPr>
          <w:rFonts w:ascii="Aptos" w:hAnsi="Aptos"/>
          <w:b w:val="0"/>
          <w:i w:val="0"/>
          <w:color w:val="111827"/>
          <w:sz w:val="19"/>
        </w:rPr>
        <w:t>Why does it matter for access, learning, relevance, application or readiness?</w:t>
      </w:r>
    </w:p>
    <w:p>
      <w:pPr>
        <w:pStyle w:val="ListNumber"/>
        <w:spacing w:after="40" w:line="252" w:lineRule="auto"/>
      </w:pPr>
      <w:r>
        <w:rPr>
          <w:rFonts w:ascii="Aptos" w:hAnsi="Aptos"/>
          <w:b w:val="0"/>
          <w:i w:val="0"/>
          <w:color w:val="111827"/>
          <w:sz w:val="19"/>
        </w:rPr>
        <w:t>What should DEC keep, correct, clarify or improve?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F172A"/>
            <w:tcMar>
              <w:top w:w="85" w:type="dxa"/>
              <w:start w:w="100" w:type="dxa"/>
              <w:bottom w:w="85" w:type="dxa"/>
              <w:end w:w="100" w:type="dxa"/>
            </w:tcMar>
            <w:vAlign w:val="center"/>
          </w:tcPr>
          <w:p>
            <w:pPr>
              <w:spacing w:after="0"/>
            </w:pPr>
            <w:r>
              <w:rPr>
                <w:rFonts w:ascii="Aptos" w:hAnsi="Aptos"/>
                <w:b/>
                <w:i w:val="0"/>
                <w:color w:val="FFFFFF"/>
                <w:sz w:val="16"/>
              </w:rPr>
              <w:t>Weak observation</w:t>
            </w:r>
          </w:p>
        </w:tc>
        <w:tc>
          <w:tcPr>
            <w:tcW w:type="dxa" w:w="6463"/>
            <w:shd w:fill="0F172A"/>
            <w:tcMar>
              <w:top w:w="85" w:type="dxa"/>
              <w:start w:w="100" w:type="dxa"/>
              <w:bottom w:w="85" w:type="dxa"/>
              <w:end w:w="100" w:type="dxa"/>
            </w:tcMar>
            <w:vAlign w:val="center"/>
          </w:tcPr>
          <w:p>
            <w:pPr>
              <w:spacing w:after="0"/>
            </w:pPr>
            <w:r>
              <w:rPr>
                <w:rFonts w:ascii="Aptos" w:hAnsi="Aptos"/>
                <w:b/>
                <w:i w:val="0"/>
                <w:color w:val="FFFFFF"/>
                <w:sz w:val="16"/>
              </w:rPr>
              <w:t>Useful observation</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The activity is bad.</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Module 4 responsibility activity remained locked after I selected the options that appeared consistent with the instructions. The feedback repeated without showing what decision was still wrong. Check the answer mapping and revise the feedback so the correct route is learnable.</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page is confusing.</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On the smartphone screen, the Continue button appeared below a long blank area. I did not know that I needed to scroll further. Reduce the empty space or make the next action more visible.</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The feedback is good.</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The feedback explained why the first choice excluded a group and helped me choose a more inclusive response. Retain this feedback approach.</w:t>
            </w:r>
          </w:p>
        </w:tc>
      </w:tr>
    </w:tbl>
    <w:p>
      <w:pPr>
        <w:spacing w:after="20"/>
      </w:pPr>
    </w:p>
    <w:p>
      <w:pPr>
        <w:pStyle w:val="Heading1"/>
        <w:keepNext/>
        <w:spacing w:before="160" w:after="80"/>
      </w:pPr>
      <w:r>
        <w:rPr>
          <w:rFonts w:ascii="Aptos Display" w:hAnsi="Aptos Display"/>
          <w:b/>
          <w:i w:val="0"/>
          <w:color w:val="0F172A"/>
          <w:sz w:val="32"/>
        </w:rPr>
        <w:t>14. Support, Escalation and Pilot Coordination</w:t>
      </w:r>
    </w:p>
    <w:p>
      <w:pPr>
        <w:pStyle w:val="Heading2"/>
        <w:keepNext/>
        <w:spacing w:before="100" w:after="80"/>
      </w:pPr>
      <w:r>
        <w:rPr>
          <w:rFonts w:ascii="Aptos Display" w:hAnsi="Aptos Display"/>
          <w:b/>
          <w:i w:val="0"/>
          <w:color w:val="0F172A"/>
          <w:sz w:val="25"/>
        </w:rPr>
        <w:t>14.1 If something prevents you from continuing</w:t>
      </w:r>
    </w:p>
    <w:p>
      <w:pPr>
        <w:pStyle w:val="ListBullet"/>
        <w:spacing w:after="40" w:line="252" w:lineRule="auto"/>
      </w:pPr>
      <w:r>
        <w:rPr>
          <w:rFonts w:ascii="Aptos" w:hAnsi="Aptos"/>
          <w:b w:val="0"/>
          <w:i w:val="0"/>
          <w:color w:val="111827"/>
          <w:sz w:val="19"/>
        </w:rPr>
        <w:t>Record the exact point where you stopped and what appeared on screen.</w:t>
      </w:r>
    </w:p>
    <w:p>
      <w:pPr>
        <w:pStyle w:val="ListBullet"/>
        <w:spacing w:after="40" w:line="252" w:lineRule="auto"/>
      </w:pPr>
      <w:r>
        <w:rPr>
          <w:rFonts w:ascii="Aptos" w:hAnsi="Aptos"/>
          <w:b w:val="0"/>
          <w:i w:val="0"/>
          <w:color w:val="111827"/>
          <w:sz w:val="19"/>
        </w:rPr>
        <w:t>Submit a Quick Finding if the issue is important or may be a blocker.</w:t>
      </w:r>
    </w:p>
    <w:p>
      <w:pPr>
        <w:pStyle w:val="ListBullet"/>
        <w:spacing w:after="40" w:line="252" w:lineRule="auto"/>
      </w:pPr>
      <w:r>
        <w:rPr>
          <w:rFonts w:ascii="Aptos" w:hAnsi="Aptos"/>
          <w:b w:val="0"/>
          <w:i w:val="0"/>
          <w:color w:val="111827"/>
          <w:sz w:val="19"/>
        </w:rPr>
        <w:t>Contact the agreed DEC support channel and provide your tester ID, course and short finding description.</w:t>
      </w:r>
    </w:p>
    <w:p>
      <w:pPr>
        <w:pStyle w:val="ListBullet"/>
        <w:spacing w:after="40" w:line="252" w:lineRule="auto"/>
      </w:pPr>
      <w:r>
        <w:rPr>
          <w:rFonts w:ascii="Aptos" w:hAnsi="Aptos"/>
          <w:b w:val="0"/>
          <w:i w:val="0"/>
          <w:color w:val="111827"/>
          <w:sz w:val="19"/>
        </w:rPr>
        <w:t>Wait for guidance before repeating extensive work or creating another account.</w:t>
      </w:r>
    </w:p>
    <w:p>
      <w:pPr>
        <w:pStyle w:val="ListBullet"/>
        <w:spacing w:after="40" w:line="252" w:lineRule="auto"/>
      </w:pPr>
      <w:r>
        <w:rPr>
          <w:rFonts w:ascii="Aptos" w:hAnsi="Aptos"/>
          <w:b w:val="0"/>
          <w:i w:val="0"/>
          <w:color w:val="111827"/>
          <w:sz w:val="19"/>
        </w:rPr>
        <w:t>After correction, repeat the affected check and record the verification result.</w:t>
      </w:r>
    </w:p>
    <w:p>
      <w:pPr>
        <w:pStyle w:val="Heading2"/>
        <w:keepNext/>
        <w:spacing w:before="100" w:after="80"/>
      </w:pPr>
      <w:r>
        <w:rPr>
          <w:rFonts w:ascii="Aptos Display" w:hAnsi="Aptos Display"/>
          <w:b/>
          <w:i w:val="0"/>
          <w:color w:val="0F172A"/>
          <w:sz w:val="25"/>
        </w:rPr>
        <w:t>14.2 Device and browser assignments</w:t>
      </w:r>
    </w:p>
    <w:p>
      <w:pPr>
        <w:spacing w:before="0" w:after="80" w:line="259" w:lineRule="auto"/>
      </w:pPr>
      <w:r>
        <w:rPr>
          <w:rFonts w:ascii="Aptos" w:hAnsi="Aptos"/>
          <w:b w:val="0"/>
          <w:i w:val="0"/>
          <w:color w:val="111827"/>
          <w:sz w:val="19"/>
        </w:rPr>
        <w:t>Use your main assigned device for most learning. If assigned a second device/browser check, complete at least one meaningful activity and one exit/reopen check there. If assigned cross-user verification, use only the accounts and steps provided by the coordinator. Do not access or share another learner's password.</w:t>
      </w:r>
    </w:p>
    <w:p>
      <w:pPr>
        <w:spacing w:before="0" w:after="80" w:line="259" w:lineRule="auto"/>
      </w:pPr>
      <w:r>
        <w:rPr>
          <w:rFonts w:ascii="Aptos" w:hAnsi="Aptos"/>
          <w:b w:val="0"/>
          <w:i w:val="0"/>
          <w:color w:val="111827"/>
          <w:sz w:val="19"/>
        </w:rPr>
        <w:t>Where possible, distinguish a media/loading problem from the general internet connection. Note whether the same problem repeated when the connection improved.</w:t>
      </w:r>
    </w:p>
    <w:p>
      <w:pPr>
        <w:pStyle w:val="Heading2"/>
        <w:keepNext/>
        <w:spacing w:before="100" w:after="80"/>
      </w:pPr>
      <w:r>
        <w:rPr>
          <w:rFonts w:ascii="Aptos Display" w:hAnsi="Aptos Display"/>
          <w:b/>
          <w:i w:val="0"/>
          <w:color w:val="0F172A"/>
          <w:sz w:val="25"/>
        </w:rPr>
        <w:t>14.3 Classify the response, not only the symptom</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F172A"/>
            <w:tcMar>
              <w:top w:w="85" w:type="dxa"/>
              <w:start w:w="100" w:type="dxa"/>
              <w:bottom w:w="85" w:type="dxa"/>
              <w:end w:w="100" w:type="dxa"/>
            </w:tcMar>
            <w:vAlign w:val="center"/>
          </w:tcPr>
          <w:p>
            <w:pPr>
              <w:spacing w:after="0"/>
            </w:pPr>
            <w:r>
              <w:rPr>
                <w:rFonts w:ascii="Aptos" w:hAnsi="Aptos"/>
                <w:b/>
                <w:i w:val="0"/>
                <w:color w:val="FFFFFF"/>
                <w:sz w:val="17"/>
              </w:rPr>
              <w:t>Response area</w:t>
            </w:r>
          </w:p>
        </w:tc>
        <w:tc>
          <w:tcPr>
            <w:tcW w:type="dxa" w:w="6463"/>
            <w:shd w:fill="0F172A"/>
            <w:tcMar>
              <w:top w:w="85" w:type="dxa"/>
              <w:start w:w="100" w:type="dxa"/>
              <w:bottom w:w="85" w:type="dxa"/>
              <w:end w:w="100" w:type="dxa"/>
            </w:tcMar>
            <w:vAlign w:val="center"/>
          </w:tcPr>
          <w:p>
            <w:pPr>
              <w:spacing w:after="0"/>
            </w:pPr>
            <w:r>
              <w:rPr>
                <w:rFonts w:ascii="Aptos" w:hAnsi="Aptos"/>
                <w:b/>
                <w:i w:val="0"/>
                <w:color w:val="FFFFFF"/>
                <w:sz w:val="17"/>
              </w:rPr>
              <w:t>Examples</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7"/>
              </w:rPr>
              <w:t>Course improvement</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7"/>
              </w:rPr>
              <w:t>Content, instruction, feedback, assessment, activity or course-level usability change.</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Hub improvement</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Access, sign-in, dashboard, progress, certificate or platform navigation.</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7"/>
              </w:rPr>
              <w:t>Learner support</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7"/>
              </w:rPr>
              <w:t>Orientation, instructions, support route or common learner question.</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Organisational capacity support</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Tool, management process, coaching, peer learning or organisational reflection.</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7"/>
              </w:rPr>
              <w:t>Internet/device constraint</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7"/>
              </w:rPr>
              <w:t>Access issue mainly caused by connectivity, device limitations or data availability.</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Later programme development</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Knowledge sharing, mentoring, multilingual/offline expansion or co-creation need.</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EAF7EF"/>
            <w:tcMar>
              <w:top w:w="110" w:type="dxa"/>
              <w:start w:w="130" w:type="dxa"/>
              <w:bottom w:w="110" w:type="dxa"/>
              <w:end w:w="130" w:type="dxa"/>
            </w:tcMar>
            <w:tcBorders>
              <w:left w:val="single" w:sz="18" w:color="91C852"/>
              <w:top w:val="single" w:sz="4" w:color="D8E6EA"/>
              <w:bottom w:val="single" w:sz="4" w:color="D8E6EA"/>
              <w:right w:val="single" w:sz="4" w:color="D8E6EA"/>
            </w:tcBorders>
          </w:tcPr>
          <w:p>
            <w:pPr>
              <w:spacing w:after="0"/>
            </w:pPr>
            <w:r>
              <w:rPr>
                <w:rFonts w:ascii="Aptos" w:hAnsi="Aptos"/>
                <w:b/>
                <w:i w:val="0"/>
                <w:color w:val="0F172A"/>
                <w:sz w:val="20"/>
              </w:rPr>
              <w:t>Proportionate response</w:t>
              <w:br/>
            </w:r>
            <w:r>
              <w:rPr>
                <w:rFonts w:ascii="Aptos" w:hAnsi="Aptos"/>
                <w:b w:val="0"/>
                <w:i w:val="0"/>
                <w:color w:val="111827"/>
                <w:sz w:val="18"/>
              </w:rPr>
              <w:t>Do not turn every capacity-development need into a course change. Some needs require a tool, peer learning, coaching, organisational reflection, management action, device/connectivity support or a later programme function.</w:t>
            </w:r>
          </w:p>
        </w:tc>
      </w:tr>
    </w:tbl>
    <w:p>
      <w:pPr>
        <w:spacing w:after="20"/>
      </w:pPr>
    </w:p>
    <w:p>
      <w:pPr>
        <w:pStyle w:val="Heading1"/>
        <w:keepNext/>
        <w:spacing w:before="160" w:after="80"/>
      </w:pPr>
      <w:r>
        <w:rPr>
          <w:rFonts w:ascii="Aptos Display" w:hAnsi="Aptos Display"/>
          <w:b/>
          <w:i w:val="0"/>
          <w:color w:val="0F172A"/>
          <w:sz w:val="32"/>
        </w:rPr>
        <w:t>15. Analysis, Action and Readiness Decisions</w:t>
      </w:r>
    </w:p>
    <w:p>
      <w:pPr>
        <w:spacing w:before="0" w:after="80" w:line="259" w:lineRule="auto"/>
      </w:pPr>
      <w:r>
        <w:rPr>
          <w:rFonts w:ascii="Aptos" w:hAnsi="Aptos"/>
          <w:b w:val="0"/>
          <w:i w:val="0"/>
          <w:color w:val="111827"/>
          <w:sz w:val="19"/>
        </w:rPr>
        <w:t>Individual ratings are evidence. DEC combines all evidence and makes the final readiness decision. Practical verification, quality judgment and action judgment remain separate during analysis.</w:t>
      </w:r>
    </w:p>
    <w:p>
      <w:pPr>
        <w:pStyle w:val="Heading2"/>
        <w:keepNext/>
        <w:spacing w:before="100" w:after="80"/>
      </w:pPr>
      <w:r>
        <w:rPr>
          <w:rFonts w:ascii="Aptos Display" w:hAnsi="Aptos Display"/>
          <w:b/>
          <w:i w:val="0"/>
          <w:color w:val="0F172A"/>
          <w:sz w:val="25"/>
        </w:rPr>
        <w:t>15.1 Action classification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F172A"/>
            <w:tcMar>
              <w:top w:w="85" w:type="dxa"/>
              <w:start w:w="100" w:type="dxa"/>
              <w:bottom w:w="85" w:type="dxa"/>
              <w:end w:w="100" w:type="dxa"/>
            </w:tcMar>
            <w:vAlign w:val="center"/>
          </w:tcPr>
          <w:p>
            <w:pPr>
              <w:spacing w:after="0"/>
            </w:pPr>
            <w:r>
              <w:rPr>
                <w:rFonts w:ascii="Aptos" w:hAnsi="Aptos"/>
                <w:b/>
                <w:i w:val="0"/>
                <w:color w:val="FFFFFF"/>
                <w:sz w:val="16"/>
              </w:rPr>
              <w:t>Action</w:t>
            </w:r>
          </w:p>
        </w:tc>
        <w:tc>
          <w:tcPr>
            <w:tcW w:type="dxa" w:w="6463"/>
            <w:shd w:fill="0F172A"/>
            <w:tcMar>
              <w:top w:w="85" w:type="dxa"/>
              <w:start w:w="100" w:type="dxa"/>
              <w:bottom w:w="85" w:type="dxa"/>
              <w:end w:w="100" w:type="dxa"/>
            </w:tcMar>
            <w:vAlign w:val="center"/>
          </w:tcPr>
          <w:p>
            <w:pPr>
              <w:spacing w:after="0"/>
            </w:pPr>
            <w:r>
              <w:rPr>
                <w:rFonts w:ascii="Aptos" w:hAnsi="Aptos"/>
                <w:b/>
                <w:i w:val="0"/>
                <w:color w:val="FFFFFF"/>
                <w:sz w:val="16"/>
              </w:rPr>
              <w:t>Use when</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Fix Now</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An important problem must be corrected and rechecked before the next pilot stage, or before testing can continue if it is critical.</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Improve Before Wider Use</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experience generally works but should be meaningfully strengthened before broader use. Use the Decision Horizon to record whether the change is needed before the selected-CSO pilot or before wider release.</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Retain as Designed</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Evidence suggests the feature or learning approach is working well.</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Investigate Further</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Evidence is incomplete, mixed or the cause is unclear.</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Consider for a Later Phase</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The idea is useful but belongs outside the immediate Phase One course-validation need.</w:t>
            </w:r>
          </w:p>
        </w:tc>
      </w:tr>
    </w:tbl>
    <w:p>
      <w:pPr>
        <w:spacing w:after="20"/>
      </w:pPr>
    </w:p>
    <w:p>
      <w:pPr>
        <w:pStyle w:val="Heading2"/>
        <w:keepNext/>
        <w:spacing w:before="100" w:after="80"/>
      </w:pPr>
      <w:r>
        <w:rPr>
          <w:rFonts w:ascii="Aptos Display" w:hAnsi="Aptos Display"/>
          <w:b/>
          <w:i w:val="0"/>
          <w:color w:val="0F172A"/>
          <w:sz w:val="25"/>
        </w:rPr>
        <w:t>15.2 Readiness judgment</w:t>
      </w:r>
    </w:p>
    <w:tbl>
      <w:tblPr>
        <w:tblW w:type="auto" w:w="0"/>
        <w:jc w:val="center"/>
        <w:tblLayout w:type="autofit"/>
        <w:tblLook w:firstColumn="1" w:firstRow="1" w:lastColumn="0" w:lastRow="0" w:noHBand="0" w:noVBand="1" w:val="04A0"/>
      </w:tblPr>
      <w:tblGrid>
        <w:gridCol w:w="9866"/>
      </w:tblGrid>
      <w:tr>
        <w:trPr>
          <w:cantSplit/>
        </w:trPr>
        <w:tc>
          <w:tcPr>
            <w:tcW w:type="dxa" w:w="9866"/>
            <w:shd w:fill="FFF4E5"/>
            <w:tcMar>
              <w:top w:w="110" w:type="dxa"/>
              <w:start w:w="130" w:type="dxa"/>
              <w:bottom w:w="110" w:type="dxa"/>
              <w:end w:w="130" w:type="dxa"/>
            </w:tcMar>
            <w:tcBorders>
              <w:left w:val="single" w:sz="18" w:color="F59E0B"/>
              <w:top w:val="single" w:sz="4" w:color="D8E6EA"/>
              <w:bottom w:val="single" w:sz="4" w:color="D8E6EA"/>
              <w:right w:val="single" w:sz="4" w:color="D8E6EA"/>
            </w:tcBorders>
          </w:tcPr>
          <w:p>
            <w:pPr>
              <w:spacing w:after="0"/>
            </w:pPr>
            <w:r>
              <w:rPr>
                <w:rFonts w:ascii="Aptos" w:hAnsi="Aptos"/>
                <w:b/>
                <w:i w:val="0"/>
                <w:color w:val="0F172A"/>
                <w:sz w:val="20"/>
              </w:rPr>
              <w:t>Important</w:t>
              <w:br/>
            </w:r>
            <w:r>
              <w:rPr>
                <w:rFonts w:ascii="Aptos" w:hAnsi="Aptos"/>
                <w:b w:val="0"/>
                <w:i w:val="0"/>
                <w:color w:val="111827"/>
                <w:sz w:val="18"/>
              </w:rPr>
              <w:t>For the internal pilot, readiness means readiness to proceed to the controlled selected-CSO pilot. It does not mean the courses are permanently final or ready for unrestricted wider release.</w:t>
            </w:r>
          </w:p>
        </w:tc>
      </w:tr>
    </w:tbl>
    <w:p>
      <w:pPr>
        <w:spacing w:after="20"/>
      </w:pP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F172A"/>
            <w:tcMar>
              <w:top w:w="85" w:type="dxa"/>
              <w:start w:w="100" w:type="dxa"/>
              <w:bottom w:w="85" w:type="dxa"/>
              <w:end w:w="100" w:type="dxa"/>
            </w:tcMar>
            <w:vAlign w:val="center"/>
          </w:tcPr>
          <w:p>
            <w:pPr>
              <w:spacing w:after="0"/>
            </w:pPr>
            <w:r>
              <w:rPr>
                <w:rFonts w:ascii="Aptos" w:hAnsi="Aptos"/>
                <w:b/>
                <w:i w:val="0"/>
                <w:color w:val="FFFFFF"/>
                <w:sz w:val="16"/>
              </w:rPr>
              <w:t>Decision</w:t>
            </w:r>
          </w:p>
        </w:tc>
        <w:tc>
          <w:tcPr>
            <w:tcW w:type="dxa" w:w="6350"/>
            <w:shd w:fill="0F172A"/>
            <w:tcMar>
              <w:top w:w="85" w:type="dxa"/>
              <w:start w:w="100" w:type="dxa"/>
              <w:bottom w:w="85" w:type="dxa"/>
              <w:end w:w="100" w:type="dxa"/>
            </w:tcMar>
            <w:vAlign w:val="center"/>
          </w:tcPr>
          <w:p>
            <w:pPr>
              <w:spacing w:after="0"/>
            </w:pPr>
            <w:r>
              <w:rPr>
                <w:rFonts w:ascii="Aptos" w:hAnsi="Aptos"/>
                <w:b/>
                <w:i w:val="0"/>
                <w:color w:val="FFFFFF"/>
                <w:sz w:val="16"/>
              </w:rPr>
              <w:t>Use when</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6"/>
              </w:rPr>
              <w:t>READY</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6"/>
              </w:rPr>
              <w:t>No unresolved critical blocker. Critical learner journeys pass and core learning evidence is predominantly Workable/Strong. Proceed to the selected-CSO pilot.</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READY WITH MINOR IMPROVEMENTS</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No critical blocker. Manageable improvements can be completed or clearly scheduled without undermining the next pilot.</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6"/>
              </w:rPr>
              <w:t>HOLD - CORRECT IMPORTANT ISSUE(S) FIRST</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6"/>
              </w:rPr>
              <w:t>One or more important access, separation, progression, persistence, assessment, completion, certificate, accessibility or major learning problems require correction and recheck.</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INSUFFICIENT EVIDENCE - NEED MORE TESTING</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The assigned checks or course coverage do not support a sound next-stage decision.</w:t>
            </w:r>
          </w:p>
        </w:tc>
      </w:tr>
    </w:tbl>
    <w:p>
      <w:pPr>
        <w:spacing w:after="20"/>
      </w:pPr>
    </w:p>
    <w:p>
      <w:pPr>
        <w:pStyle w:val="Heading2"/>
        <w:keepNext/>
        <w:spacing w:before="100" w:after="80"/>
      </w:pPr>
      <w:r>
        <w:rPr>
          <w:rFonts w:ascii="Aptos Display" w:hAnsi="Aptos Display"/>
          <w:b/>
          <w:i w:val="0"/>
          <w:color w:val="0F172A"/>
          <w:sz w:val="25"/>
        </w:rPr>
        <w:t>15.3 Decision meeting questions</w:t>
      </w:r>
    </w:p>
    <w:p>
      <w:pPr>
        <w:pStyle w:val="ListBullet"/>
        <w:spacing w:after="40" w:line="252" w:lineRule="auto"/>
      </w:pPr>
      <w:r>
        <w:rPr>
          <w:rFonts w:ascii="Aptos" w:hAnsi="Aptos"/>
          <w:b w:val="0"/>
          <w:i w:val="0"/>
          <w:color w:val="111827"/>
          <w:sz w:val="19"/>
        </w:rPr>
        <w:t>What happened, and how many testers or records support the finding?</w:t>
      </w:r>
    </w:p>
    <w:p>
      <w:pPr>
        <w:pStyle w:val="ListBullet"/>
        <w:spacing w:after="40" w:line="252" w:lineRule="auto"/>
      </w:pPr>
      <w:r>
        <w:rPr>
          <w:rFonts w:ascii="Aptos" w:hAnsi="Aptos"/>
          <w:b w:val="0"/>
          <w:i w:val="0"/>
          <w:color w:val="111827"/>
          <w:sz w:val="19"/>
        </w:rPr>
        <w:t>Why does it matter for access, learning, relevance, application or DEC operation?</w:t>
      </w:r>
    </w:p>
    <w:p>
      <w:pPr>
        <w:pStyle w:val="ListBullet"/>
        <w:spacing w:after="40" w:line="252" w:lineRule="auto"/>
      </w:pPr>
      <w:r>
        <w:rPr>
          <w:rFonts w:ascii="Aptos" w:hAnsi="Aptos"/>
          <w:b w:val="0"/>
          <w:i w:val="0"/>
          <w:color w:val="111827"/>
          <w:sz w:val="19"/>
        </w:rPr>
        <w:t>Which Decision Horizon applies?</w:t>
      </w:r>
    </w:p>
    <w:p>
      <w:pPr>
        <w:pStyle w:val="ListBullet"/>
        <w:spacing w:after="40" w:line="252" w:lineRule="auto"/>
      </w:pPr>
      <w:r>
        <w:rPr>
          <w:rFonts w:ascii="Aptos" w:hAnsi="Aptos"/>
          <w:b w:val="0"/>
          <w:i w:val="0"/>
          <w:color w:val="111827"/>
          <w:sz w:val="19"/>
        </w:rPr>
        <w:t>Should DEC fix, improve, retain, investigate or defer it?</w:t>
      </w:r>
    </w:p>
    <w:p>
      <w:pPr>
        <w:pStyle w:val="ListBullet"/>
        <w:spacing w:after="40" w:line="252" w:lineRule="auto"/>
      </w:pPr>
      <w:r>
        <w:rPr>
          <w:rFonts w:ascii="Aptos" w:hAnsi="Aptos"/>
          <w:b w:val="0"/>
          <w:i w:val="0"/>
          <w:color w:val="111827"/>
          <w:sz w:val="19"/>
        </w:rPr>
        <w:t>Who owns the action, by when, and how will the result be verified?</w:t>
      </w:r>
    </w:p>
    <w:p>
      <w:pPr>
        <w:pStyle w:val="ListBullet"/>
        <w:spacing w:after="40" w:line="252" w:lineRule="auto"/>
      </w:pPr>
      <w:r>
        <w:rPr>
          <w:rFonts w:ascii="Aptos" w:hAnsi="Aptos"/>
          <w:b w:val="0"/>
          <w:i w:val="0"/>
          <w:color w:val="111827"/>
          <w:sz w:val="19"/>
        </w:rPr>
        <w:t>Are the Hub, HRBA course and Project Management course ready for the selected-CSO pilot? Record readiness separately when the evidence differs.</w:t>
      </w:r>
    </w:p>
    <w:p>
      <w:pPr>
        <w:pStyle w:val="Heading1"/>
        <w:keepNext/>
        <w:spacing w:before="160" w:after="80"/>
      </w:pPr>
      <w:r>
        <w:rPr>
          <w:rFonts w:ascii="Aptos Display" w:hAnsi="Aptos Display"/>
          <w:b/>
          <w:i w:val="0"/>
          <w:color w:val="0F172A"/>
          <w:sz w:val="32"/>
        </w:rPr>
        <w:t>16. Pilot Close-Out and the Next Development Stage</w:t>
      </w:r>
    </w:p>
    <w:p>
      <w:pPr>
        <w:pStyle w:val="Heading2"/>
        <w:keepNext/>
        <w:spacing w:before="100" w:after="80"/>
      </w:pPr>
      <w:r>
        <w:rPr>
          <w:rFonts w:ascii="Aptos Display" w:hAnsi="Aptos Display"/>
          <w:b/>
          <w:i w:val="0"/>
          <w:color w:val="0F172A"/>
          <w:sz w:val="25"/>
        </w:rPr>
        <w:t>16.1 Internal pilot completion checklist</w:t>
      </w:r>
    </w:p>
    <w:p>
      <w:pPr>
        <w:pStyle w:val="ListBullet"/>
        <w:spacing w:after="40" w:line="252" w:lineRule="auto"/>
      </w:pPr>
      <w:r>
        <w:rPr>
          <w:rFonts w:ascii="Aptos" w:hAnsi="Aptos"/>
          <w:b w:val="0"/>
          <w:i w:val="0"/>
          <w:color w:val="111827"/>
          <w:sz w:val="19"/>
        </w:rPr>
        <w:t>Tester assignments and expected checks are recorded.</w:t>
      </w:r>
    </w:p>
    <w:p>
      <w:pPr>
        <w:pStyle w:val="ListBullet"/>
        <w:spacing w:after="40" w:line="252" w:lineRule="auto"/>
      </w:pPr>
      <w:r>
        <w:rPr>
          <w:rFonts w:ascii="Aptos" w:hAnsi="Aptos"/>
          <w:b w:val="0"/>
          <w:i w:val="0"/>
          <w:color w:val="111827"/>
          <w:sz w:val="19"/>
        </w:rPr>
        <w:t>Critical learner journeys have sufficient evidence on the required devices/accounts.</w:t>
      </w:r>
    </w:p>
    <w:p>
      <w:pPr>
        <w:pStyle w:val="ListBullet"/>
        <w:spacing w:after="40" w:line="252" w:lineRule="auto"/>
      </w:pPr>
      <w:r>
        <w:rPr>
          <w:rFonts w:ascii="Aptos" w:hAnsi="Aptos"/>
          <w:b w:val="0"/>
          <w:i w:val="0"/>
          <w:color w:val="111827"/>
          <w:sz w:val="19"/>
        </w:rPr>
        <w:t>Each tester submits one Final Course Review for the assigned course.</w:t>
      </w:r>
    </w:p>
    <w:p>
      <w:pPr>
        <w:pStyle w:val="ListBullet"/>
        <w:spacing w:after="40" w:line="252" w:lineRule="auto"/>
      </w:pPr>
      <w:r>
        <w:rPr>
          <w:rFonts w:ascii="Aptos" w:hAnsi="Aptos"/>
          <w:b w:val="0"/>
          <w:i w:val="0"/>
          <w:color w:val="111827"/>
          <w:sz w:val="19"/>
        </w:rPr>
        <w:t>Possible blockers and recurring findings are triaged and linked to actions.</w:t>
      </w:r>
    </w:p>
    <w:p>
      <w:pPr>
        <w:pStyle w:val="ListBullet"/>
        <w:spacing w:after="40" w:line="252" w:lineRule="auto"/>
      </w:pPr>
      <w:r>
        <w:rPr>
          <w:rFonts w:ascii="Aptos" w:hAnsi="Aptos"/>
          <w:b w:val="0"/>
          <w:i w:val="0"/>
          <w:color w:val="111827"/>
          <w:sz w:val="19"/>
        </w:rPr>
        <w:t>Each Fix Now action has an owner, target date and verification method.</w:t>
      </w:r>
    </w:p>
    <w:p>
      <w:pPr>
        <w:pStyle w:val="ListBullet"/>
        <w:spacing w:after="40" w:line="252" w:lineRule="auto"/>
      </w:pPr>
      <w:r>
        <w:rPr>
          <w:rFonts w:ascii="Aptos" w:hAnsi="Aptos"/>
          <w:b w:val="0"/>
          <w:i w:val="0"/>
          <w:color w:val="111827"/>
          <w:sz w:val="19"/>
        </w:rPr>
        <w:t>The Hub, HRBA course and Project Management course receive separate readiness decisions where evidence differs.</w:t>
      </w:r>
    </w:p>
    <w:p>
      <w:pPr>
        <w:pStyle w:val="ListBullet"/>
        <w:spacing w:after="40" w:line="252" w:lineRule="auto"/>
      </w:pPr>
      <w:r>
        <w:rPr>
          <w:rFonts w:ascii="Aptos" w:hAnsi="Aptos"/>
          <w:b w:val="0"/>
          <w:i w:val="0"/>
          <w:color w:val="111827"/>
          <w:sz w:val="19"/>
        </w:rPr>
        <w:t>The internal review instrument is revised where testers identified missing, unclear or unnecessary questions.</w:t>
      </w:r>
    </w:p>
    <w:p>
      <w:pPr>
        <w:pStyle w:val="ListBullet"/>
        <w:spacing w:after="40" w:line="252" w:lineRule="auto"/>
      </w:pPr>
      <w:r>
        <w:rPr>
          <w:rFonts w:ascii="Aptos" w:hAnsi="Aptos"/>
          <w:b w:val="0"/>
          <w:i w:val="0"/>
          <w:color w:val="111827"/>
          <w:sz w:val="19"/>
        </w:rPr>
        <w:t>DEC records what will change before the selected-CSO pilot and what will be carried forward for later validation.</w:t>
      </w:r>
    </w:p>
    <w:p>
      <w:pPr>
        <w:pStyle w:val="Heading2"/>
        <w:keepNext/>
        <w:spacing w:before="100" w:after="80"/>
      </w:pPr>
      <w:r>
        <w:rPr>
          <w:rFonts w:ascii="Aptos Display" w:hAnsi="Aptos Display"/>
          <w:b/>
          <w:i w:val="0"/>
          <w:color w:val="0F172A"/>
          <w:sz w:val="25"/>
        </w:rPr>
        <w:t>16.2 Development pathway after the internal pilot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F172A"/>
            <w:tcMar>
              <w:top w:w="85" w:type="dxa"/>
              <w:start w:w="100" w:type="dxa"/>
              <w:bottom w:w="85" w:type="dxa"/>
              <w:end w:w="100" w:type="dxa"/>
            </w:tcMar>
            <w:vAlign w:val="center"/>
          </w:tcPr>
          <w:p>
            <w:pPr>
              <w:spacing w:after="0"/>
            </w:pPr>
            <w:r>
              <w:rPr>
                <w:rFonts w:ascii="Aptos" w:hAnsi="Aptos"/>
                <w:b/>
                <w:i w:val="0"/>
                <w:color w:val="FFFFFF"/>
                <w:sz w:val="16"/>
              </w:rPr>
              <w:t>Stage</w:t>
            </w:r>
          </w:p>
        </w:tc>
        <w:tc>
          <w:tcPr>
            <w:tcW w:type="dxa" w:w="6463"/>
            <w:shd w:fill="0F172A"/>
            <w:tcMar>
              <w:top w:w="85" w:type="dxa"/>
              <w:start w:w="100" w:type="dxa"/>
              <w:bottom w:w="85" w:type="dxa"/>
              <w:end w:w="100" w:type="dxa"/>
            </w:tcMar>
            <w:vAlign w:val="center"/>
          </w:tcPr>
          <w:p>
            <w:pPr>
              <w:spacing w:after="0"/>
            </w:pPr>
            <w:r>
              <w:rPr>
                <w:rFonts w:ascii="Aptos" w:hAnsi="Aptos"/>
                <w:b/>
                <w:i w:val="0"/>
                <w:color w:val="FFFFFF"/>
                <w:sz w:val="16"/>
              </w:rPr>
              <w:t>Main question</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Internal DEC pilot</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Does the foundation work, and what must be corrected before external testing?</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Selected-CSO pilot</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Is the content relevant, understandable, useful and workable for intended learners in real operating conditions?</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Content/design validation</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What should be retained, revised, removed or further validated?</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Wider-release refinement</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What final visual, media, job-aid and user-experience improvements should be completed after the learning design is validated?</w:t>
            </w:r>
          </w:p>
        </w:tc>
      </w:tr>
      <w:tr>
        <w:trPr>
          <w:cantSplit/>
        </w:trPr>
        <w:tc>
          <w:tcPr>
            <w:tcW w:type="dxa" w:w="2835"/>
            <w:tcMar>
              <w:top w:w="85" w:type="dxa"/>
              <w:start w:w="100" w:type="dxa"/>
              <w:bottom w:w="85" w:type="dxa"/>
              <w:end w:w="100" w:type="dxa"/>
            </w:tcMar>
            <w:vAlign w:val="top"/>
          </w:tcPr>
          <w:p>
            <w:pPr>
              <w:spacing w:after="0" w:line="240" w:lineRule="auto"/>
            </w:pPr>
            <w:r>
              <w:rPr>
                <w:rFonts w:ascii="Aptos" w:hAnsi="Aptos"/>
                <w:b w:val="0"/>
                <w:i w:val="0"/>
                <w:color w:val="111827"/>
                <w:sz w:val="16"/>
              </w:rPr>
              <w:t>Phase Two - Exchange and Connect</w:t>
            </w:r>
          </w:p>
        </w:tc>
        <w:tc>
          <w:tcPr>
            <w:tcW w:type="dxa" w:w="6463"/>
            <w:tcMar>
              <w:top w:w="85" w:type="dxa"/>
              <w:start w:w="100" w:type="dxa"/>
              <w:bottom w:w="85" w:type="dxa"/>
              <w:end w:w="100" w:type="dxa"/>
            </w:tcMar>
            <w:vAlign w:val="top"/>
          </w:tcPr>
          <w:p>
            <w:pPr>
              <w:spacing w:after="0" w:line="240" w:lineRule="auto"/>
            </w:pPr>
            <w:r>
              <w:rPr>
                <w:rFonts w:ascii="Aptos" w:hAnsi="Aptos"/>
                <w:b w:val="0"/>
                <w:i w:val="0"/>
                <w:color w:val="111827"/>
                <w:sz w:val="16"/>
              </w:rPr>
              <w:t>What knowledge-sharing, peer-learning and mentoring needs emerge from course and pilot evidence?</w:t>
            </w:r>
          </w:p>
        </w:tc>
      </w:tr>
      <w:tr>
        <w:trPr>
          <w:cantSplit/>
        </w:trPr>
        <w:tc>
          <w:tcPr>
            <w:tcW w:type="dxa" w:w="2835"/>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Phase Three - Co-create and Grow</w:t>
            </w:r>
          </w:p>
        </w:tc>
        <w:tc>
          <w:tcPr>
            <w:tcW w:type="dxa" w:w="6463"/>
            <w:tcMar>
              <w:top w:w="85" w:type="dxa"/>
              <w:start w:w="100" w:type="dxa"/>
              <w:bottom w:w="85" w:type="dxa"/>
              <w:end w:w="100" w:type="dxa"/>
            </w:tcMar>
            <w:shd w:fill="F8FAFC"/>
            <w:vAlign w:val="top"/>
          </w:tcPr>
          <w:p>
            <w:pPr>
              <w:spacing w:after="0" w:line="240" w:lineRule="auto"/>
            </w:pPr>
            <w:r>
              <w:rPr>
                <w:rFonts w:ascii="Aptos" w:hAnsi="Aptos"/>
                <w:b w:val="0"/>
                <w:i w:val="0"/>
                <w:color w:val="111827"/>
                <w:sz w:val="16"/>
              </w:rPr>
              <w:t>How can participating CSOs use shared learning to co-create tools, project ideas and locally led solutions?</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EEF6FB"/>
            <w:tcMar>
              <w:top w:w="110" w:type="dxa"/>
              <w:start w:w="130" w:type="dxa"/>
              <w:bottom w:w="110" w:type="dxa"/>
              <w:end w:w="130" w:type="dxa"/>
            </w:tcMar>
            <w:tcBorders>
              <w:left w:val="single" w:sz="18" w:color="3B99D4"/>
              <w:top w:val="single" w:sz="4" w:color="D8E6EA"/>
              <w:bottom w:val="single" w:sz="4" w:color="D8E6EA"/>
              <w:right w:val="single" w:sz="4" w:color="D8E6EA"/>
            </w:tcBorders>
          </w:tcPr>
          <w:p>
            <w:pPr>
              <w:spacing w:after="0"/>
            </w:pPr>
            <w:r>
              <w:rPr>
                <w:rFonts w:ascii="Aptos" w:hAnsi="Aptos"/>
                <w:b/>
                <w:i w:val="0"/>
                <w:color w:val="0F172A"/>
                <w:sz w:val="20"/>
              </w:rPr>
              <w:t>Account back</w:t>
              <w:br/>
            </w:r>
            <w:r>
              <w:rPr>
                <w:rFonts w:ascii="Aptos" w:hAnsi="Aptos"/>
                <w:b w:val="0"/>
                <w:i w:val="0"/>
                <w:color w:val="111827"/>
                <w:sz w:val="18"/>
              </w:rPr>
              <w:t>After each pilot stage, DEC should communicate what was learned, what will change, what will be retained and what happens next.</w:t>
            </w:r>
          </w:p>
        </w:tc>
      </w:tr>
    </w:tbl>
    <w:p>
      <w:pPr>
        <w:spacing w:after="20"/>
      </w:pPr>
    </w:p>
    <w:p>
      <w:pPr>
        <w:pStyle w:val="Heading1"/>
        <w:keepNext/>
        <w:spacing w:before="160" w:after="80"/>
      </w:pPr>
      <w:r>
        <w:rPr>
          <w:rFonts w:ascii="Aptos Display" w:hAnsi="Aptos Display"/>
          <w:b/>
          <w:i w:val="0"/>
          <w:color w:val="0F172A"/>
          <w:sz w:val="32"/>
        </w:rPr>
        <w:t>17. Operational Details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F172A"/>
            <w:tcMar>
              <w:top w:w="85" w:type="dxa"/>
              <w:start w:w="100" w:type="dxa"/>
              <w:bottom w:w="85" w:type="dxa"/>
              <w:end w:w="100" w:type="dxa"/>
            </w:tcMar>
            <w:vAlign w:val="center"/>
          </w:tcPr>
          <w:p>
            <w:pPr>
              <w:spacing w:after="0"/>
            </w:pPr>
            <w:r>
              <w:rPr>
                <w:rFonts w:ascii="Aptos" w:hAnsi="Aptos"/>
                <w:b/>
                <w:i w:val="0"/>
                <w:color w:val="FFFFFF"/>
                <w:sz w:val="17"/>
              </w:rPr>
              <w:t>Item</w:t>
            </w:r>
          </w:p>
        </w:tc>
        <w:tc>
          <w:tcPr>
            <w:tcW w:type="dxa" w:w="6350"/>
            <w:shd w:fill="0F172A"/>
            <w:tcMar>
              <w:top w:w="85" w:type="dxa"/>
              <w:start w:w="100" w:type="dxa"/>
              <w:bottom w:w="85" w:type="dxa"/>
              <w:end w:w="100" w:type="dxa"/>
            </w:tcMar>
            <w:vAlign w:val="center"/>
          </w:tcPr>
          <w:p>
            <w:pPr>
              <w:spacing w:after="0"/>
            </w:pPr>
            <w:r>
              <w:rPr>
                <w:rFonts w:ascii="Aptos" w:hAnsi="Aptos"/>
                <w:b/>
                <w:i w:val="0"/>
                <w:color w:val="FFFFFF"/>
                <w:sz w:val="17"/>
              </w:rPr>
              <w:t>Value</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Learning Hub</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https://pilot-dec-cso.vercel.app</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Quick Finding form</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TO BE ENTERED BY PILOT COORDINATOR after Kobo upload, Preview and test submission</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Final Course Review &amp; Readiness form</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TO BE ENTERED BY PILOT COORDINATOR after Kobo upload, Preview and HRBA/PM test submissions</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DEC support contact</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TO BE ENTERED BY PILOT COORDINATOR: name + phone/email</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Pilot period</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August 2026; individual target completion dates are recorded in the Coordination Tracker</w:t>
            </w:r>
          </w:p>
        </w:tc>
      </w:tr>
      <w:tr>
        <w:trPr>
          <w:cantSplit/>
        </w:trPr>
        <w:tc>
          <w:tcPr>
            <w:tcW w:type="dxa" w:w="2948"/>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Primary analysis file</w:t>
            </w:r>
          </w:p>
        </w:tc>
        <w:tc>
          <w:tcPr>
            <w:tcW w:type="dxa" w:w="6350"/>
            <w:tcMar>
              <w:top w:w="85" w:type="dxa"/>
              <w:start w:w="100" w:type="dxa"/>
              <w:bottom w:w="85" w:type="dxa"/>
              <w:end w:w="100" w:type="dxa"/>
            </w:tcMar>
            <w:shd w:fill="F8FAFC"/>
            <w:vAlign w:val="top"/>
          </w:tcPr>
          <w:p>
            <w:pPr>
              <w:spacing w:after="0" w:line="240" w:lineRule="auto"/>
            </w:pPr>
            <w:r>
              <w:rPr>
                <w:rFonts w:ascii="Aptos" w:hAnsi="Aptos"/>
                <w:b w:val="0"/>
                <w:i w:val="0"/>
                <w:color w:val="111827"/>
                <w:sz w:val="17"/>
              </w:rPr>
              <w:t>DEC_Internal_Pilot_Analysis_Action.xlsx</w:t>
            </w:r>
          </w:p>
        </w:tc>
      </w:tr>
      <w:tr>
        <w:trPr>
          <w:cantSplit/>
        </w:trPr>
        <w:tc>
          <w:tcPr>
            <w:tcW w:type="dxa" w:w="2948"/>
            <w:tcMar>
              <w:top w:w="85" w:type="dxa"/>
              <w:start w:w="100" w:type="dxa"/>
              <w:bottom w:w="85" w:type="dxa"/>
              <w:end w:w="100" w:type="dxa"/>
            </w:tcMar>
            <w:vAlign w:val="top"/>
          </w:tcPr>
          <w:p>
            <w:pPr>
              <w:spacing w:after="0" w:line="240" w:lineRule="auto"/>
            </w:pPr>
            <w:r>
              <w:rPr>
                <w:rFonts w:ascii="Aptos" w:hAnsi="Aptos"/>
                <w:b w:val="0"/>
                <w:i w:val="0"/>
                <w:color w:val="111827"/>
                <w:sz w:val="17"/>
              </w:rPr>
              <w:t>Coordination file</w:t>
            </w:r>
          </w:p>
        </w:tc>
        <w:tc>
          <w:tcPr>
            <w:tcW w:type="dxa" w:w="6350"/>
            <w:tcMar>
              <w:top w:w="85" w:type="dxa"/>
              <w:start w:w="100" w:type="dxa"/>
              <w:bottom w:w="85" w:type="dxa"/>
              <w:end w:w="100" w:type="dxa"/>
            </w:tcMar>
            <w:vAlign w:val="top"/>
          </w:tcPr>
          <w:p>
            <w:pPr>
              <w:spacing w:after="0" w:line="240" w:lineRule="auto"/>
            </w:pPr>
            <w:r>
              <w:rPr>
                <w:rFonts w:ascii="Aptos" w:hAnsi="Aptos"/>
                <w:b w:val="0"/>
                <w:i w:val="0"/>
                <w:color w:val="111827"/>
                <w:sz w:val="17"/>
              </w:rPr>
              <w:t>DEC_Internal_Pilot_Coordination_Tracker.xlsx</w:t>
            </w:r>
          </w:p>
        </w:tc>
      </w:tr>
    </w:tbl>
    <w:p>
      <w:pPr>
        <w:spacing w:after="20"/>
      </w:pPr>
    </w:p>
    <w:p>
      <w:pPr>
        <w:pStyle w:val="Heading1"/>
        <w:keepNext/>
        <w:spacing w:before="160" w:after="80"/>
      </w:pPr>
      <w:r>
        <w:rPr>
          <w:rFonts w:ascii="Aptos Display" w:hAnsi="Aptos Display"/>
          <w:b/>
          <w:i w:val="0"/>
          <w:color w:val="0F172A"/>
          <w:sz w:val="32"/>
        </w:rPr>
        <w:t>18. Reference Basis</w:t>
      </w:r>
    </w:p>
    <w:p>
      <w:pPr>
        <w:spacing w:before="0" w:after="0" w:line="240" w:lineRule="auto"/>
      </w:pPr>
      <w:r>
        <w:rPr>
          <w:rFonts w:ascii="Aptos" w:hAnsi="Aptos"/>
          <w:b w:val="0"/>
          <w:i w:val="0"/>
          <w:color w:val="111827"/>
          <w:sz w:val="17"/>
        </w:rPr>
        <w:t>The internal pilot approach and course-validation guidance are based on the following programme, contractual, course-design and pilot materials.</w:t>
      </w:r>
    </w:p>
    <w:p>
      <w:pPr>
        <w:pStyle w:val="ListBullet"/>
        <w:spacing w:after="0" w:line="240" w:lineRule="auto"/>
      </w:pPr>
      <w:r>
        <w:rPr>
          <w:rFonts w:ascii="Aptos" w:hAnsi="Aptos"/>
          <w:b w:val="0"/>
          <w:i w:val="0"/>
          <w:color w:val="111827"/>
          <w:sz w:val="17"/>
        </w:rPr>
        <w:t>Terms of Reference for Establishing a Web-Based Digital Self-Learning Platform for CSOs (Activity 2.2.4).</w:t>
      </w:r>
    </w:p>
    <w:p>
      <w:pPr>
        <w:pStyle w:val="ListBullet"/>
        <w:spacing w:after="0" w:line="240" w:lineRule="auto"/>
      </w:pPr>
      <w:r>
        <w:rPr>
          <w:rFonts w:ascii="Aptos" w:hAnsi="Aptos"/>
          <w:b w:val="0"/>
          <w:i w:val="0"/>
          <w:color w:val="111827"/>
          <w:sz w:val="17"/>
        </w:rPr>
        <w:t>Phase One Contract Agreement: Design and Development of a Digital Learning Platform.</w:t>
      </w:r>
    </w:p>
    <w:p>
      <w:pPr>
        <w:pStyle w:val="ListBullet"/>
        <w:spacing w:after="0" w:line="240" w:lineRule="auto"/>
      </w:pPr>
      <w:r>
        <w:rPr>
          <w:rFonts w:ascii="Aptos" w:hAnsi="Aptos"/>
          <w:b w:val="0"/>
          <w:i w:val="0"/>
          <w:color w:val="111827"/>
          <w:sz w:val="17"/>
        </w:rPr>
        <w:t>Phase One Inception Report.</w:t>
      </w:r>
    </w:p>
    <w:p>
      <w:pPr>
        <w:pStyle w:val="ListBullet"/>
        <w:spacing w:after="0" w:line="240" w:lineRule="auto"/>
      </w:pPr>
      <w:r>
        <w:rPr>
          <w:rFonts w:ascii="Aptos" w:hAnsi="Aptos"/>
          <w:b w:val="0"/>
          <w:i w:val="0"/>
          <w:color w:val="111827"/>
          <w:sz w:val="17"/>
        </w:rPr>
        <w:t>Implementation Roadmap and Technical Architecture.</w:t>
      </w:r>
    </w:p>
    <w:p>
      <w:pPr>
        <w:pStyle w:val="ListBullet"/>
        <w:spacing w:after="0" w:line="240" w:lineRule="auto"/>
      </w:pPr>
      <w:r>
        <w:rPr>
          <w:rFonts w:ascii="Aptos" w:hAnsi="Aptos"/>
          <w:b w:val="0"/>
          <w:i w:val="0"/>
          <w:color w:val="111827"/>
          <w:sz w:val="17"/>
        </w:rPr>
        <w:t>Phase One Final Delivery and Handover Report.</w:t>
      </w:r>
    </w:p>
    <w:p>
      <w:pPr>
        <w:pStyle w:val="ListBullet"/>
        <w:spacing w:after="0" w:line="240" w:lineRule="auto"/>
      </w:pPr>
      <w:r>
        <w:rPr>
          <w:rFonts w:ascii="Aptos" w:hAnsi="Aptos"/>
          <w:b w:val="0"/>
          <w:i w:val="0"/>
          <w:color w:val="111827"/>
          <w:sz w:val="17"/>
        </w:rPr>
        <w:t>Phase Two Contract Agreement: Knowledge Management and Learning Sharing.</w:t>
      </w:r>
    </w:p>
    <w:p>
      <w:pPr>
        <w:pStyle w:val="ListBullet"/>
        <w:spacing w:after="0" w:line="240" w:lineRule="auto"/>
      </w:pPr>
      <w:r>
        <w:rPr>
          <w:rFonts w:ascii="Aptos" w:hAnsi="Aptos"/>
          <w:b w:val="0"/>
          <w:i w:val="0"/>
          <w:color w:val="111827"/>
          <w:sz w:val="17"/>
        </w:rPr>
        <w:t>Phase Three Contract Agreement: Project Co-Creation, Design and Development Support.</w:t>
      </w:r>
    </w:p>
    <w:p>
      <w:pPr>
        <w:pStyle w:val="ListBullet"/>
        <w:spacing w:after="0" w:line="240" w:lineRule="auto"/>
      </w:pPr>
      <w:r>
        <w:rPr>
          <w:rFonts w:ascii="Aptos" w:hAnsi="Aptos"/>
          <w:b w:val="0"/>
          <w:i w:val="0"/>
          <w:color w:val="111827"/>
          <w:sz w:val="17"/>
        </w:rPr>
        <w:t>Applying HRBA in CSO Practice - course package, design materials and assessment.</w:t>
      </w:r>
    </w:p>
    <w:p>
      <w:pPr>
        <w:pStyle w:val="ListBullet"/>
        <w:spacing w:after="0" w:line="240" w:lineRule="auto"/>
      </w:pPr>
      <w:r>
        <w:rPr>
          <w:rFonts w:ascii="Aptos" w:hAnsi="Aptos"/>
          <w:b w:val="0"/>
          <w:i w:val="0"/>
          <w:color w:val="111827"/>
          <w:sz w:val="17"/>
        </w:rPr>
        <w:t>HRBA Capacity-to-Action Needs Analysis and Course Design Framework.</w:t>
      </w:r>
    </w:p>
    <w:p>
      <w:pPr>
        <w:pStyle w:val="ListBullet"/>
        <w:spacing w:after="0" w:line="240" w:lineRule="auto"/>
      </w:pPr>
      <w:r>
        <w:rPr>
          <w:rFonts w:ascii="Aptos" w:hAnsi="Aptos"/>
          <w:b w:val="0"/>
          <w:i w:val="0"/>
          <w:color w:val="111827"/>
          <w:sz w:val="17"/>
        </w:rPr>
        <w:t>Project Management for Local and Grassroots CSOs - course package, resources and assessment.</w:t>
      </w:r>
    </w:p>
    <w:p>
      <w:pPr>
        <w:pStyle w:val="ListBullet"/>
        <w:spacing w:after="0" w:line="240" w:lineRule="auto"/>
      </w:pPr>
      <w:r>
        <w:rPr>
          <w:rFonts w:ascii="Aptos" w:hAnsi="Aptos"/>
          <w:b w:val="0"/>
          <w:i w:val="0"/>
          <w:color w:val="111827"/>
          <w:sz w:val="17"/>
        </w:rPr>
        <w:t>DEC Internal Pilot V1.1 evidence, coordination and analysis tools.</w:t>
      </w:r>
    </w:p>
    <w:p>
      <w:pPr>
        <w:pStyle w:val="ListBullet"/>
        <w:spacing w:after="0" w:line="240" w:lineRule="auto"/>
      </w:pPr>
      <w:r>
        <w:rPr>
          <w:rFonts w:ascii="Aptos" w:hAnsi="Aptos"/>
          <w:b w:val="0"/>
          <w:i w:val="0"/>
          <w:color w:val="111827"/>
          <w:sz w:val="17"/>
        </w:rPr>
        <w:t>EU HRBA Toolbox and other authoritative subject-matter references.</w:t>
      </w:r>
    </w:p>
    <w:p>
      <w:pPr>
        <w:spacing w:after="0" w:line="240" w:lineRule="auto"/>
      </w:pP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5"/>
      </w:rPr>
      <w:t xml:space="preserve">DEC Internal Pilot  |  August 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475569"/>
        <w:sz w:val="16"/>
      </w:rPr>
      <w:t>DEC CSO Learning Hub  |  Internal Pilot Implementation &amp; Course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 Internal Pilot Implementation and Course Validation Guide</dc:title>
  <dc:subject>DEC CSO Learning Hub internal pilot and Phase One course validation</dc:subject>
  <dc:creator>Development Expertise Center</dc:creator>
  <cp:keywords>DEC, CSO Learning Hub, internal pilot, HRBA, project management, capacity development, EU CSF Plus</cp:keywords>
  <dc:description>generated by python-docx</dc:description>
  <cp:lastModifiedBy/>
  <cp:revision>1</cp:revision>
  <dcterms:created xsi:type="dcterms:W3CDTF">2013-12-23T23:15:00Z</dcterms:created>
  <dcterms:modified xsi:type="dcterms:W3CDTF">2013-12-23T23:15:00Z</dcterms:modified>
  <cp:category/>
</cp:coreProperties>
</file>