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Guía</w:t>
      </w:r>
      <w:r>
        <w:t xml:space="preserve"> </w:t>
      </w:r>
      <w:r>
        <w:t xml:space="preserve">paso</w:t>
      </w:r>
      <w:r>
        <w:t xml:space="preserve"> </w:t>
      </w:r>
      <w:r>
        <w:t xml:space="preserve">a</w:t>
      </w:r>
      <w:r>
        <w:t xml:space="preserve"> </w:t>
      </w:r>
      <w:r>
        <w:t xml:space="preserve">paso</w:t>
      </w:r>
      <w:r>
        <w:t xml:space="preserve"> </w:t>
      </w:r>
      <w:r>
        <w:t xml:space="preserve">del</w:t>
      </w:r>
      <w:r>
        <w:t xml:space="preserve"> </w:t>
      </w:r>
      <w:r>
        <w:t xml:space="preserve">proyecto</w:t>
      </w:r>
    </w:p>
    <w:p>
      <w:pPr>
        <w:pStyle w:val="Subtitle"/>
      </w:pPr>
      <w:r>
        <w:t xml:space="preserve">Proyecto</w:t>
      </w:r>
      <w:r>
        <w:t xml:space="preserve"> </w:t>
      </w:r>
      <w:r>
        <w:t xml:space="preserve">Integrador</w:t>
      </w:r>
      <w:r>
        <w:t xml:space="preserve"> </w:t>
      </w:r>
      <w:r>
        <w:t xml:space="preserve">·</w:t>
      </w:r>
      <w:r>
        <w:t xml:space="preserve"> </w:t>
      </w:r>
      <w:r>
        <w:t xml:space="preserve">Comercio</w:t>
      </w:r>
      <w:r>
        <w:t xml:space="preserve"> </w:t>
      </w:r>
      <w:r>
        <w:t xml:space="preserve">exterior</w:t>
      </w:r>
      <w:r>
        <w:t xml:space="preserve"> </w:t>
      </w:r>
      <w:r>
        <w:t xml:space="preserve">de</w:t>
      </w:r>
      <w:r>
        <w:t xml:space="preserve"> </w:t>
      </w:r>
      <w:r>
        <w:t xml:space="preserve">Argentina</w:t>
      </w:r>
      <w:r>
        <w:t xml:space="preserve"> </w:t>
      </w:r>
      <w:r>
        <w:t xml:space="preserve">y</w:t>
      </w:r>
      <w:r>
        <w:t xml:space="preserve"> </w:t>
      </w:r>
      <w:r>
        <w:t xml:space="preserve">Uruguay</w:t>
      </w:r>
      <w:r>
        <w:t xml:space="preserve"> </w:t>
      </w:r>
      <w:r>
        <w:t xml:space="preserve">(1994–2023)</w:t>
      </w:r>
    </w:p>
    <w:p>
      <w:pPr>
        <w:pStyle w:val="FirstParagraph"/>
      </w:pPr>
      <w:r>
        <w:t xml:space="preserve">Esta guía explica cómo reproducir todo el proyecto desde cero, en el mismo orden en que lo hicimos. Cada paso dice qué hacer y cómo comprobar que salió bien antes de seguir.</w:t>
      </w:r>
    </w:p>
    <w:bookmarkStart w:id="23" w:name="antes-de-empezar"/>
    <w:p>
      <w:pPr>
        <w:pStyle w:val="Heading1"/>
      </w:pPr>
      <w:r>
        <w:t xml:space="preserve">Antes de empezar</w:t>
      </w:r>
    </w:p>
    <w:p>
      <w:pPr>
        <w:pStyle w:val="FirstParagraph"/>
      </w:pPr>
      <w:r>
        <w:rPr>
          <w:bCs/>
          <w:b/>
        </w:rPr>
        <w:t xml:space="preserve">Programas necesarios: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EEF6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Programa</w:t>
            </w:r>
          </w:p>
        </w:tc>
        <w:tc>
          <w:tcPr>
            <w:shd w:val="clear" w:color="auto" w:fill="E8EEF6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Para qué</w:t>
            </w:r>
          </w:p>
        </w:tc>
        <w:tc>
          <w:tcPr>
            <w:shd w:val="clear" w:color="auto" w:fill="E8EEF6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Dónde se consigue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Anaconda (incluye Jupyter Notebook)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Ejecutar el notebook de Python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hyperlink r:id="rId20">
              <w:r>
                <w:rPr>
                  <w:rStyle w:val="Hyperlink"/>
                </w:rPr>
                <w:t xml:space="preserve">anaconda.com</w:t>
              </w:r>
            </w:hyperlink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MySQL Server y MySQL Workbench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Base de datos y editor de consultas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hyperlink r:id="rId21">
              <w:r>
                <w:rPr>
                  <w:rStyle w:val="Hyperlink"/>
                </w:rPr>
                <w:t xml:space="preserve">dev.mysql.com/downloads</w:t>
              </w:r>
            </w:hyperlink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Power BI Desktop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Dashboard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Microsoft Store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MySQL Connector/NET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Que Power BI se conecte a MySQL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hyperlink r:id="rId22">
              <w:r>
                <w:rPr>
                  <w:rStyle w:val="Hyperlink"/>
                </w:rPr>
                <w:t xml:space="preserve">dev.mysql.com/downloads/connector/net</w:t>
              </w:r>
            </w:hyperlink>
          </w:p>
        </w:tc>
      </w:tr>
    </w:tbl>
    <w:p>
      <w:pPr>
        <w:pStyle w:val="BodyText"/>
      </w:pPr>
      <w:r>
        <w:t xml:space="preserve">En las páginas de MySQL</w:t>
      </w:r>
      <w:r>
        <w:t xml:space="preserve"> </w:t>
      </w:r>
      <w:r>
        <w:rPr>
          <w:bCs/>
          <w:b/>
        </w:rPr>
        <w:t xml:space="preserve">no hace falta crear usuario</w:t>
      </w:r>
      <w:r>
        <w:t xml:space="preserve">: debajo del botón de inicio de sesión está el enlace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 thanks, just start my download</w:t>
      </w:r>
      <w:r>
        <w:rPr>
          <w:iCs/>
          <w:i/>
        </w:rP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Archivos del proyecto.</w:t>
      </w:r>
      <w:r>
        <w:t xml:space="preserve"> </w:t>
      </w:r>
      <w:r>
        <w:t xml:space="preserve">Conviene tenerlos todos juntos en una carpeta, por ejemplo</w:t>
      </w:r>
      <w:r>
        <w:t xml:space="preserve"> </w:t>
      </w:r>
      <w:r>
        <w:rPr>
          <w:rStyle w:val="VerbatimChar"/>
        </w:rPr>
        <w:t xml:space="preserve">D:/Proyecto</w:t>
      </w:r>
      <w:r>
        <w:t xml:space="preserve">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EEF6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Archivo</w:t>
            </w:r>
          </w:p>
        </w:tc>
        <w:tc>
          <w:tcPr>
            <w:shd w:val="clear" w:color="auto" w:fill="E8EEF6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Qué es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8 archivos Excel de WITS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Datos originales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01_carga_y_limpieza.ipynb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Notebook de limpieza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ddl.sql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Crea la base y las tablas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carga.sql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Carga los CSV en la base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analisis.sql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Consultas de análisis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dashboard.pbix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Dashboard de Power BI</w:t>
            </w:r>
          </w:p>
        </w:tc>
      </w:tr>
    </w:tbl>
    <w:bookmarkEnd w:id="23"/>
    <w:bookmarkStart w:id="32" w:name="paso-1-descargar-los-datos-de-wits"/>
    <w:p>
      <w:pPr>
        <w:pStyle w:val="Heading1"/>
      </w:pPr>
      <w:r>
        <w:t xml:space="preserve">Paso 1 · Descargar los datos de WITS</w:t>
      </w:r>
    </w:p>
    <w:p>
      <w:pPr>
        <w:pStyle w:val="FirstParagraph"/>
      </w:pPr>
      <w:r>
        <w:t xml:space="preserve">Son 8 archivos: para cada país, exportaciones e importaciones, en dólares y en % de participación.</w:t>
      </w:r>
    </w:p>
    <w:p>
      <w:pPr>
        <w:numPr>
          <w:ilvl w:val="0"/>
          <w:numId w:val="1001"/>
        </w:numPr>
        <w:pStyle w:val="Compact"/>
      </w:pPr>
      <w:r>
        <w:t xml:space="preserve">Abran cada enlace:</w:t>
      </w:r>
    </w:p>
    <w:p>
      <w:pPr>
        <w:numPr>
          <w:ilvl w:val="1"/>
          <w:numId w:val="1002"/>
        </w:numPr>
        <w:pStyle w:val="Compact"/>
      </w:pPr>
      <w:r>
        <w:t xml:space="preserve">Argentina:</w:t>
      </w:r>
      <w:r>
        <w:t xml:space="preserve"> </w:t>
      </w:r>
      <w:hyperlink r:id="rId24">
        <w:r>
          <w:rPr>
            <w:rStyle w:val="Hyperlink"/>
          </w:rPr>
          <w:t xml:space="preserve">exportaciones en dólares</w:t>
        </w:r>
      </w:hyperlink>
      <w:r>
        <w:t xml:space="preserve"> </w:t>
      </w:r>
      <w:r>
        <w:t xml:space="preserve">·</w:t>
      </w:r>
      <w:r>
        <w:t xml:space="preserve"> </w:t>
      </w:r>
      <w:hyperlink r:id="rId25">
        <w:r>
          <w:rPr>
            <w:rStyle w:val="Hyperlink"/>
          </w:rPr>
          <w:t xml:space="preserve">importaciones en dólares</w:t>
        </w:r>
      </w:hyperlink>
      <w:r>
        <w:t xml:space="preserve"> </w:t>
      </w:r>
      <w:r>
        <w:t xml:space="preserve">·</w:t>
      </w:r>
      <w:r>
        <w:t xml:space="preserve"> </w:t>
      </w:r>
      <w:hyperlink r:id="rId26">
        <w:r>
          <w:rPr>
            <w:rStyle w:val="Hyperlink"/>
          </w:rPr>
          <w:t xml:space="preserve">exportaciones %</w:t>
        </w:r>
      </w:hyperlink>
      <w:r>
        <w:t xml:space="preserve"> </w:t>
      </w:r>
      <w:r>
        <w:t xml:space="preserve">·</w:t>
      </w:r>
      <w:r>
        <w:t xml:space="preserve"> </w:t>
      </w:r>
      <w:hyperlink r:id="rId27">
        <w:r>
          <w:rPr>
            <w:rStyle w:val="Hyperlink"/>
          </w:rPr>
          <w:t xml:space="preserve">importaciones %</w:t>
        </w:r>
      </w:hyperlink>
    </w:p>
    <w:p>
      <w:pPr>
        <w:numPr>
          <w:ilvl w:val="1"/>
          <w:numId w:val="1002"/>
        </w:numPr>
        <w:pStyle w:val="Compact"/>
      </w:pPr>
      <w:r>
        <w:t xml:space="preserve">Uruguay:</w:t>
      </w:r>
      <w:r>
        <w:t xml:space="preserve"> </w:t>
      </w:r>
      <w:hyperlink r:id="rId28">
        <w:r>
          <w:rPr>
            <w:rStyle w:val="Hyperlink"/>
          </w:rPr>
          <w:t xml:space="preserve">exportaciones en dólares</w:t>
        </w:r>
      </w:hyperlink>
      <w:r>
        <w:t xml:space="preserve"> </w:t>
      </w:r>
      <w:r>
        <w:t xml:space="preserve">·</w:t>
      </w:r>
      <w:r>
        <w:t xml:space="preserve"> </w:t>
      </w:r>
      <w:hyperlink r:id="rId29">
        <w:r>
          <w:rPr>
            <w:rStyle w:val="Hyperlink"/>
          </w:rPr>
          <w:t xml:space="preserve">importaciones en dólares</w:t>
        </w:r>
      </w:hyperlink>
      <w:r>
        <w:t xml:space="preserve"> </w:t>
      </w:r>
      <w:r>
        <w:t xml:space="preserve">·</w:t>
      </w:r>
      <w:r>
        <w:t xml:space="preserve"> </w:t>
      </w:r>
      <w:hyperlink r:id="rId30">
        <w:r>
          <w:rPr>
            <w:rStyle w:val="Hyperlink"/>
          </w:rPr>
          <w:t xml:space="preserve">exportaciones %</w:t>
        </w:r>
      </w:hyperlink>
      <w:r>
        <w:t xml:space="preserve"> </w:t>
      </w:r>
      <w:r>
        <w:t xml:space="preserve">·</w:t>
      </w:r>
      <w:r>
        <w:t xml:space="preserve"> </w:t>
      </w:r>
      <w:hyperlink r:id="rId31">
        <w:r>
          <w:rPr>
            <w:rStyle w:val="Hyperlink"/>
          </w:rPr>
          <w:t xml:space="preserve">importaciones %</w:t>
        </w:r>
      </w:hyperlink>
    </w:p>
    <w:p>
      <w:pPr>
        <w:numPr>
          <w:ilvl w:val="0"/>
          <w:numId w:val="1001"/>
        </w:numPr>
        <w:pStyle w:val="Compact"/>
      </w:pPr>
      <w:r>
        <w:t xml:space="preserve">En cada página, verifiquen que está la vista de tabla (</w:t>
      </w:r>
      <w:r>
        <w:rPr>
          <w:iCs/>
          <w:i/>
        </w:rPr>
        <w:t xml:space="preserve">Table View</w:t>
      </w:r>
      <w:r>
        <w:t xml:space="preserve">) y hagan clic en</w:t>
      </w:r>
      <w:r>
        <w:t xml:space="preserve"> </w:t>
      </w:r>
      <w:r>
        <w:rPr>
          <w:bCs/>
          <w:b/>
        </w:rPr>
        <w:t xml:space="preserve">Excel</w:t>
      </w:r>
      <w:r>
        <w:t xml:space="preserve">, arriba de la tabla.</w:t>
      </w:r>
    </w:p>
    <w:p>
      <w:pPr>
        <w:numPr>
          <w:ilvl w:val="0"/>
          <w:numId w:val="1001"/>
        </w:numPr>
        <w:pStyle w:val="Compact"/>
      </w:pPr>
      <w:r>
        <w:t xml:space="preserve">Guarden los 8 archivos en la carpeta del proyecto. El nombre no importa.</w:t>
      </w:r>
    </w:p>
    <w:p>
      <w:pPr>
        <w:pStyle w:val="FirstParagraph"/>
      </w:pPr>
      <w:r>
        <w:rPr>
          <w:bCs/>
          <w:b/>
        </w:rPr>
        <w:t xml:space="preserve">Comprobación:</w:t>
      </w:r>
      <w:r>
        <w:t xml:space="preserve"> </w:t>
      </w:r>
      <w:r>
        <w:t xml:space="preserve">al abrir un archivo hay una hoja vacía (</w:t>
      </w:r>
      <w:r>
        <w:rPr>
          <w:rStyle w:val="VerbatimChar"/>
        </w:rPr>
        <w:t xml:space="preserve">Sheet1</w:t>
      </w:r>
      <w:r>
        <w:t xml:space="preserve">) y otra con los datos, con una columna por año hasta 2023.</w:t>
      </w:r>
    </w:p>
    <w:bookmarkEnd w:id="32"/>
    <w:bookmarkStart w:id="34" w:name="paso-2-ejecutar-el-notebook-de-python"/>
    <w:p>
      <w:pPr>
        <w:pStyle w:val="Heading1"/>
      </w:pPr>
      <w:r>
        <w:t xml:space="preserve">Paso 2 · Ejecutar el notebook de Python</w:t>
      </w:r>
    </w:p>
    <w:p>
      <w:pPr>
        <w:pStyle w:val="FirstParagraph"/>
      </w:pPr>
      <w:r>
        <w:t xml:space="preserve">El notebook lee los 8 Excel, los limpia y genera dos archivos:</w:t>
      </w:r>
      <w:r>
        <w:t xml:space="preserve"> </w:t>
      </w:r>
      <w:r>
        <w:rPr>
          <w:rStyle w:val="VerbatimChar"/>
        </w:rPr>
        <w:t xml:space="preserve">dim_socio.csv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fact_comercio.csv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Abran</w:t>
      </w:r>
      <w:r>
        <w:t xml:space="preserve"> </w:t>
      </w:r>
      <w:r>
        <w:rPr>
          <w:bCs/>
          <w:b/>
        </w:rPr>
        <w:t xml:space="preserve">Anaconda Prompt</w:t>
      </w:r>
      <w:r>
        <w:t xml:space="preserve"> </w:t>
      </w:r>
      <w:r>
        <w:t xml:space="preserve">desde el menú Inicio y escriban, con su carpeta: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jupyter notebook --notebook-dir="D:/Proyecto"</w:t>
      </w:r>
    </w:p>
    <w:p>
      <w:pPr>
        <w:numPr>
          <w:ilvl w:val="0"/>
          <w:numId w:val="1000"/>
        </w:numPr>
      </w:pPr>
      <w:r>
        <w:t xml:space="preserve">Así Jupyter se abre directamente en esa carpeta, aunque esté en otro disco.</w:t>
      </w:r>
    </w:p>
    <w:p>
      <w:pPr>
        <w:numPr>
          <w:ilvl w:val="0"/>
          <w:numId w:val="1003"/>
        </w:numPr>
      </w:pPr>
      <w:r>
        <w:t xml:space="preserve">En el navegador, abran</w:t>
      </w:r>
      <w:r>
        <w:t xml:space="preserve"> </w:t>
      </w:r>
      <w:r>
        <w:rPr>
          <w:rStyle w:val="VerbatimChar"/>
        </w:rPr>
        <w:t xml:space="preserve">01_carga_y_limpieza.ipynb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Menú</w:t>
      </w:r>
      <w:r>
        <w:t xml:space="preserve"> </w:t>
      </w:r>
      <w:r>
        <w:rPr>
          <w:bCs/>
          <w:b/>
        </w:rPr>
        <w:t xml:space="preserve">Kernel → Restart Kernel and Run All Cells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Esperen a que terminen todas las celdas. Cada paso tiene una explicación escrita arriba del código.</w:t>
      </w:r>
    </w:p>
    <w:p>
      <w:pPr>
        <w:pStyle w:val="FirstParagraph"/>
      </w:pPr>
      <w:r>
        <w:rPr>
          <w:bCs/>
          <w:b/>
        </w:rPr>
        <w:t xml:space="preserve">Comprobación:</w:t>
      </w:r>
    </w:p>
    <w:p>
      <w:pPr>
        <w:numPr>
          <w:ilvl w:val="0"/>
          <w:numId w:val="1004"/>
        </w:numPr>
        <w:pStyle w:val="Compact"/>
      </w:pPr>
      <w:r>
        <w:t xml:space="preserve">El Paso 1 dice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 encontraron 8 archivos de WITS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El Paso 6 dice</w:t>
      </w:r>
      <w:r>
        <w:t xml:space="preserve"> </w:t>
      </w:r>
      <w:r>
        <w:rPr>
          <w:rStyle w:val="VerbatimChar"/>
        </w:rPr>
        <w:t xml:space="preserve">dim_socio: 247 filas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fact_comercio: 19,551 filas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En la carpeta aparecen</w:t>
      </w:r>
      <w:r>
        <w:t xml:space="preserve"> </w:t>
      </w:r>
      <w:r>
        <w:rPr>
          <w:rStyle w:val="VerbatimChar"/>
        </w:rPr>
        <w:t xml:space="preserve">dim_socio.csv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fact_comercio.csv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Alternativa sin instalar nada:</w:t>
      </w:r>
      <w:r>
        <w:t xml:space="preserve"> </w:t>
      </w:r>
      <w:r>
        <w:t xml:space="preserve">en</w:t>
      </w:r>
      <w:r>
        <w:t xml:space="preserve"> </w:t>
      </w:r>
      <w:hyperlink r:id="rId33">
        <w:r>
          <w:rPr>
            <w:rStyle w:val="Hyperlink"/>
          </w:rPr>
          <w:t xml:space="preserve">Google Colab</w:t>
        </w:r>
      </w:hyperlink>
      <w:r>
        <w:t xml:space="preserve">,</w:t>
      </w:r>
      <w:r>
        <w:t xml:space="preserve"> </w:t>
      </w:r>
      <w:r>
        <w:rPr>
          <w:iCs/>
          <w:i/>
        </w:rPr>
        <w:t xml:space="preserve">Archivo → Subir notebook</w:t>
      </w:r>
      <w:r>
        <w:t xml:space="preserve">, después</w:t>
      </w:r>
      <w:r>
        <w:t xml:space="preserve"> </w:t>
      </w:r>
      <w:r>
        <w:rPr>
          <w:iCs/>
          <w:i/>
        </w:rPr>
        <w:t xml:space="preserve">Entorno de ejecución → Ejecutar todas</w:t>
      </w:r>
      <w:r>
        <w:t xml:space="preserve">, y en el Paso 1 se suben los 8 Excel con el botón</w:t>
      </w:r>
      <w:r>
        <w:t xml:space="preserve"> </w:t>
      </w:r>
      <w:r>
        <w:rPr>
          <w:iCs/>
          <w:i/>
        </w:rPr>
        <w:t xml:space="preserve">Elegir archivos</w:t>
      </w:r>
      <w:r>
        <w:t xml:space="preserve">. Si Colab pide acceso a Google Drive, respondan</w:t>
      </w:r>
      <w:r>
        <w:t xml:space="preserve"> </w:t>
      </w:r>
      <w:r>
        <w:rPr>
          <w:bCs/>
          <w:b/>
        </w:rPr>
        <w:t xml:space="preserve">No</w:t>
      </w:r>
      <w:r>
        <w:t xml:space="preserve">: no hace falta.</w:t>
      </w:r>
    </w:p>
    <w:bookmarkEnd w:id="34"/>
    <w:bookmarkStart w:id="35" w:name="Xd110e4e7ead5cc1abca3c1736240aa520edb8a3"/>
    <w:p>
      <w:pPr>
        <w:pStyle w:val="Heading1"/>
      </w:pPr>
      <w:r>
        <w:t xml:space="preserve">Paso 3 · Preparar MySQL Workbench y cargar la base</w:t>
      </w:r>
    </w:p>
    <w:p>
      <w:pPr>
        <w:pStyle w:val="FirstParagraph"/>
      </w:pPr>
      <w:r>
        <w:t xml:space="preserve">MySQL Workbench es el programa con el delfín azul donde se escriben y ejecutan las consultas. Las consultas se ejecutan con el botón del</w:t>
      </w:r>
      <w:r>
        <w:t xml:space="preserve"> </w:t>
      </w:r>
      <w:r>
        <w:rPr>
          <w:bCs/>
          <w:b/>
        </w:rPr>
        <w:t xml:space="preserve">rayo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3.1 Permitir la lectura de archivos locales</w:t>
      </w:r>
      <w:r>
        <w:t xml:space="preserve"> </w:t>
      </w:r>
      <w:r>
        <w:t xml:space="preserve">(se hace una sola vez):</w:t>
      </w:r>
    </w:p>
    <w:p>
      <w:pPr>
        <w:numPr>
          <w:ilvl w:val="0"/>
          <w:numId w:val="1005"/>
        </w:numPr>
      </w:pPr>
      <w:r>
        <w:t xml:space="preserve">En la pantalla de inicio de Workbench (el ícono de la casita), hagan clic derecho sobre el recuadro gris de su conexión, normalmente</w:t>
      </w:r>
      <w:r>
        <w:t xml:space="preserve"> </w:t>
      </w:r>
      <w:r>
        <w:rPr>
          <w:iCs/>
          <w:i/>
        </w:rPr>
        <w:t xml:space="preserve">Local instance MySQL</w:t>
      </w:r>
      <w:r>
        <w:t xml:space="preserve">, y elijan</w:t>
      </w:r>
      <w:r>
        <w:t xml:space="preserve"> </w:t>
      </w:r>
      <w:r>
        <w:rPr>
          <w:bCs/>
          <w:b/>
        </w:rPr>
        <w:t xml:space="preserve">Edit Connection…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Pestaña</w:t>
      </w:r>
      <w:r>
        <w:t xml:space="preserve"> </w:t>
      </w:r>
      <w:r>
        <w:rPr>
          <w:bCs/>
          <w:b/>
        </w:rPr>
        <w:t xml:space="preserve">Advanced</w:t>
      </w:r>
      <w:r>
        <w:t xml:space="preserve"> </w:t>
      </w:r>
      <w:r>
        <w:t xml:space="preserve">→ cuadro</w:t>
      </w:r>
      <w:r>
        <w:t xml:space="preserve"> </w:t>
      </w:r>
      <w:r>
        <w:rPr>
          <w:bCs/>
          <w:b/>
        </w:rPr>
        <w:t xml:space="preserve">Others</w:t>
      </w:r>
      <w:r>
        <w:t xml:space="preserve">. Sin borrar lo que ya está escrito, agreguen al final una línea nueva: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OPT_LOCAL_INFILE=1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Close</w:t>
      </w:r>
      <w:r>
        <w:t xml:space="preserve">, y después</w:t>
      </w:r>
      <w:r>
        <w:t xml:space="preserve"> </w:t>
      </w:r>
      <w:r>
        <w:rPr>
          <w:bCs/>
          <w:b/>
        </w:rPr>
        <w:t xml:space="preserve">cierren Workbench por completo</w:t>
      </w:r>
      <w:r>
        <w:t xml:space="preserve"> </w:t>
      </w:r>
      <w:r>
        <w:t xml:space="preserve">y vuelvan a abrirlo.</w:t>
      </w:r>
    </w:p>
    <w:p>
      <w:pPr>
        <w:pStyle w:val="FirstParagraph"/>
      </w:pPr>
      <w:r>
        <w:rPr>
          <w:bCs/>
          <w:b/>
        </w:rPr>
        <w:t xml:space="preserve">3.2 Crear la base:</w:t>
      </w:r>
      <w:r>
        <w:t xml:space="preserve"> </w:t>
      </w:r>
      <w:r>
        <w:t xml:space="preserve">abran</w:t>
      </w:r>
      <w:r>
        <w:t xml:space="preserve"> </w:t>
      </w:r>
      <w:r>
        <w:rPr>
          <w:rStyle w:val="VerbatimChar"/>
        </w:rPr>
        <w:t xml:space="preserve">ddl.sql</w:t>
      </w:r>
      <w:r>
        <w:t xml:space="preserve"> </w:t>
      </w:r>
      <w:r>
        <w:t xml:space="preserve">(</w:t>
      </w:r>
      <w:r>
        <w:rPr>
          <w:iCs/>
          <w:i/>
        </w:rPr>
        <w:t xml:space="preserve">File → Open SQL Script</w:t>
      </w:r>
      <w:r>
        <w:t xml:space="preserve">) y ejecútenlo con el rayo.</w:t>
      </w:r>
    </w:p>
    <w:p>
      <w:pPr>
        <w:pStyle w:val="BodyText"/>
      </w:pPr>
      <w:r>
        <w:rPr>
          <w:bCs/>
          <w:b/>
        </w:rPr>
        <w:t xml:space="preserve">3.3 Cargar los datos:</w:t>
      </w:r>
    </w:p>
    <w:p>
      <w:pPr>
        <w:numPr>
          <w:ilvl w:val="0"/>
          <w:numId w:val="1006"/>
        </w:numPr>
        <w:pStyle w:val="Compact"/>
      </w:pPr>
      <w:r>
        <w:t xml:space="preserve">Abran</w:t>
      </w:r>
      <w:r>
        <w:t xml:space="preserve"> </w:t>
      </w:r>
      <w:r>
        <w:rPr>
          <w:rStyle w:val="VerbatimChar"/>
        </w:rPr>
        <w:t xml:space="preserve">carga.sql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Con</w:t>
      </w:r>
      <w:r>
        <w:t xml:space="preserve"> </w:t>
      </w:r>
      <w:r>
        <w:rPr>
          <w:bCs/>
          <w:b/>
        </w:rPr>
        <w:t xml:space="preserve">Ctrl + F</w:t>
      </w:r>
      <w:r>
        <w:t xml:space="preserve">, busquen</w:t>
      </w:r>
      <w:r>
        <w:t xml:space="preserve"> </w:t>
      </w:r>
      <w:r>
        <w:rPr>
          <w:rStyle w:val="VerbatimChar"/>
        </w:rPr>
        <w:t xml:space="preserve">D:/Bootcamp/Proyecto/</w:t>
      </w:r>
      <w:r>
        <w:t xml:space="preserve"> </w:t>
      </w:r>
      <w:r>
        <w:t xml:space="preserve">y reemplácenlo por su carpeta. Aparece dos veces.</w:t>
      </w:r>
    </w:p>
    <w:p>
      <w:pPr>
        <w:numPr>
          <w:ilvl w:val="0"/>
          <w:numId w:val="1006"/>
        </w:numPr>
        <w:pStyle w:val="Compact"/>
      </w:pPr>
      <w:r>
        <w:t xml:space="preserve">Usen barras normales</w:t>
      </w:r>
      <w:r>
        <w:t xml:space="preserve"> </w:t>
      </w:r>
      <w:r>
        <w:rPr>
          <w:rStyle w:val="VerbatimChar"/>
        </w:rPr>
        <w:t xml:space="preserve">/</w:t>
      </w:r>
      <w:r>
        <w:t xml:space="preserve">, no</w:t>
      </w:r>
      <w:r>
        <w:t xml:space="preserve"> </w:t>
      </w:r>
      <w:r>
        <w:rPr>
          <w:rStyle w:val="VerbatimChar"/>
        </w:rPr>
        <w:t xml:space="preserve">\</w:t>
      </w:r>
      <w:r>
        <w:t xml:space="preserve">. Por ejemplo:</w:t>
      </w:r>
      <w:r>
        <w:t xml:space="preserve"> </w:t>
      </w:r>
      <w:r>
        <w:rPr>
          <w:rStyle w:val="VerbatimChar"/>
        </w:rPr>
        <w:t xml:space="preserve">'D:/Proyecto/dim_socio.csv'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Ejecuten con el rayo.</w:t>
      </w:r>
    </w:p>
    <w:p>
      <w:pPr>
        <w:pStyle w:val="FirstParagraph"/>
      </w:pPr>
      <w:r>
        <w:rPr>
          <w:bCs/>
          <w:b/>
        </w:rPr>
        <w:t xml:space="preserve">Comprobación:</w:t>
      </w:r>
      <w:r>
        <w:t xml:space="preserve"> </w:t>
      </w:r>
      <w:r>
        <w:t xml:space="preserve">abajo aparecen dos resultados:</w:t>
      </w:r>
      <w:r>
        <w:t xml:space="preserve"> </w:t>
      </w:r>
      <w:r>
        <w:rPr>
          <w:rStyle w:val="VerbatimChar"/>
        </w:rPr>
        <w:t xml:space="preserve">dim_socio</w:t>
      </w:r>
      <w:r>
        <w:t xml:space="preserve"> </w:t>
      </w:r>
      <w:r>
        <w:t xml:space="preserve">con</w:t>
      </w:r>
      <w:r>
        <w:t xml:space="preserve"> </w:t>
      </w:r>
      <w:r>
        <w:rPr>
          <w:bCs/>
          <w:b/>
        </w:rPr>
        <w:t xml:space="preserve">247</w:t>
      </w:r>
      <w:r>
        <w:t xml:space="preserve"> </w:t>
      </w:r>
      <w:r>
        <w:t xml:space="preserve">filas y</w:t>
      </w:r>
      <w:r>
        <w:t xml:space="preserve"> </w:t>
      </w:r>
      <w:r>
        <w:rPr>
          <w:rStyle w:val="VerbatimChar"/>
        </w:rPr>
        <w:t xml:space="preserve">fact_comercio</w:t>
      </w:r>
      <w:r>
        <w:t xml:space="preserve"> </w:t>
      </w:r>
      <w:r>
        <w:t xml:space="preserve">con</w:t>
      </w:r>
      <w:r>
        <w:t xml:space="preserve"> </w:t>
      </w:r>
      <w:r>
        <w:rPr>
          <w:bCs/>
          <w:b/>
        </w:rPr>
        <w:t xml:space="preserve">19.551</w:t>
      </w:r>
      <w:r>
        <w:t xml:space="preserve">; y</w:t>
      </w:r>
      <w:r>
        <w:t xml:space="preserve"> </w:t>
      </w:r>
      <w:r>
        <w:rPr>
          <w:rStyle w:val="VerbatimChar"/>
        </w:rPr>
        <w:t xml:space="preserve">usd_sin_dato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28</w:t>
      </w:r>
      <w:r>
        <w:t xml:space="preserve">,</w:t>
      </w:r>
      <w:r>
        <w:t xml:space="preserve"> </w:t>
      </w:r>
      <w:r>
        <w:rPr>
          <w:rStyle w:val="VerbatimChar"/>
        </w:rPr>
        <w:t xml:space="preserve">pct_sin_dato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</w:p>
    <w:bookmarkEnd w:id="35"/>
    <w:bookmarkStart w:id="36" w:name="paso-4-ejecutar-el-análisis-en-sql"/>
    <w:p>
      <w:pPr>
        <w:pStyle w:val="Heading1"/>
      </w:pPr>
      <w:r>
        <w:t xml:space="preserve">Paso 4 · Ejecutar el análisis en SQL</w:t>
      </w:r>
    </w:p>
    <w:p>
      <w:pPr>
        <w:pStyle w:val="FirstParagraph"/>
      </w:pPr>
      <w:r>
        <w:rPr>
          <w:rStyle w:val="VerbatimChar"/>
        </w:rPr>
        <w:t xml:space="preserve">analisis.sql</w:t>
      </w:r>
      <w:r>
        <w:t xml:space="preserve"> </w:t>
      </w:r>
      <w:r>
        <w:t xml:space="preserve">tiene las consultas que responden las preguntas del proyecto. Está dividido en seis partes, y cada consulta tiene un comentario que explica qué hace.</w:t>
      </w:r>
    </w:p>
    <w:p>
      <w:pPr>
        <w:numPr>
          <w:ilvl w:val="0"/>
          <w:numId w:val="1007"/>
        </w:numPr>
        <w:pStyle w:val="Compact"/>
      </w:pPr>
      <w:r>
        <w:t xml:space="preserve">Abran</w:t>
      </w:r>
      <w:r>
        <w:t xml:space="preserve"> </w:t>
      </w:r>
      <w:r>
        <w:rPr>
          <w:rStyle w:val="VerbatimChar"/>
        </w:rPr>
        <w:t xml:space="preserve">analisis.sql</w:t>
      </w:r>
      <w:r>
        <w:t xml:space="preserve"> </w:t>
      </w:r>
      <w:r>
        <w:t xml:space="preserve">y ejecútenlo completo con el rayo. Cada consulta muestra su resultado en una pestaña distinta, abajo.</w:t>
      </w:r>
    </w:p>
    <w:p>
      <w:pPr>
        <w:numPr>
          <w:ilvl w:val="0"/>
          <w:numId w:val="1007"/>
        </w:numPr>
        <w:pStyle w:val="Compact"/>
      </w:pPr>
      <w:r>
        <w:t xml:space="preserve">Para ejecutar una sola consulta, pongan el cursor sobre ella y aprieten</w:t>
      </w:r>
      <w:r>
        <w:t xml:space="preserve"> </w:t>
      </w:r>
      <w:r>
        <w:rPr>
          <w:bCs/>
          <w:b/>
        </w:rPr>
        <w:t xml:space="preserve">Ctrl + Enter</w:t>
      </w:r>
      <w:r>
        <w:t xml:space="preserve">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EEF6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Parte</w:t>
            </w:r>
          </w:p>
        </w:tc>
        <w:tc>
          <w:tcPr>
            <w:shd w:val="clear" w:color="auto" w:fill="E8EEF6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Qué responde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Controles de calidad de los datos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Evolución del comercio, crisis y balanza comercial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Principales socios y avance de China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Concentración del comercio (índice HHI)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Comercio entre Argentina y Uruguay y comparación espejo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Vista de comercio por país socio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Comprobación:</w:t>
      </w:r>
      <w:r>
        <w:t xml:space="preserve"> </w:t>
      </w:r>
      <w:r>
        <w:t xml:space="preserve">en el panel izquierdo (</w:t>
      </w:r>
      <w:r>
        <w:rPr>
          <w:iCs/>
          <w:i/>
        </w:rPr>
        <w:t xml:space="preserve">Schemas</w:t>
      </w:r>
      <w:r>
        <w:t xml:space="preserve">), apreten actualizar. Dentro de</w:t>
      </w:r>
      <w:r>
        <w:t xml:space="preserve"> </w:t>
      </w:r>
      <w:r>
        <w:rPr>
          <w:rStyle w:val="VerbatimChar"/>
        </w:rPr>
        <w:t xml:space="preserve">comercio_arg_uy → Views</w:t>
      </w:r>
      <w:r>
        <w:t xml:space="preserve"> </w:t>
      </w:r>
      <w:r>
        <w:t xml:space="preserve">tienen que aparecer</w:t>
      </w:r>
      <w:r>
        <w:t xml:space="preserve"> </w:t>
      </w:r>
      <w:r>
        <w:rPr>
          <w:rStyle w:val="VerbatimChar"/>
        </w:rPr>
        <w:t xml:space="preserve">vw_balanza_anual</w:t>
      </w:r>
      <w:r>
        <w:t xml:space="preserve">,</w:t>
      </w:r>
      <w:r>
        <w:t xml:space="preserve"> </w:t>
      </w:r>
      <w:r>
        <w:rPr>
          <w:rStyle w:val="VerbatimChar"/>
        </w:rPr>
        <w:t xml:space="preserve">vw_comercio_socios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vw_concentracion</w:t>
      </w:r>
      <w:r>
        <w:t xml:space="preserve">.</w:t>
      </w:r>
    </w:p>
    <w:bookmarkEnd w:id="36"/>
    <w:bookmarkStart w:id="37" w:name="X5cd702900b56aecbd65a26b938589fb5f6afaf0"/>
    <w:p>
      <w:pPr>
        <w:pStyle w:val="Heading1"/>
      </w:pPr>
      <w:r>
        <w:t xml:space="preserve">Paso 5 · Power BI: conexión, modelo y medidas</w:t>
      </w:r>
    </w:p>
    <w:p>
      <w:pPr>
        <w:pStyle w:val="FirstParagraph"/>
      </w:pPr>
      <w:r>
        <w:rPr>
          <w:bCs/>
          <w:b/>
        </w:rPr>
        <w:t xml:space="preserve">5.1 Conectar a MySQL</w:t>
      </w:r>
    </w:p>
    <w:p>
      <w:pPr>
        <w:numPr>
          <w:ilvl w:val="0"/>
          <w:numId w:val="1008"/>
        </w:numPr>
        <w:pStyle w:val="Compact"/>
      </w:pPr>
      <w:r>
        <w:t xml:space="preserve">Instalen</w:t>
      </w:r>
      <w:r>
        <w:t xml:space="preserve"> </w:t>
      </w:r>
      <w:r>
        <w:rPr>
          <w:bCs/>
          <w:b/>
        </w:rPr>
        <w:t xml:space="preserve">MySQL Connector/NET</w:t>
      </w:r>
      <w:r>
        <w:t xml:space="preserve">, y después cierren y vuelvan a abrir Power BI.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Inicio → Obtener datos → Más… → Base de datos MySQL → Conectar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Servidor: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· Base de datos:</w:t>
      </w:r>
      <w:r>
        <w:t xml:space="preserve"> </w:t>
      </w:r>
      <w:r>
        <w:rPr>
          <w:rStyle w:val="VerbatimChar"/>
        </w:rPr>
        <w:t xml:space="preserve">comercio_arg_uy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Aceptar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Si pide credenciales: pestaña</w:t>
      </w:r>
      <w:r>
        <w:t xml:space="preserve"> </w:t>
      </w:r>
      <w:r>
        <w:rPr>
          <w:bCs/>
          <w:b/>
        </w:rPr>
        <w:t xml:space="preserve">Base de datos</w:t>
      </w:r>
      <w:r>
        <w:t xml:space="preserve">, usuario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y la contraseña de Workbench.</w:t>
      </w:r>
    </w:p>
    <w:p>
      <w:pPr>
        <w:numPr>
          <w:ilvl w:val="0"/>
          <w:numId w:val="1008"/>
        </w:numPr>
        <w:pStyle w:val="Compact"/>
      </w:pPr>
      <w:r>
        <w:t xml:space="preserve">En el Navegador marquen</w:t>
      </w:r>
      <w:r>
        <w:t xml:space="preserve"> </w:t>
      </w:r>
      <w:r>
        <w:rPr>
          <w:bCs/>
          <w:b/>
        </w:rPr>
        <w:t xml:space="preserve">solo</w:t>
      </w:r>
      <w:r>
        <w:t xml:space="preserve"> </w:t>
      </w:r>
      <w:r>
        <w:rPr>
          <w:rStyle w:val="VerbatimChar"/>
        </w:rPr>
        <w:t xml:space="preserve">comercio_arg_uy.fact_comercio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comercio_arg_uy.dim_socio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Cargar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Comprobación:</w:t>
      </w:r>
      <w:r>
        <w:t xml:space="preserve"> </w:t>
      </w:r>
      <w:r>
        <w:t xml:space="preserve">en la vista de tabla,</w:t>
      </w:r>
      <w:r>
        <w:t xml:space="preserve"> </w:t>
      </w:r>
      <w:r>
        <w:rPr>
          <w:rStyle w:val="VerbatimChar"/>
        </w:rPr>
        <w:t xml:space="preserve">fact_comercio</w:t>
      </w:r>
      <w:r>
        <w:t xml:space="preserve"> </w:t>
      </w:r>
      <w:r>
        <w:t xml:space="preserve">tiene</w:t>
      </w:r>
      <w:r>
        <w:t xml:space="preserve"> </w:t>
      </w:r>
      <w:r>
        <w:rPr>
          <w:bCs/>
          <w:b/>
        </w:rPr>
        <w:t xml:space="preserve">19.551</w:t>
      </w:r>
      <w:r>
        <w:t xml:space="preserve"> </w:t>
      </w:r>
      <w:r>
        <w:t xml:space="preserve">filas.</w:t>
      </w:r>
    </w:p>
    <w:p>
      <w:pPr>
        <w:pStyle w:val="BodyText"/>
      </w:pPr>
      <w:r>
        <w:rPr>
          <w:bCs/>
          <w:b/>
        </w:rPr>
        <w:t xml:space="preserve">5.2 Modelo</w:t>
      </w:r>
    </w:p>
    <w:p>
      <w:pPr>
        <w:numPr>
          <w:ilvl w:val="0"/>
          <w:numId w:val="1009"/>
        </w:numPr>
        <w:pStyle w:val="Compact"/>
      </w:pPr>
      <w:r>
        <w:t xml:space="preserve">En la</w:t>
      </w:r>
      <w:r>
        <w:t xml:space="preserve"> </w:t>
      </w:r>
      <w:r>
        <w:rPr>
          <w:bCs/>
          <w:b/>
        </w:rPr>
        <w:t xml:space="preserve">Vista de modelo</w:t>
      </w:r>
      <w:r>
        <w:t xml:space="preserve"> </w:t>
      </w:r>
      <w:r>
        <w:t xml:space="preserve">(tercer ícono de la izquierda) tiene que haber una línea entre</w:t>
      </w:r>
      <w:r>
        <w:t xml:space="preserve"> </w:t>
      </w:r>
      <w:r>
        <w:rPr>
          <w:rStyle w:val="VerbatimChar"/>
        </w:rPr>
        <w:t xml:space="preserve">dim_socio[id_socio]</w:t>
      </w:r>
      <w:r>
        <w:t xml:space="preserve"> </w:t>
      </w:r>
      <w:r>
        <w:t xml:space="preserve">(lado</w:t>
      </w:r>
      <w:r>
        <w:t xml:space="preserve"> </w:t>
      </w:r>
      <w:r>
        <w:rPr>
          <w:bCs/>
          <w:b/>
        </w:rPr>
        <w:t xml:space="preserve">1</w:t>
      </w:r>
      <w:r>
        <w:t xml:space="preserve">) y</w:t>
      </w:r>
      <w:r>
        <w:t xml:space="preserve"> </w:t>
      </w:r>
      <w:r>
        <w:rPr>
          <w:rStyle w:val="VerbatimChar"/>
        </w:rPr>
        <w:t xml:space="preserve">fact_comercio[id_socio]</w:t>
      </w:r>
      <w:r>
        <w:t xml:space="preserve"> </w:t>
      </w:r>
      <w:r>
        <w:t xml:space="preserve">(lado</w:t>
      </w:r>
      <w:r>
        <w:t xml:space="preserve"> </w:t>
      </w:r>
      <w:r>
        <w:rPr>
          <w:bCs/>
          <w:b/>
        </w:rPr>
        <w:t xml:space="preserve">*</w:t>
      </w:r>
      <w:r>
        <w:t xml:space="preserve">). Si no está, arrastren un campo sobre el otro.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Modelado → Nueva tabla</w:t>
      </w:r>
      <w:r>
        <w:t xml:space="preserve"> </w:t>
      </w:r>
      <w:r>
        <w:t xml:space="preserve">y peguen:</w:t>
      </w:r>
    </w:p>
    <w:p>
      <w:pPr>
        <w:pStyle w:val="SourceCode"/>
      </w:pPr>
      <w:r>
        <w:rPr>
          <w:rStyle w:val="VerbatimChar"/>
        </w:rPr>
        <w:t xml:space="preserve">dim_anio =</w:t>
      </w:r>
      <w:r>
        <w:br/>
      </w:r>
      <w:r>
        <w:rPr>
          <w:rStyle w:val="VerbatimChar"/>
        </w:rPr>
        <w:t xml:space="preserve">SELECTCOLUMNS(</w:t>
      </w:r>
      <w:r>
        <w:br/>
      </w:r>
      <w:r>
        <w:rPr>
          <w:rStyle w:val="VerbatimChar"/>
        </w:rPr>
        <w:t xml:space="preserve">    GENERATESERIES(1993, 2023, 1),</w:t>
      </w:r>
      <w:r>
        <w:br/>
      </w:r>
      <w:r>
        <w:rPr>
          <w:rStyle w:val="VerbatimChar"/>
        </w:rPr>
        <w:t xml:space="preserve">    "anio", [Value],</w:t>
      </w:r>
      <w:r>
        <w:br/>
      </w:r>
      <w:r>
        <w:rPr>
          <w:rStyle w:val="VerbatimChar"/>
        </w:rPr>
        <w:t xml:space="preserve">    "decada", INT([Value] / 10) * 10</w:t>
      </w:r>
      <w:r>
        <w:br/>
      </w:r>
      <w:r>
        <w:rPr>
          <w:rStyle w:val="VerbatimChar"/>
        </w:rP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Arrastren</w:t>
      </w:r>
      <w:r>
        <w:t xml:space="preserve"> </w:t>
      </w:r>
      <w:r>
        <w:rPr>
          <w:rStyle w:val="VerbatimChar"/>
        </w:rPr>
        <w:t xml:space="preserve">dim_anio[anio]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fact_comercio[anio]</w:t>
      </w:r>
      <w:r>
        <w:t xml:space="preserve">. Tiene que quedar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del lado de</w:t>
      </w:r>
      <w:r>
        <w:t xml:space="preserve"> </w:t>
      </w:r>
      <w:r>
        <w:rPr>
          <w:rStyle w:val="VerbatimChar"/>
        </w:rPr>
        <w:t xml:space="preserve">dim_anio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5.3 Medidas DAX</w:t>
      </w:r>
    </w:p>
    <w:p>
      <w:pPr>
        <w:pStyle w:val="BodyText"/>
      </w:pPr>
      <w:r>
        <w:t xml:space="preserve">Para cada medida: clic derecho sobre</w:t>
      </w:r>
      <w:r>
        <w:t xml:space="preserve"> </w:t>
      </w:r>
      <w:r>
        <w:rPr>
          <w:rStyle w:val="VerbatimChar"/>
        </w:rPr>
        <w:t xml:space="preserve">fact_comercio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Nueva medida</w:t>
      </w:r>
      <w:r>
        <w:t xml:space="preserve"> </w:t>
      </w:r>
      <w:r>
        <w:t xml:space="preserve">→ pegar la fórmula →</w:t>
      </w:r>
      <w:r>
        <w:t xml:space="preserve"> </w:t>
      </w:r>
      <w:r>
        <w:rPr>
          <w:bCs/>
          <w:b/>
        </w:rPr>
        <w:t xml:space="preserve">Enter</w:t>
      </w:r>
      <w:r>
        <w:t xml:space="preserve">. Las fórmulas completas están en el documento</w:t>
      </w:r>
      <w:r>
        <w:t xml:space="preserve"> </w:t>
      </w:r>
      <w:r>
        <w:rPr>
          <w:bCs/>
          <w:b/>
        </w:rPr>
        <w:t xml:space="preserve">Medidas DAX</w:t>
      </w:r>
      <w:r>
        <w:t xml:space="preserve">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EEF6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Medida</w:t>
            </w:r>
          </w:p>
        </w:tc>
        <w:tc>
          <w:tcPr>
            <w:shd w:val="clear" w:color="auto" w:fill="E8EEF6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Formato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Exportaciones (M US$)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Número, sin decimales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Importaciones (M US$)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Número, sin decimales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Balanza (M US$)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Número, sin decimales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Var % Exportaciones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Porcentaje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Var % Importaciones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Porcentaje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Participación %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Porcentaje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HHI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Número, sin decimales</w:t>
            </w:r>
          </w:p>
        </w:tc>
      </w:tr>
    </w:tbl>
    <w:p>
      <w:pPr>
        <w:pStyle w:val="BodyText"/>
      </w:pPr>
      <w:r>
        <w:t xml:space="preserve">El formato se cambia en la cinta</w:t>
      </w:r>
      <w:r>
        <w:t xml:space="preserve"> </w:t>
      </w:r>
      <w:r>
        <w:rPr>
          <w:bCs/>
          <w:b/>
        </w:rPr>
        <w:t xml:space="preserve">Herramientas de medición</w:t>
      </w:r>
      <w:r>
        <w:t xml:space="preserve">, con la medida seleccionada.</w:t>
      </w:r>
    </w:p>
    <w:p>
      <w:pPr>
        <w:pStyle w:val="BodyText"/>
      </w:pPr>
      <w:r>
        <w:rPr>
          <w:bCs/>
          <w:b/>
        </w:rPr>
        <w:t xml:space="preserve">Comprobación</w:t>
      </w:r>
      <w:r>
        <w:t xml:space="preserve"> </w:t>
      </w:r>
      <w:r>
        <w:t xml:space="preserve">(tabla con</w:t>
      </w:r>
      <w:r>
        <w:t xml:space="preserve"> </w:t>
      </w:r>
      <w:r>
        <w:rPr>
          <w:rStyle w:val="VerbatimChar"/>
        </w:rPr>
        <w:t xml:space="preserve">anio</w:t>
      </w:r>
      <w:r>
        <w:t xml:space="preserve">,</w:t>
      </w:r>
      <w:r>
        <w:t xml:space="preserve"> </w:t>
      </w:r>
      <w:r>
        <w:rPr>
          <w:rStyle w:val="VerbatimChar"/>
        </w:rPr>
        <w:t xml:space="preserve">pais_reportante</w:t>
      </w:r>
      <w:r>
        <w:t xml:space="preserve"> </w:t>
      </w:r>
      <w:r>
        <w:t xml:space="preserve">y las medidas):</w:t>
      </w:r>
    </w:p>
    <w:p>
      <w:pPr>
        <w:numPr>
          <w:ilvl w:val="0"/>
          <w:numId w:val="1011"/>
        </w:numPr>
        <w:pStyle w:val="Compact"/>
      </w:pPr>
      <w:r>
        <w:t xml:space="preserve">Argentina 2023: exportaciones</w:t>
      </w:r>
      <w:r>
        <w:t xml:space="preserve"> </w:t>
      </w:r>
      <w:r>
        <w:rPr>
          <w:bCs/>
          <w:b/>
        </w:rPr>
        <w:t xml:space="preserve">66.789</w:t>
      </w:r>
      <w:r>
        <w:t xml:space="preserve">, importaciones</w:t>
      </w:r>
      <w:r>
        <w:t xml:space="preserve"> </w:t>
      </w:r>
      <w:r>
        <w:rPr>
          <w:bCs/>
          <w:b/>
        </w:rPr>
        <w:t xml:space="preserve">73.714</w:t>
      </w:r>
      <w:r>
        <w:t xml:space="preserve">, balanza</w:t>
      </w:r>
      <w:r>
        <w:t xml:space="preserve"> </w:t>
      </w:r>
      <w:r>
        <w:rPr>
          <w:bCs/>
          <w:b/>
        </w:rPr>
        <w:t xml:space="preserve">−6.925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Argentina 2002: Var % Importaciones</w:t>
      </w:r>
      <w:r>
        <w:t xml:space="preserve"> </w:t>
      </w:r>
      <w:r>
        <w:rPr>
          <w:bCs/>
          <w:b/>
        </w:rPr>
        <w:t xml:space="preserve">−55,8 %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Argentina 2023, con flujo</w:t>
      </w:r>
      <w:r>
        <w:t xml:space="preserve"> </w:t>
      </w:r>
      <w:r>
        <w:rPr>
          <w:bCs/>
          <w:b/>
        </w:rPr>
        <w:t xml:space="preserve">Import</w:t>
      </w:r>
      <w:r>
        <w:t xml:space="preserve"> </w:t>
      </w:r>
      <w:r>
        <w:t xml:space="preserve">filtrado: HHI cerca de</w:t>
      </w:r>
      <w:r>
        <w:t xml:space="preserve"> </w:t>
      </w:r>
      <w:r>
        <w:rPr>
          <w:bCs/>
          <w:b/>
        </w:rPr>
        <w:t xml:space="preserve">1.159</w:t>
      </w:r>
      <w:r>
        <w:t xml:space="preserve">.</w:t>
      </w:r>
    </w:p>
    <w:bookmarkEnd w:id="37"/>
    <w:bookmarkStart w:id="38" w:name="paso-6-power-bi-armar-el-dashboard"/>
    <w:p>
      <w:pPr>
        <w:pStyle w:val="Heading1"/>
      </w:pPr>
      <w:r>
        <w:t xml:space="preserve">Paso 6 · Power BI: armar el dashboard</w:t>
      </w:r>
    </w:p>
    <w:p>
      <w:pPr>
        <w:pStyle w:val="FirstParagraph"/>
      </w:pPr>
      <w:r>
        <w:t xml:space="preserve">El dashboard tiene</w:t>
      </w:r>
      <w:r>
        <w:t xml:space="preserve"> </w:t>
      </w:r>
      <w:r>
        <w:rPr>
          <w:bCs/>
          <w:b/>
        </w:rPr>
        <w:t xml:space="preserve">Argentina a la izquierda y Uruguay a la derecha</w:t>
      </w:r>
      <w:r>
        <w:t xml:space="preserve">, con dos segmentadores arriba.</w:t>
      </w:r>
    </w:p>
    <w:p>
      <w:pPr>
        <w:pStyle w:val="BodyText"/>
      </w:pPr>
      <w:r>
        <w:rPr>
          <w:bCs/>
          <w:b/>
        </w:rPr>
        <w:t xml:space="preserve">6.1 Segmentadores</w:t>
      </w:r>
    </w:p>
    <w:p>
      <w:pPr>
        <w:numPr>
          <w:ilvl w:val="0"/>
          <w:numId w:val="1012"/>
        </w:numPr>
        <w:pStyle w:val="Compact"/>
      </w:pPr>
      <w:r>
        <w:t xml:space="preserve">Clic en un espacio vacío → visual</w:t>
      </w:r>
      <w:r>
        <w:t xml:space="preserve"> </w:t>
      </w:r>
      <w:r>
        <w:rPr>
          <w:bCs/>
          <w:b/>
        </w:rPr>
        <w:t xml:space="preserve">Segmentación de datos</w:t>
      </w:r>
      <w:r>
        <w:t xml:space="preserve"> </w:t>
      </w:r>
      <w:r>
        <w:t xml:space="preserve">→ campo</w:t>
      </w:r>
      <w:r>
        <w:t xml:space="preserve"> </w:t>
      </w:r>
      <w:r>
        <w:rPr>
          <w:rStyle w:val="VerbatimChar"/>
        </w:rPr>
        <w:t xml:space="preserve">fact_comercio[flujo]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Otro segmentador con</w:t>
      </w:r>
      <w:r>
        <w:t xml:space="preserve"> </w:t>
      </w:r>
      <w:r>
        <w:rPr>
          <w:rStyle w:val="VerbatimChar"/>
        </w:rPr>
        <w:t xml:space="preserve">dim_anio[anio]</w:t>
      </w:r>
      <w:r>
        <w:t xml:space="preserve">. En</w:t>
      </w:r>
      <w:r>
        <w:t xml:space="preserve"> </w:t>
      </w:r>
      <w:r>
        <w:rPr>
          <w:bCs/>
          <w:b/>
        </w:rPr>
        <w:t xml:space="preserve">Formato → Configuración de segmentación → Estilo</w:t>
      </w:r>
      <w:r>
        <w:t xml:space="preserve"> </w:t>
      </w:r>
      <w:r>
        <w:t xml:space="preserve">elijan</w:t>
      </w:r>
      <w:r>
        <w:t xml:space="preserve"> </w:t>
      </w:r>
      <w:r>
        <w:rPr>
          <w:bCs/>
          <w:b/>
        </w:rPr>
        <w:t xml:space="preserve">Menú desplegable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En los dos:</w:t>
      </w:r>
      <w:r>
        <w:t xml:space="preserve"> </w:t>
      </w:r>
      <w:r>
        <w:rPr>
          <w:bCs/>
          <w:b/>
        </w:rPr>
        <w:t xml:space="preserve">Formato → Configuración de segmentación → Selección → Selección única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6.2 Visuales</w:t>
      </w:r>
    </w:p>
    <w:p>
      <w:pPr>
        <w:pStyle w:val="BodyText"/>
      </w:pPr>
      <w:r>
        <w:t xml:space="preserve">Para que un gráfico muestre un solo país: panel</w:t>
      </w:r>
      <w:r>
        <w:t xml:space="preserve"> </w:t>
      </w:r>
      <w:r>
        <w:rPr>
          <w:bCs/>
          <w:b/>
        </w:rPr>
        <w:t xml:space="preserve">Filtros → Filtros en este objeto visual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pais_reportante</w:t>
      </w:r>
      <w:r>
        <w:t xml:space="preserve"> </w:t>
      </w:r>
      <w:r>
        <w:t xml:space="preserve">→ marcar el país. Después se copia (</w:t>
      </w:r>
      <w:r>
        <w:rPr>
          <w:bCs/>
          <w:b/>
        </w:rPr>
        <w:t xml:space="preserve">Ctrl + C</w:t>
      </w:r>
      <w:r>
        <w:t xml:space="preserve">,</w:t>
      </w:r>
      <w:r>
        <w:t xml:space="preserve"> </w:t>
      </w:r>
      <w:r>
        <w:rPr>
          <w:bCs/>
          <w:b/>
        </w:rPr>
        <w:t xml:space="preserve">Ctrl + V</w:t>
      </w:r>
      <w:r>
        <w:t xml:space="preserve">) y en la copia se cambia el país.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EEF6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Visual</w:t>
            </w:r>
          </w:p>
        </w:tc>
        <w:tc>
          <w:tcPr>
            <w:shd w:val="clear" w:color="auto" w:fill="E8EEF6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color="auto" w:fill="E8EEF6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Campos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Tarjetas, 3 por país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Tarjeta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Exportaciones, importaciones y balanza (M US$)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Evolución, 1 por país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Gráfico de líneas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Eje X: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· Eje Y: exportaciones e importaciones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Balanza, 1 por país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Columnas agrupadas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Eje X: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· Eje Y: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Balanza (M US$)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Top 5 socios, 1 por país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Barras agrupadas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Eje Y: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nombre_socio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· Eje X: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Participación %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Concentración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Gráfico de líneas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Eje X: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· Eje Y: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HHI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· Leyenda: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pais_reportante</w:t>
            </w:r>
          </w:p>
        </w:tc>
      </w:tr>
    </w:tbl>
    <w:p>
      <w:pPr>
        <w:pStyle w:val="BodyText"/>
      </w:pPr>
      <w:r>
        <w:rPr>
          <w:bCs/>
          <w:b/>
        </w:rPr>
        <w:t xml:space="preserve">Ajustes de cada visual: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Gráficos con años:</w:t>
      </w:r>
      <w:r>
        <w:t xml:space="preserve"> </w:t>
      </w:r>
      <w:r>
        <w:rPr>
          <w:bCs/>
          <w:b/>
        </w:rPr>
        <w:t xml:space="preserve">… → Ordenar eje → anio</w:t>
      </w:r>
      <w:r>
        <w:t xml:space="preserve"> </w:t>
      </w:r>
      <w:r>
        <w:t xml:space="preserve">y después</w:t>
      </w:r>
      <w:r>
        <w:t xml:space="preserve"> </w:t>
      </w:r>
      <w:r>
        <w:rPr>
          <w:bCs/>
          <w:b/>
        </w:rPr>
        <w:t xml:space="preserve">Orden ascendente</w:t>
      </w:r>
      <w:r>
        <w:t xml:space="preserve">; en</w:t>
      </w:r>
      <w:r>
        <w:t xml:space="preserve"> </w:t>
      </w:r>
      <w:r>
        <w:rPr>
          <w:bCs/>
          <w:b/>
        </w:rPr>
        <w:t xml:space="preserve">Formato → Eje X → Tipo</w:t>
      </w:r>
      <w:r>
        <w:t xml:space="preserve">,</w:t>
      </w:r>
      <w:r>
        <w:t xml:space="preserve"> </w:t>
      </w:r>
      <w:r>
        <w:rPr>
          <w:bCs/>
          <w:b/>
        </w:rPr>
        <w:t xml:space="preserve">Categórico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Balanza en verde y rojo:</w:t>
      </w:r>
      <w:r>
        <w:t xml:space="preserve"> </w:t>
      </w:r>
      <w:r>
        <w:rPr>
          <w:bCs/>
          <w:b/>
        </w:rPr>
        <w:t xml:space="preserve">Formato → Columnas → Color → fx → Reglas</w:t>
      </w:r>
      <w:r>
        <w:t xml:space="preserve">, basado en</w:t>
      </w:r>
      <w:r>
        <w:t xml:space="preserve"> </w:t>
      </w:r>
      <w:r>
        <w:rPr>
          <w:rStyle w:val="VerbatimChar"/>
        </w:rPr>
        <w:t xml:space="preserve">Balanza (M US$)</w:t>
      </w:r>
      <w:r>
        <w:t xml:space="preserve">: de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1000000</w:t>
      </w:r>
      <w:r>
        <w:t xml:space="preserve">, verde; de</w:t>
      </w:r>
      <w:r>
        <w:t xml:space="preserve"> </w:t>
      </w:r>
      <w:r>
        <w:rPr>
          <w:rStyle w:val="VerbatimChar"/>
        </w:rPr>
        <w:t xml:space="preserve">-1000000</w:t>
      </w:r>
      <w:r>
        <w:t xml:space="preserve"> </w:t>
      </w:r>
      <w:r>
        <w:t xml:space="preserve">a menos de</w:t>
      </w:r>
      <w:r>
        <w:t xml:space="preserve"> </w:t>
      </w:r>
      <w:r>
        <w:rPr>
          <w:rStyle w:val="VerbatimChar"/>
        </w:rPr>
        <w:t xml:space="preserve">0</w:t>
      </w:r>
      <w:r>
        <w:t xml:space="preserve">, rojo.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Top 5:</w:t>
      </w:r>
      <w:r>
        <w:t xml:space="preserve"> </w:t>
      </w:r>
      <w:r>
        <w:t xml:space="preserve">en los filtros del visual,</w:t>
      </w:r>
      <w:r>
        <w:t xml:space="preserve"> </w:t>
      </w:r>
      <w:r>
        <w:rPr>
          <w:rStyle w:val="VerbatimChar"/>
        </w:rPr>
        <w:t xml:space="preserve">nombre_socio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 superior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Superior 5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Por valor:</w:t>
      </w:r>
      <w:r>
        <w:t xml:space="preserve"> </w:t>
      </w:r>
      <w:r>
        <w:rPr>
          <w:rStyle w:val="VerbatimChar"/>
        </w:rPr>
        <w:t xml:space="preserve">Participación %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Aplicar filtro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Línea de 1.500 en el HHI:</w:t>
      </w:r>
      <w:r>
        <w:t xml:space="preserve"> </w:t>
      </w:r>
      <w:r>
        <w:t xml:space="preserve">panel</w:t>
      </w:r>
      <w:r>
        <w:t xml:space="preserve"> </w:t>
      </w:r>
      <w:r>
        <w:rPr>
          <w:bCs/>
          <w:b/>
        </w:rPr>
        <w:t xml:space="preserve">Análisis</w:t>
      </w:r>
      <w:r>
        <w:t xml:space="preserve"> </w:t>
      </w:r>
      <w:r>
        <w:t xml:space="preserve">(lupa) →</w:t>
      </w:r>
      <w:r>
        <w:t xml:space="preserve"> </w:t>
      </w:r>
      <w:r>
        <w:rPr>
          <w:bCs/>
          <w:b/>
        </w:rPr>
        <w:t xml:space="preserve">Línea constante Y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+ Agregar línea</w:t>
      </w:r>
      <w:r>
        <w:t xml:space="preserve"> </w:t>
      </w:r>
      <w:r>
        <w:t xml:space="preserve">→ valor</w:t>
      </w:r>
      <w:r>
        <w:t xml:space="preserve"> </w:t>
      </w:r>
      <w:r>
        <w:rPr>
          <w:rStyle w:val="VerbatimChar"/>
        </w:rPr>
        <w:t xml:space="preserve">1500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6.3 Interacciones</w:t>
      </w:r>
    </w:p>
    <w:p>
      <w:pPr>
        <w:pStyle w:val="BodyText"/>
      </w:pPr>
      <w:r>
        <w:t xml:space="preserve">Seleccionen un segmentador →</w:t>
      </w:r>
      <w:r>
        <w:t xml:space="preserve"> </w:t>
      </w:r>
      <w:r>
        <w:rPr>
          <w:bCs/>
          <w:b/>
        </w:rPr>
        <w:t xml:space="preserve">Formato → Editar interacciones</w:t>
      </w:r>
      <w:r>
        <w:t xml:space="preserve"> </w:t>
      </w:r>
      <w:r>
        <w:t xml:space="preserve">→ en cada visual, el ícono de embudo lo conecta y el ícono de prohibido (⊘) lo desconecta.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EEF6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Visual</w:t>
            </w:r>
          </w:p>
        </w:tc>
        <w:tc>
          <w:tcPr>
            <w:shd w:val="clear" w:color="auto" w:fill="E8EEF6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Segmentador de año</w:t>
            </w:r>
          </w:p>
        </w:tc>
        <w:tc>
          <w:tcPr>
            <w:shd w:val="clear" w:color="auto" w:fill="E8EEF6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Segmentador de flujo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Tarjetas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Conectado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Desconectado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Evolución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Desconectado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Desconectado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Balanza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Desconectado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Desconectado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Top 5 socios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Conectado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Conectado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Concentración (HHI)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Desconectado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Conectado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Comprobación</w:t>
      </w:r>
      <w:r>
        <w:t xml:space="preserve"> </w:t>
      </w:r>
      <w:r>
        <w:t xml:space="preserve">con</w:t>
      </w:r>
      <w:r>
        <w:t xml:space="preserve"> </w:t>
      </w:r>
      <w:r>
        <w:rPr>
          <w:bCs/>
          <w:b/>
        </w:rPr>
        <w:t xml:space="preserve">Import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2023</w:t>
      </w:r>
      <w:r>
        <w:t xml:space="preserve">: top 5 de Argentina con</w:t>
      </w:r>
      <w:r>
        <w:t xml:space="preserve"> </w:t>
      </w:r>
      <w:r>
        <w:rPr>
          <w:bCs/>
          <w:b/>
        </w:rPr>
        <w:t xml:space="preserve">Brasil 23,5 %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China 19,6 %</w:t>
      </w:r>
      <w:r>
        <w:t xml:space="preserve">. Con</w:t>
      </w:r>
      <w:r>
        <w:t xml:space="preserve"> </w:t>
      </w:r>
      <w:r>
        <w:rPr>
          <w:bCs/>
          <w:b/>
        </w:rPr>
        <w:t xml:space="preserve">2021</w:t>
      </w:r>
      <w:r>
        <w:t xml:space="preserve">, China pasa al primer lugar en Argentina.</w:t>
      </w:r>
    </w:p>
    <w:bookmarkEnd w:id="38"/>
    <w:bookmarkStart w:id="39" w:name="errores-frecuentes-y-cómo-resolverlos"/>
    <w:p>
      <w:pPr>
        <w:pStyle w:val="Heading1"/>
      </w:pPr>
      <w:r>
        <w:t xml:space="preserve">Errores frecuentes y cómo resolverlos</w:t>
      </w:r>
    </w:p>
    <w:p>
      <w:pPr>
        <w:pStyle w:val="FirstParagraph"/>
      </w:pPr>
      <w:r>
        <w:t xml:space="preserve">Todos estos errores nos aparecieron mientras armábamos el proyecto.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EF6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Dónde</w:t>
            </w:r>
          </w:p>
        </w:tc>
        <w:tc>
          <w:tcPr>
            <w:shd w:val="clear" w:color="auto" w:fill="E8EEF6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Mensaje o síntoma</w:t>
            </w:r>
          </w:p>
        </w:tc>
        <w:tc>
          <w:tcPr>
            <w:shd w:val="clear" w:color="auto" w:fill="E8EEF6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Qué pasa</w:t>
            </w:r>
          </w:p>
        </w:tc>
        <w:tc>
          <w:tcPr>
            <w:shd w:val="clear" w:color="auto" w:fill="E8EEF6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Solución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Colab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Pide acceso a Google Drive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Se tocó el botón de Drive del panel de archivos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Responder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No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subir los Excel con el botón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Elegir archivos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del Paso 1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Jupyter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No hay archivos de WITS en la carpeta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No objects to concatenate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Los Excel están en otra carpeta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Abrir Jupyter en la carpeta del proyecto (Paso 2) o copiar ahí los Excel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Jupyter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Se encontraron más de 8 archivos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Hay Excel viejos o repetidos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Dejar en la carpeta solo los 8 actuales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Workbench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Error Code: 1064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al inicio del script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Quedó texto pegado antes del primer comentario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Borrar lo que haya antes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/*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la línea 1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Workbench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Error Code: 1175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iCs/>
                <w:i/>
                <w:sz w:val="19"/>
              </w:rPr>
              <w:t xml:space="preserve">safe update mode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Modo seguro de Workbench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Usar 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carga.sql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actualizado, que lo desactiva solo durante la carga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Workbench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Error Code: 2068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iCs/>
                <w:i/>
                <w:sz w:val="19"/>
              </w:rPr>
              <w:t xml:space="preserve">file request rejected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Workbench no permite leer archivos locales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Agregar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OPT_LOCAL_INFILE=1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(Paso 3.1) y reiniciar Workbench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Workbench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Error Code: 3948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iCs/>
                <w:i/>
                <w:sz w:val="19"/>
              </w:rPr>
              <w:t xml:space="preserve">loading local data is disabled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El servidor no permite leer archivos locales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Ejecutar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SET GLOBAL local_infile = 1;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Workbench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Errcode: 2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file not found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Ruta mal escrita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Copiar la ruta del Explorador y cambiar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\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Power BI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No aparece la opción de MySQL o falta un componente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Falta MySQL Connector/NET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Instalarlo y reiniciar Power BI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Power BI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Los años aparecen de mayor a menor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Orden por valor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… → Ordenar eje → anio → Orden ascendente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Power BI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El segmentador de flujo no cambia un gráfico de montos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Es correcto: esas medidas ya fijan el flujo en la fórmula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Desconectarlo con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Editar interacciones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Power BI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Participación % o HHI dan valores raros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Están seleccionados los dos flujos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Elegir un solo flujo en el segmentador</w:t>
            </w:r>
          </w:p>
        </w:tc>
      </w:tr>
    </w:tbl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3" Type="http://schemas.openxmlformats.org/officeDocument/2006/relationships/hyperlink" Target="https://colab.research.google.com" TargetMode="External"/><Relationship Id="rId21" Type="http://schemas.openxmlformats.org/officeDocument/2006/relationships/hyperlink" Target="https://dev.mysql.com/downloads/" TargetMode="External"/><Relationship Id="rId22" Type="http://schemas.openxmlformats.org/officeDocument/2006/relationships/hyperlink" Target="https://dev.mysql.com/downloads/connector/net/" TargetMode="External"/><Relationship Id="rId24" Type="http://schemas.openxmlformats.org/officeDocument/2006/relationships/hyperlink" Target="https://wits.worldbank.org/CountryProfile/en/Country/ARG/StartYear/1993/EndYear/2023/TradeFlow/Export/Indicator/XPRT-TRD-VL/Partner/ALL/Product/Total" TargetMode="External"/><Relationship Id="rId26" Type="http://schemas.openxmlformats.org/officeDocument/2006/relationships/hyperlink" Target="https://wits.worldbank.org/CountryProfile/en/Country/ARG/StartYear/1993/EndYear/2023/TradeFlow/Export/Partner/ALL/Indicator/XPRT-PRTNR-SHR" TargetMode="External"/><Relationship Id="rId25" Type="http://schemas.openxmlformats.org/officeDocument/2006/relationships/hyperlink" Target="https://wits.worldbank.org/CountryProfile/en/Country/ARG/StartYear/1993/EndYear/2023/TradeFlow/Import/Indicator/MPRT-TRD-VL/Partner/ALL/Product/Total" TargetMode="External"/><Relationship Id="rId27" Type="http://schemas.openxmlformats.org/officeDocument/2006/relationships/hyperlink" Target="https://wits.worldbank.org/CountryProfile/en/Country/ARG/StartYear/1993/EndYear/2023/TradeFlow/Import/Partner/ALL/Indicator/MPRT-PRTNR-SHR" TargetMode="External"/><Relationship Id="rId28" Type="http://schemas.openxmlformats.org/officeDocument/2006/relationships/hyperlink" Target="https://wits.worldbank.org/CountryProfile/en/Country/URY/StartYear/1994/EndYear/2023/TradeFlow/Export/Indicator/XPRT-TRD-VL/Partner/ALL/Product/Total" TargetMode="External"/><Relationship Id="rId30" Type="http://schemas.openxmlformats.org/officeDocument/2006/relationships/hyperlink" Target="https://wits.worldbank.org/CountryProfile/en/Country/URY/StartYear/1994/EndYear/2023/TradeFlow/Export/Partner/ALL/Indicator/XPRT-PRTNR-SHR" TargetMode="External"/><Relationship Id="rId29" Type="http://schemas.openxmlformats.org/officeDocument/2006/relationships/hyperlink" Target="https://wits.worldbank.org/CountryProfile/en/Country/URY/StartYear/1994/EndYear/2023/TradeFlow/Import/Indicator/MPRT-TRD-VL/Partner/ALL/Product/Total" TargetMode="External"/><Relationship Id="rId31" Type="http://schemas.openxmlformats.org/officeDocument/2006/relationships/hyperlink" Target="https://wits.worldbank.org/CountryProfile/en/Country/URY/StartYear/1994/EndYear/2023/TradeFlow/Import/Partner/ALL/Indicator/MPRT-PRTNR-SHR" TargetMode="External"/><Relationship Id="rId20" Type="http://schemas.openxmlformats.org/officeDocument/2006/relationships/hyperlink" Target="https://www.anaconda.com/download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colab.research.google.com" TargetMode="External"/><Relationship Id="rId21" Type="http://schemas.openxmlformats.org/officeDocument/2006/relationships/hyperlink" Target="https://dev.mysql.com/downloads/" TargetMode="External"/><Relationship Id="rId22" Type="http://schemas.openxmlformats.org/officeDocument/2006/relationships/hyperlink" Target="https://dev.mysql.com/downloads/connector/net/" TargetMode="External"/><Relationship Id="rId24" Type="http://schemas.openxmlformats.org/officeDocument/2006/relationships/hyperlink" Target="https://wits.worldbank.org/CountryProfile/en/Country/ARG/StartYear/1993/EndYear/2023/TradeFlow/Export/Indicator/XPRT-TRD-VL/Partner/ALL/Product/Total" TargetMode="External"/><Relationship Id="rId26" Type="http://schemas.openxmlformats.org/officeDocument/2006/relationships/hyperlink" Target="https://wits.worldbank.org/CountryProfile/en/Country/ARG/StartYear/1993/EndYear/2023/TradeFlow/Export/Partner/ALL/Indicator/XPRT-PRTNR-SHR" TargetMode="External"/><Relationship Id="rId25" Type="http://schemas.openxmlformats.org/officeDocument/2006/relationships/hyperlink" Target="https://wits.worldbank.org/CountryProfile/en/Country/ARG/StartYear/1993/EndYear/2023/TradeFlow/Import/Indicator/MPRT-TRD-VL/Partner/ALL/Product/Total" TargetMode="External"/><Relationship Id="rId27" Type="http://schemas.openxmlformats.org/officeDocument/2006/relationships/hyperlink" Target="https://wits.worldbank.org/CountryProfile/en/Country/ARG/StartYear/1993/EndYear/2023/TradeFlow/Import/Partner/ALL/Indicator/MPRT-PRTNR-SHR" TargetMode="External"/><Relationship Id="rId28" Type="http://schemas.openxmlformats.org/officeDocument/2006/relationships/hyperlink" Target="https://wits.worldbank.org/CountryProfile/en/Country/URY/StartYear/1994/EndYear/2023/TradeFlow/Export/Indicator/XPRT-TRD-VL/Partner/ALL/Product/Total" TargetMode="External"/><Relationship Id="rId30" Type="http://schemas.openxmlformats.org/officeDocument/2006/relationships/hyperlink" Target="https://wits.worldbank.org/CountryProfile/en/Country/URY/StartYear/1994/EndYear/2023/TradeFlow/Export/Partner/ALL/Indicator/XPRT-PRTNR-SHR" TargetMode="External"/><Relationship Id="rId29" Type="http://schemas.openxmlformats.org/officeDocument/2006/relationships/hyperlink" Target="https://wits.worldbank.org/CountryProfile/en/Country/URY/StartYear/1994/EndYear/2023/TradeFlow/Import/Indicator/MPRT-TRD-VL/Partner/ALL/Product/Total" TargetMode="External"/><Relationship Id="rId31" Type="http://schemas.openxmlformats.org/officeDocument/2006/relationships/hyperlink" Target="https://wits.worldbank.org/CountryProfile/en/Country/URY/StartYear/1994/EndYear/2023/TradeFlow/Import/Partner/ALL/Indicator/MPRT-PRTNR-SHR" TargetMode="External"/><Relationship Id="rId20" Type="http://schemas.openxmlformats.org/officeDocument/2006/relationships/hyperlink" Target="https://www.anaconda.com/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paso a paso del proyecto</dc:title>
  <dc:creator/>
  <cp:keywords/>
  <dcterms:created xsi:type="dcterms:W3CDTF">2026-10-26T14:17:55Z</dcterms:created>
  <dcterms:modified xsi:type="dcterms:W3CDTF">2026-10-26T14:17:55Z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Proyecto Integrador · Comercio exterior de Argentina y Uruguay (1994–2023)</vt:lpwstr>
  </property>
</Properties>
</file>