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Memoria técnica · Comercio exterior Argentina–Uruguay</w:t>
      </w:r>
    </w:p>
    <w:p>
      <w:pPr/>
      <w:r>
        <w:t>26 de octubre de 2026 · Proyecto Integrador</w:t>
      </w:r>
      <w:r/>
      <w:r/>
    </w:p>
    <w:p>
      <w:pPr/>
      <w:r>
        <w:t xml:space="preserve">Este documento describe la estructura técnica del proyecto: cómo se obtuvieron, limpiaron, almacenaron, analizaron y visualizaron 30 años de datos de comercio exterior de Argentina y Uruguay usando Python, MySQL y Power BI. Los hallazgos y las conclusiones están en el documento de análisis y en la presentación.</w:t>
      </w:r>
    </w:p>
    <w:p>
      <w:pPr>
        <w:pStyle w:val="Heading2"/>
      </w:pPr>
      <w:r>
        <w:t xml:space="preserve">1. Objetivo y alcance</w:t>
      </w:r>
    </w:p>
    <w:p>
      <w:pPr/>
      <w:r>
        <w:rPr>
          <w:b/>
        </w:rPr>
        <w:t xml:space="preserve">Problemática.</w:t>
      </w:r>
      <w:r>
        <w:t xml:space="preserve"> Argentina y Uruguay son economías abiertas y expuestas a los vaivenes externos. El proyecto analiza qué tan vulnerables son ante las crisis y ante la dependencia de pocos socios comerciales.</w:t>
      </w:r>
    </w:p>
    <w:p>
      <w:pPr/>
      <w:r>
        <w:rPr>
          <w:b/>
        </w:rPr>
        <w:t xml:space="preserve">Preguntas de análisis:</w:t>
      </w:r>
    </w:p>
    <w:p>
      <w:pPr>
        <w:pStyle w:val="ListParagraph"/>
        <w:numPr>
          <w:ilvl w:val="0"/>
          <w:numId w:val="2"/>
        </w:numPr>
      </w:pPr>
      <w:r>
        <w:t xml:space="preserve">¿Cómo evolucionaron las exportaciones y las importaciones, y cómo impactaron las crisis de 2002, 2009 y 2020?</w:t>
      </w:r>
    </w:p>
    <w:p>
      <w:pPr>
        <w:pStyle w:val="ListParagraph"/>
        <w:numPr>
          <w:ilvl w:val="0"/>
          <w:numId w:val="2"/>
        </w:numPr>
      </w:pPr>
      <w:r>
        <w:t xml:space="preserve">¿Qué país tiene superávit y cuál déficit comercial, y cómo evolucionó la balanza?</w:t>
      </w:r>
    </w:p>
    <w:p>
      <w:pPr>
        <w:pStyle w:val="ListParagraph"/>
        <w:numPr>
          <w:ilvl w:val="0"/>
          <w:numId w:val="2"/>
        </w:numPr>
      </w:pPr>
      <w:r>
        <w:t xml:space="preserve">¿Quiénes son los principales socios y cómo cambió el peso de Brasil, China y Estados Unidos?</w:t>
      </w:r>
    </w:p>
    <w:p>
      <w:pPr>
        <w:pStyle w:val="ListParagraph"/>
        <w:numPr>
          <w:ilvl w:val="0"/>
          <w:numId w:val="2"/>
        </w:numPr>
      </w:pPr>
      <w:r>
        <w:t xml:space="preserve">¿Qué tan concentrado está el comercio en pocos socios?</w:t>
      </w:r>
    </w:p>
    <w:p>
      <w:pPr>
        <w:pStyle w:val="ListParagraph"/>
        <w:numPr>
          <w:ilvl w:val="0"/>
          <w:numId w:val="2"/>
        </w:numPr>
      </w:pPr>
      <w:r>
        <w:t xml:space="preserve">¿Cuánto comercian Argentina y Uruguay entre sí, y coinciden las cifras que declara cada uno?</w:t>
      </w:r>
    </w:p>
    <w:p>
      <w:pPr/>
      <w:r>
        <w:rPr>
          <w:b/>
        </w:rPr>
        <w:t xml:space="preserve">Alcance: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58"/>
        <w:gridCol w:w="6901"/>
      </w:tblGrid>
      <w:tr>
        <w:trPr>
          <w:tblHeader/>
        </w:trPr>
        <w:tc>
          <w:tcPr>
            <w:tcW w:w="2458" w:type="dxa"/>
            <w:shd w:val="clear" w:color="auto" w:fill="F2F2F2"/>
          </w:tcPr>
          <w:p>
            <w:pPr/>
            <w:r>
              <w:t xml:space="preserve">Aspecto</w:t>
            </w:r>
          </w:p>
        </w:tc>
        <w:tc>
          <w:tcPr>
            <w:tcW w:w="6901" w:type="dxa"/>
            <w:shd w:val="clear" w:color="auto" w:fill="F2F2F2"/>
          </w:tcPr>
          <w:p>
            <w:pPr/>
            <w:r>
              <w:t xml:space="preserve">Definición</w:t>
            </w:r>
          </w:p>
        </w:tc>
      </w:tr>
      <w:tr>
        <w:tc>
          <w:tcPr>
            <w:tcW w:w="2458" w:type="dxa"/>
          </w:tcPr>
          <w:p>
            <w:pPr/>
            <w:r>
              <w:t xml:space="preserve">Países</w:t>
            </w:r>
          </w:p>
        </w:tc>
        <w:tc>
          <w:tcPr>
            <w:tcW w:w="6901" w:type="dxa"/>
          </w:tcPr>
          <w:p>
            <w:pPr/>
            <w:r>
              <w:t xml:space="preserve">Argentina y Uruguay</w:t>
            </w:r>
          </w:p>
        </w:tc>
      </w:tr>
      <w:tr>
        <w:tc>
          <w:tcPr>
            <w:tcW w:w="2458" w:type="dxa"/>
          </w:tcPr>
          <w:p>
            <w:pPr/>
            <w:r>
              <w:t xml:space="preserve">Período</w:t>
            </w:r>
          </w:p>
        </w:tc>
        <w:tc>
          <w:tcPr>
            <w:tcW w:w="6901" w:type="dxa"/>
          </w:tcPr>
          <w:p>
            <w:pPr/>
            <w:r>
              <w:t xml:space="preserve">1994–2023 (Argentina tiene exportaciones desde 1993)</w:t>
            </w:r>
          </w:p>
        </w:tc>
      </w:tr>
      <w:tr>
        <w:tc>
          <w:tcPr>
            <w:tcW w:w="2458" w:type="dxa"/>
          </w:tcPr>
          <w:p>
            <w:pPr/>
            <w:r>
              <w:t xml:space="preserve">Flujos</w:t>
            </w:r>
          </w:p>
        </w:tc>
        <w:tc>
          <w:tcPr>
            <w:tcW w:w="6901" w:type="dxa"/>
          </w:tcPr>
          <w:p>
            <w:pPr/>
            <w:r>
              <w:t xml:space="preserve">Exportaciones e importaciones de mercancías</w:t>
            </w:r>
          </w:p>
        </w:tc>
      </w:tr>
      <w:tr>
        <w:tc>
          <w:tcPr>
            <w:tcW w:w="2458" w:type="dxa"/>
          </w:tcPr>
          <w:p>
            <w:pPr/>
            <w:r>
              <w:t xml:space="preserve">Desagregación</w:t>
            </w:r>
          </w:p>
        </w:tc>
        <w:tc>
          <w:tcPr>
            <w:tcW w:w="6901" w:type="dxa"/>
          </w:tcPr>
          <w:p>
            <w:pPr/>
            <w:r>
              <w:t xml:space="preserve">Por país socio (todos los productos)</w:t>
            </w:r>
          </w:p>
        </w:tc>
      </w:tr>
      <w:tr>
        <w:tc>
          <w:tcPr>
            <w:tcW w:w="2458" w:type="dxa"/>
          </w:tcPr>
          <w:p>
            <w:pPr/>
            <w:r>
              <w:t xml:space="preserve">Medidas</w:t>
            </w:r>
          </w:p>
        </w:tc>
        <w:tc>
          <w:tcPr>
            <w:tcW w:w="6901" w:type="dxa"/>
          </w:tcPr>
          <w:p>
            <w:pPr/>
            <w:r>
              <w:t xml:space="preserve">Monto en miles de US$ corrientes y participación % de cada socio</w:t>
            </w:r>
          </w:p>
        </w:tc>
      </w:tr>
      <w:tr>
        <w:tc>
          <w:tcPr>
            <w:tcW w:w="2458" w:type="dxa"/>
          </w:tcPr>
          <w:p>
            <w:pPr/>
            <w:r>
              <w:t xml:space="preserve">Herramientas</w:t>
            </w:r>
          </w:p>
        </w:tc>
        <w:tc>
          <w:tcPr>
            <w:tcW w:w="6901" w:type="dxa"/>
          </w:tcPr>
          <w:p>
            <w:pPr/>
            <w:r>
              <w:t xml:space="preserve">Python (pandas) en Jupyter, MySQL 9.6 con Workbench, Power BI Desktop</w:t>
            </w:r>
          </w:p>
        </w:tc>
      </w:tr>
    </w:tbl>
    <w:p>
      <w:pPr>
        <w:pStyle w:val="Heading2"/>
      </w:pPr>
      <w:r>
        <w:t xml:space="preserve">2. Arquitectura</w:t>
      </w:r>
    </w:p>
    <w:p>
      <w:pPr/>
      <w:r>
        <w:t xml:space="preserve">Los datos recorren cinco etapas, y cada herramienta cumple un rol distinto.</w:t>
      </w:r>
    </w:p>
    <w:p>
      <w:pPr/>
      <w:r>
        <w:drawing>
          <wp:inline distT="0" distB="0" distL="0" distR="0">
            <wp:extent cx="5486400" cy="1698171"/>
            <wp:docPr id="1" name="image1" descr="Arquitectura del proyecto · 5 etapa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ctura del proyecto · 5 etapa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Arquitectura del proyecto · 5 etapas</w:t>
      </w:r>
    </w:p>
    <w:p>
      <w:pPr/>
      <w:r>
        <w:t xml:space="preserve">Python solo limpia y da formato. MySQL guarda los datos con reglas de integridad y es donde se exploran y responden las preguntas. Power BI se conecta a MySQL, así que una actualización de los datos se propaga al dashboard con el botón </w:t>
      </w:r>
      <w:r>
        <w:rPr>
          <w:b/>
        </w:rPr>
        <w:t xml:space="preserve">Actualizar</w:t>
      </w:r>
      <w:r>
        <w:t xml:space="preserve">.</w:t>
      </w:r>
    </w:p>
    <w:p>
      <w:pPr>
        <w:pStyle w:val="Heading2"/>
      </w:pPr>
      <w:r>
        <w:t xml:space="preserve">3. Fuente de datos</w:t>
      </w:r>
    </w:p>
    <w:p>
      <w:pPr/>
      <w:r>
        <w:t xml:space="preserve">Los datos provienen de </w:t>
      </w:r>
      <w:r>
        <w:rPr>
          <w:b/>
        </w:rPr>
        <w:t xml:space="preserve">WITS</w:t>
      </w:r>
      <w:r>
        <w:t xml:space="preserve"> (</w:t>
      </w:r>
      <w:r>
        <w:rPr>
          <w:i/>
        </w:rPr>
        <w:t xml:space="preserve">World Integrated Trade Solution</w:t>
      </w:r>
      <w:r>
        <w:t xml:space="preserve">), el portal de comercio del Banco Mundial, sección </w:t>
      </w:r>
      <w:r>
        <w:rPr>
          <w:i/>
        </w:rPr>
        <w:t xml:space="preserve">Country Profile</w:t>
      </w:r>
      <w:r>
        <w:t xml:space="preserve">. Se descargaron 8 archivos Excel: 2 países × 2 flujos × 2 indicadores.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27"/>
        <w:gridCol w:w="1916"/>
        <w:gridCol w:w="1666"/>
        <w:gridCol w:w="2550"/>
      </w:tblGrid>
      <w:tr>
        <w:trPr>
          <w:tblHeader/>
        </w:trPr>
        <w:tc>
          <w:tcPr>
            <w:tcW w:w="3227" w:type="dxa"/>
            <w:shd w:val="clear" w:color="auto" w:fill="F2F2F2"/>
          </w:tcPr>
          <w:p>
            <w:pPr/>
            <w:r>
              <w:t xml:space="preserve">Indicador</w:t>
            </w:r>
          </w:p>
        </w:tc>
        <w:tc>
          <w:tcPr>
            <w:tcW w:w="1916" w:type="dxa"/>
            <w:shd w:val="clear" w:color="auto" w:fill="F2F2F2"/>
          </w:tcPr>
          <w:p>
            <w:pPr/>
            <w:r>
              <w:t xml:space="preserve">Código WITS</w:t>
            </w:r>
          </w:p>
        </w:tc>
        <w:tc>
          <w:tcPr>
            <w:tcW w:w="1666" w:type="dxa"/>
            <w:shd w:val="clear" w:color="auto" w:fill="F2F2F2"/>
          </w:tcPr>
          <w:p>
            <w:pPr/>
            <w:r>
              <w:t xml:space="preserve">Unidad</w:t>
            </w:r>
          </w:p>
        </w:tc>
        <w:tc>
          <w:tcPr>
            <w:tcW w:w="2550" w:type="dxa"/>
            <w:shd w:val="clear" w:color="auto" w:fill="F2F2F2"/>
          </w:tcPr>
          <w:p>
            <w:pPr/>
            <w:r>
              <w:t xml:space="preserve">Hoja con datos</w:t>
            </w:r>
          </w:p>
        </w:tc>
      </w:tr>
      <w:tr>
        <w:tc>
          <w:tcPr>
            <w:tcW w:w="3227" w:type="dxa"/>
          </w:tcPr>
          <w:p>
            <w:pPr/>
            <w:r>
              <w:t xml:space="preserve">Valor exportado por socio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XPRT-TRD-VL</w:t>
            </w:r>
          </w:p>
        </w:tc>
        <w:tc>
          <w:tcPr>
            <w:tcW w:w="1666" w:type="dxa"/>
          </w:tcPr>
          <w:p>
            <w:pPr/>
            <w:r>
              <w:t xml:space="preserve">Miles de US$</w:t>
            </w:r>
          </w:p>
        </w:tc>
        <w:tc>
          <w:tcPr>
            <w:tcW w:w="2550" w:type="dxa"/>
          </w:tcPr>
          <w:p>
            <w:pPr/>
            <w:r>
              <w:rPr>
                <w:rStyle w:val="CodeChar"/>
              </w:rPr>
              <w:t xml:space="preserve">Product-TimeSeries-Partner</w:t>
            </w:r>
          </w:p>
        </w:tc>
      </w:tr>
      <w:tr>
        <w:tc>
          <w:tcPr>
            <w:tcW w:w="3227" w:type="dxa"/>
          </w:tcPr>
          <w:p>
            <w:pPr/>
            <w:r>
              <w:t xml:space="preserve">Valor importado por socio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MPRT-TRD-VL</w:t>
            </w:r>
          </w:p>
        </w:tc>
        <w:tc>
          <w:tcPr>
            <w:tcW w:w="1666" w:type="dxa"/>
          </w:tcPr>
          <w:p>
            <w:pPr/>
            <w:r>
              <w:t xml:space="preserve">Miles de US$</w:t>
            </w:r>
          </w:p>
        </w:tc>
        <w:tc>
          <w:tcPr>
            <w:tcW w:w="2550" w:type="dxa"/>
          </w:tcPr>
          <w:p>
            <w:pPr/>
            <w:r>
              <w:rPr>
                <w:rStyle w:val="CodeChar"/>
              </w:rPr>
              <w:t xml:space="preserve">Product-TimeSeries-Partner</w:t>
            </w:r>
          </w:p>
        </w:tc>
      </w:tr>
      <w:tr>
        <w:tc>
          <w:tcPr>
            <w:tcW w:w="3227" w:type="dxa"/>
          </w:tcPr>
          <w:p>
            <w:pPr/>
            <w:r>
              <w:t xml:space="preserve">Participación del socio en las exportaciones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XPRT-PRTNR-SHR</w:t>
            </w:r>
          </w:p>
        </w:tc>
        <w:tc>
          <w:tcPr>
            <w:tcW w:w="1666" w:type="dxa"/>
          </w:tcPr>
          <w:p>
            <w:pPr/>
            <w:r>
              <w:t xml:space="preserve">%</w:t>
            </w:r>
          </w:p>
        </w:tc>
        <w:tc>
          <w:tcPr>
            <w:tcW w:w="2550" w:type="dxa"/>
          </w:tcPr>
          <w:p>
            <w:pPr/>
            <w:r>
              <w:rPr>
                <w:rStyle w:val="CodeChar"/>
              </w:rPr>
              <w:t xml:space="preserve">Partner-Timeseries</w:t>
            </w:r>
          </w:p>
        </w:tc>
      </w:tr>
      <w:tr>
        <w:tc>
          <w:tcPr>
            <w:tcW w:w="3227" w:type="dxa"/>
          </w:tcPr>
          <w:p>
            <w:pPr/>
            <w:r>
              <w:t xml:space="preserve">Participación del socio en las importaciones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MPRT-PRTNR-SHR</w:t>
            </w:r>
          </w:p>
        </w:tc>
        <w:tc>
          <w:tcPr>
            <w:tcW w:w="1666" w:type="dxa"/>
          </w:tcPr>
          <w:p>
            <w:pPr/>
            <w:r>
              <w:t xml:space="preserve">%</w:t>
            </w:r>
          </w:p>
        </w:tc>
        <w:tc>
          <w:tcPr>
            <w:tcW w:w="2550" w:type="dxa"/>
          </w:tcPr>
          <w:p>
            <w:pPr/>
            <w:r>
              <w:rPr>
                <w:rStyle w:val="CodeChar"/>
              </w:rPr>
              <w:t xml:space="preserve">Partner-Timeseries</w:t>
            </w:r>
          </w:p>
        </w:tc>
      </w:tr>
    </w:tbl>
    <w:p>
      <w:pPr/>
      <w:r>
        <w:rPr>
          <w:b/>
        </w:rPr>
        <w:t xml:space="preserve">Patrón de las direcciones de descarga</w:t>
      </w:r>
      <w:r>
        <w:t xml:space="preserve"> (para reproducir la descarga):</w:t>
      </w:r>
    </w:p>
    <w:p>
      <w:pPr>
        <w:pStyle w:val="Code"/>
      </w:pPr>
      <w:r>
        <w:t xml:space="preserve">Montos:        https://wits.worldbank.org/CountryProfile/en/Country/{ARG|URY}/StartYear/1993/EndYear/2023/TradeFlow/{Export|Import}/Indicator/{XPRT-TRD-VL|MPRT-TRD-VL}/Partner/ALL/Product/Total</w:t>
        <w:br/>
        <w:t xml:space="preserve">Participación: https://wits.worldbank.org/CountryProfile/en/Country/{ARG|URY}/StartYear/1993/EndYear/2023/TradeFlow/{Export|Import}/Partner/ALL/Indicator/{XPRT-PRTNR-SHR|MPRT-PRTNR-SHR}</w:t>
      </w:r>
    </w:p>
    <w:p>
      <w:pPr/>
      <w:r>
        <w:t xml:space="preserve">En cada página se usa la vista de tabla y el botón </w:t>
      </w:r>
      <w:r>
        <w:rPr>
          <w:b/>
        </w:rPr>
        <w:t xml:space="preserve">Excel</w:t>
      </w:r>
      <w:r>
        <w:t xml:space="preserve">. </w:t>
      </w:r>
      <w:r>
        <w:rPr>
          <w:rStyle w:val="CodeChar"/>
        </w:rPr>
        <w:t xml:space="preserve">Partner/ALL</w:t>
      </w:r>
      <w:r>
        <w:t xml:space="preserve"> trae países, regiones del Banco Mundial y el total </w:t>
      </w:r>
      <w:r>
        <w:rPr>
          <w:i/>
        </w:rPr>
        <w:t xml:space="preserve">World</w:t>
      </w:r>
      <w:r>
        <w:t xml:space="preserve">.</w:t>
      </w:r>
    </w:p>
    <w:p>
      <w:pPr/>
      <w:r>
        <w:rPr>
          <w:b/>
        </w:rPr>
        <w:t xml:space="preserve">Estructura de los archivos.</w:t>
      </w:r>
      <w:r>
        <w:t xml:space="preserve"> Cada archivo tiene una hoja </w:t>
      </w:r>
      <w:r>
        <w:rPr>
          <w:rStyle w:val="CodeChar"/>
        </w:rPr>
        <w:t xml:space="preserve">Sheet1</w:t>
      </w:r>
      <w:r>
        <w:t xml:space="preserve"> vacía y una hoja con los datos en </w:t>
      </w:r>
      <w:r>
        <w:rPr>
          <w:b/>
        </w:rPr>
        <w:t xml:space="preserve">formato ancho</w:t>
      </w:r>
      <w:r>
        <w:t xml:space="preserve">: una fila por socio y una columna por año. Las columnas fijas son </w:t>
      </w:r>
      <w:r>
        <w:rPr>
          <w:rStyle w:val="CodeChar"/>
        </w:rPr>
        <w:t xml:space="preserve">Reporter Name</w:t>
      </w:r>
      <w:r>
        <w:t xml:space="preserve">, </w:t>
      </w:r>
      <w:r>
        <w:rPr>
          <w:rStyle w:val="CodeChar"/>
        </w:rPr>
        <w:t xml:space="preserve">Partner Name</w:t>
      </w:r>
      <w:r>
        <w:t xml:space="preserve">, </w:t>
      </w:r>
      <w:r>
        <w:rPr>
          <w:rStyle w:val="CodeChar"/>
        </w:rPr>
        <w:t xml:space="preserve">Trade Flow</w:t>
      </w:r>
      <w:r>
        <w:t xml:space="preserve">, </w:t>
      </w:r>
      <w:r>
        <w:rPr>
          <w:rStyle w:val="CodeChar"/>
        </w:rPr>
        <w:t xml:space="preserve">Indicator</w:t>
      </w:r>
      <w:r>
        <w:t xml:space="preserve"> y, en los archivos de montos, </w:t>
      </w:r>
      <w:r>
        <w:rPr>
          <w:rStyle w:val="CodeChar"/>
        </w:rPr>
        <w:t xml:space="preserve">Product Group</w:t>
      </w:r>
      <w:r>
        <w:t xml:space="preserve">.</w:t>
      </w:r>
    </w:p>
    <w:p>
      <w:pPr/>
      <w:r>
        <w:rPr>
          <w:b/>
        </w:rPr>
        <w:t xml:space="preserve">Descarga inicial descartada.</w:t>
      </w:r>
      <w:r>
        <w:t xml:space="preserve"> La primera descarga de Argentina solo incluía 2019–2023. Se repitió con el rango completo y se comprobó que los años en común coincidían exactamente con la descarga anterior.</w:t>
      </w:r>
    </w:p>
    <w:p>
      <w:pPr>
        <w:pStyle w:val="Heading2"/>
      </w:pPr>
      <w:r>
        <w:t xml:space="preserve">4. Limpieza y transformación (Python)</w:t>
      </w:r>
    </w:p>
    <w:p>
      <w:pPr/>
      <w:r>
        <w:t xml:space="preserve">El notebook </w:t>
      </w:r>
      <w:r>
        <w:rPr>
          <w:rStyle w:val="CodeChar"/>
        </w:rPr>
        <w:t xml:space="preserve">01_carga_y_limpieza.ipynb</w:t>
      </w:r>
      <w:r>
        <w:t xml:space="preserve"> (pandas) toma los 8 Excel y genera dos CSV limpios. Cada paso está explicado en una celda de texto del propio notebook.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30"/>
        <w:gridCol w:w="3376"/>
        <w:gridCol w:w="3253"/>
      </w:tblGrid>
      <w:tr>
        <w:trPr>
          <w:tblHeader/>
        </w:trPr>
        <w:tc>
          <w:tcPr>
            <w:tcW w:w="2730" w:type="dxa"/>
            <w:shd w:val="clear" w:color="auto" w:fill="F2F2F2"/>
          </w:tcPr>
          <w:p>
            <w:pPr/>
            <w:r>
              <w:t xml:space="preserve">Paso</w:t>
            </w:r>
          </w:p>
        </w:tc>
        <w:tc>
          <w:tcPr>
            <w:tcW w:w="3376" w:type="dxa"/>
            <w:shd w:val="clear" w:color="auto" w:fill="F2F2F2"/>
          </w:tcPr>
          <w:p>
            <w:pPr/>
            <w:r>
              <w:t xml:space="preserve">Qué hace</w:t>
            </w:r>
          </w:p>
        </w:tc>
        <w:tc>
          <w:tcPr>
            <w:tcW w:w="3253" w:type="dxa"/>
            <w:shd w:val="clear" w:color="auto" w:fill="F2F2F2"/>
          </w:tcPr>
          <w:p>
            <w:pPr/>
            <w:r>
              <w:t xml:space="preserve">Por qué</w:t>
            </w:r>
          </w:p>
        </w:tc>
      </w:tr>
      <w:tr>
        <w:tc>
          <w:tcPr>
            <w:tcW w:w="2730" w:type="dxa"/>
          </w:tcPr>
          <w:p>
            <w:pPr/>
            <w:r>
              <w:t xml:space="preserve">1. Encontrar archivos</w:t>
            </w:r>
          </w:p>
        </w:tc>
        <w:tc>
          <w:tcPr>
            <w:tcW w:w="3376" w:type="dxa"/>
          </w:tcPr>
          <w:p>
            <w:pPr/>
            <w:r>
              <w:t xml:space="preserve">Busca todos los </w:t>
            </w:r>
            <w:r>
              <w:rPr>
                <w:rStyle w:val="CodeChar"/>
              </w:rPr>
              <w:t xml:space="preserve">.xlsx</w:t>
            </w:r>
            <w:r>
              <w:t xml:space="preserve"> de la carpeta y se queda con los que tienen formato WITS</w:t>
            </w:r>
          </w:p>
        </w:tc>
        <w:tc>
          <w:tcPr>
            <w:tcW w:w="3253" w:type="dxa"/>
          </w:tcPr>
          <w:p>
            <w:pPr/>
            <w:r>
              <w:t xml:space="preserve">Funciona aunque los archivos se renombren; se detiene con un mensaje claro si no encuentra ninguno</w:t>
            </w:r>
          </w:p>
        </w:tc>
      </w:tr>
      <w:tr>
        <w:tc>
          <w:tcPr>
            <w:tcW w:w="2730" w:type="dxa"/>
          </w:tcPr>
          <w:p>
            <w:pPr/>
            <w:r>
              <w:t xml:space="preserve">2. Leer la hoja de datos</w:t>
            </w:r>
          </w:p>
        </w:tc>
        <w:tc>
          <w:tcPr>
            <w:tcW w:w="3376" w:type="dxa"/>
          </w:tcPr>
          <w:p>
            <w:pPr/>
            <w:r>
              <w:t xml:space="preserve">Elige la hoja que tiene la columna </w:t>
            </w:r>
            <w:r>
              <w:rPr>
                <w:rStyle w:val="CodeChar"/>
              </w:rPr>
              <w:t xml:space="preserve">Reporter Name</w:t>
            </w:r>
          </w:p>
        </w:tc>
        <w:tc>
          <w:tcPr>
            <w:tcW w:w="3253" w:type="dxa"/>
          </w:tcPr>
          <w:p>
            <w:pPr/>
            <w:r>
              <w:t xml:space="preserve">El nombre de la hoja cambia según la descarga</w:t>
            </w:r>
          </w:p>
        </w:tc>
      </w:tr>
      <w:tr>
        <w:tc>
          <w:tcPr>
            <w:tcW w:w="2730" w:type="dxa"/>
          </w:tcPr>
          <w:p>
            <w:pPr/>
            <w:r>
              <w:t xml:space="preserve">3. Quitar filas vacías</w:t>
            </w:r>
          </w:p>
        </w:tc>
        <w:tc>
          <w:tcPr>
            <w:tcW w:w="3376" w:type="dxa"/>
          </w:tcPr>
          <w:p>
            <w:pPr/>
            <w:r>
              <w:t xml:space="preserve">Elimina filas sin país informante</w:t>
            </w:r>
          </w:p>
        </w:tc>
        <w:tc>
          <w:tcPr>
            <w:tcW w:w="3253" w:type="dxa"/>
          </w:tcPr>
          <w:p>
            <w:pPr/>
            <w:r>
              <w:t xml:space="preserve">Había una fila suelta con un único valor</w:t>
            </w:r>
          </w:p>
        </w:tc>
      </w:tr>
      <w:tr>
        <w:tc>
          <w:tcPr>
            <w:tcW w:w="2730" w:type="dxa"/>
          </w:tcPr>
          <w:p>
            <w:pPr/>
            <w:r>
              <w:t xml:space="preserve">4. Normalizar textos</w:t>
            </w:r>
          </w:p>
        </w:tc>
        <w:tc>
          <w:tcPr>
            <w:tcW w:w="3376" w:type="dxa"/>
          </w:tcPr>
          <w:p>
            <w:pPr/>
            <w:r>
              <w:rPr>
                <w:rStyle w:val="CodeChar"/>
              </w:rPr>
              <w:t xml:space="preserve">strip()</w:t>
            </w:r>
            <w:r>
              <w:t xml:space="preserve"> en las columnas de texto</w:t>
            </w:r>
          </w:p>
        </w:tc>
        <w:tc>
          <w:tcPr>
            <w:tcW w:w="3253" w:type="dxa"/>
          </w:tcPr>
          <w:p>
            <w:pPr/>
            <w:r>
              <w:t xml:space="preserve">Había espacios al inicio, por ejemplo </w:t>
            </w:r>
            <w:r>
              <w:rPr>
                <w:rStyle w:val="CodeChar"/>
              </w:rPr>
              <w:t xml:space="preserve">" World"</w:t>
            </w:r>
          </w:p>
        </w:tc>
      </w:tr>
      <w:tr>
        <w:tc>
          <w:tcPr>
            <w:tcW w:w="2730" w:type="dxa"/>
          </w:tcPr>
          <w:p>
            <w:pPr/>
            <w:r>
              <w:t xml:space="preserve">5. Ancho a largo</w:t>
            </w:r>
          </w:p>
        </w:tc>
        <w:tc>
          <w:tcPr>
            <w:tcW w:w="3376" w:type="dxa"/>
          </w:tcPr>
          <w:p>
            <w:pPr/>
            <w:r>
              <w:rPr>
                <w:rStyle w:val="CodeChar"/>
              </w:rPr>
              <w:t xml:space="preserve">melt</w:t>
            </w:r>
            <w:r>
              <w:t xml:space="preserve">: una fila por país, socio, flujo y año; descarta años sin dato</w:t>
            </w:r>
          </w:p>
        </w:tc>
        <w:tc>
          <w:tcPr>
            <w:tcW w:w="3253" w:type="dxa"/>
          </w:tcPr>
          <w:p>
            <w:pPr/>
            <w:r>
              <w:t xml:space="preserve">Formato que necesitan MySQL y Power BI</w:t>
            </w:r>
          </w:p>
        </w:tc>
      </w:tr>
      <w:tr>
        <w:tc>
          <w:tcPr>
            <w:tcW w:w="2730" w:type="dxa"/>
          </w:tcPr>
          <w:p>
            <w:pPr/>
            <w:r>
              <w:t xml:space="preserve">6. Unir montos y %</w:t>
            </w:r>
          </w:p>
        </w:tc>
        <w:tc>
          <w:tcPr>
            <w:tcW w:w="3376" w:type="dxa"/>
          </w:tcPr>
          <w:p>
            <w:pPr/>
            <w:r>
              <w:rPr>
                <w:rStyle w:val="CodeChar"/>
              </w:rPr>
              <w:t xml:space="preserve">merge</w:t>
            </w:r>
            <w:r>
              <w:t xml:space="preserve"> </w:t>
            </w:r>
            <w:r>
              <w:rPr>
                <w:i/>
              </w:rPr>
              <w:t xml:space="preserve">outer</w:t>
            </w:r>
            <w:r>
              <w:t xml:space="preserve"> por país + socio + flujo + año</w:t>
            </w:r>
          </w:p>
        </w:tc>
        <w:tc>
          <w:tcPr>
            <w:tcW w:w="3253" w:type="dxa"/>
          </w:tcPr>
          <w:p>
            <w:pPr/>
            <w:r>
              <w:t xml:space="preserve">No perder filas que tienen una sola de las dos medidas</w:t>
            </w:r>
          </w:p>
        </w:tc>
      </w:tr>
      <w:tr>
        <w:tc>
          <w:tcPr>
            <w:tcW w:w="2730" w:type="dxa"/>
          </w:tcPr>
          <w:p>
            <w:pPr/>
            <w:r>
              <w:t xml:space="preserve">7. Clasificar socios</w:t>
            </w:r>
          </w:p>
        </w:tc>
        <w:tc>
          <w:tcPr>
            <w:tcW w:w="3376" w:type="dxa"/>
          </w:tcPr>
          <w:p>
            <w:pPr/>
            <w:r>
              <w:t xml:space="preserve">Columna </w:t>
            </w:r>
            <w:r>
              <w:rPr>
                <w:rStyle w:val="CodeChar"/>
              </w:rPr>
              <w:t xml:space="preserve">tipo_socio</w:t>
            </w:r>
            <w:r>
              <w:t xml:space="preserve">: </w:t>
            </w:r>
            <w:r>
              <w:rPr>
                <w:rStyle w:val="CodeChar"/>
              </w:rPr>
              <w:t xml:space="preserve">Pais</w:t>
            </w:r>
            <w:r>
              <w:t xml:space="preserve">, </w:t>
            </w:r>
            <w:r>
              <w:rPr>
                <w:rStyle w:val="CodeChar"/>
              </w:rPr>
              <w:t xml:space="preserve">Region</w:t>
            </w:r>
            <w:r>
              <w:t xml:space="preserve">, </w:t>
            </w:r>
            <w:r>
              <w:rPr>
                <w:rStyle w:val="CodeChar"/>
              </w:rPr>
              <w:t xml:space="preserve">Total</w:t>
            </w:r>
            <w:r>
              <w:t xml:space="preserve"> u </w:t>
            </w:r>
            <w:r>
              <w:rPr>
                <w:rStyle w:val="CodeChar"/>
              </w:rPr>
              <w:t xml:space="preserve">Otro</w:t>
            </w:r>
          </w:p>
        </w:tc>
        <w:tc>
          <w:tcPr>
            <w:tcW w:w="3253" w:type="dxa"/>
          </w:tcPr>
          <w:p>
            <w:pPr/>
            <w:r>
              <w:t xml:space="preserve">Evita contar dos veces el comercio al sumar socios</w:t>
            </w:r>
          </w:p>
        </w:tc>
      </w:tr>
      <w:tr>
        <w:tc>
          <w:tcPr>
            <w:tcW w:w="2730" w:type="dxa"/>
          </w:tcPr>
          <w:p>
            <w:pPr/>
            <w:r>
              <w:t xml:space="preserve">8. Modelo estrella</w:t>
            </w:r>
          </w:p>
        </w:tc>
        <w:tc>
          <w:tcPr>
            <w:tcW w:w="3376" w:type="dxa"/>
          </w:tcPr>
          <w:p>
            <w:pPr/>
            <w:r>
              <w:t xml:space="preserve">Separa </w:t>
            </w:r>
            <w:r>
              <w:rPr>
                <w:rStyle w:val="CodeChar"/>
              </w:rPr>
              <w:t xml:space="preserve">dim_socio</w:t>
            </w:r>
            <w:r>
              <w:t xml:space="preserve"> (247 filas) y </w:t>
            </w:r>
            <w:r>
              <w:rPr>
                <w:rStyle w:val="CodeChar"/>
              </w:rPr>
              <w:t xml:space="preserve">fact_comercio</w:t>
            </w:r>
            <w:r>
              <w:t xml:space="preserve"> (19.551 filas)</w:t>
            </w:r>
          </w:p>
        </w:tc>
        <w:tc>
          <w:tcPr>
            <w:tcW w:w="3253" w:type="dxa"/>
          </w:tcPr>
          <w:p>
            <w:pPr/>
            <w:r>
              <w:t xml:space="preserve">El nombre del socio se guarda una sola vez</w:t>
            </w:r>
          </w:p>
        </w:tc>
      </w:tr>
      <w:tr>
        <w:tc>
          <w:tcPr>
            <w:tcW w:w="2730" w:type="dxa"/>
          </w:tcPr>
          <w:p>
            <w:pPr/>
            <w:r>
              <w:t xml:space="preserve">9. Exportar</w:t>
            </w:r>
          </w:p>
        </w:tc>
        <w:tc>
          <w:tcPr>
            <w:tcW w:w="3376" w:type="dxa"/>
          </w:tcPr>
          <w:p>
            <w:pPr/>
            <w:r>
              <w:t xml:space="preserve">CSV en UTF-8, fin de línea </w:t>
            </w:r>
            <w:r>
              <w:rPr>
                <w:rStyle w:val="CodeChar"/>
              </w:rPr>
              <w:t xml:space="preserve">\n</w:t>
            </w:r>
            <w:r>
              <w:t xml:space="preserve">, celdas vacías donde no hay dato</w:t>
            </w:r>
          </w:p>
        </w:tc>
        <w:tc>
          <w:tcPr>
            <w:tcW w:w="3253" w:type="dxa"/>
          </w:tcPr>
          <w:p>
            <w:pPr/>
            <w:r>
              <w:t xml:space="preserve">Lectura sin errores desde MySQL</w:t>
            </w:r>
          </w:p>
        </w:tc>
      </w:tr>
    </w:tbl>
    <w:p>
      <w:pPr/>
      <w:r>
        <w:rPr>
          <w:b/>
        </w:rPr>
        <w:t xml:space="preserve">Clasificación de socios:</w:t>
      </w:r>
      <w:r>
        <w:t xml:space="preserve"> </w:t>
      </w:r>
      <w:r>
        <w:rPr>
          <w:rStyle w:val="CodeChar"/>
        </w:rPr>
        <w:t xml:space="preserve">Total</w:t>
      </w:r>
      <w:r>
        <w:t xml:space="preserve"> = </w:t>
      </w:r>
      <w:r>
        <w:rPr>
          <w:i/>
        </w:rPr>
        <w:t xml:space="preserve">World</w:t>
      </w:r>
      <w:r>
        <w:t xml:space="preserve">; </w:t>
      </w:r>
      <w:r>
        <w:rPr>
          <w:rStyle w:val="CodeChar"/>
        </w:rPr>
        <w:t xml:space="preserve">Region</w:t>
      </w:r>
      <w:r>
        <w:t xml:space="preserve"> = las 7 regiones del Banco Mundial; </w:t>
      </w:r>
      <w:r>
        <w:rPr>
          <w:rStyle w:val="CodeChar"/>
        </w:rPr>
        <w:t xml:space="preserve">Otro</w:t>
      </w:r>
      <w:r>
        <w:t xml:space="preserve"> = </w:t>
      </w:r>
      <w:r>
        <w:rPr>
          <w:i/>
        </w:rPr>
        <w:t xml:space="preserve">Unspecified</w:t>
      </w:r>
      <w:r>
        <w:t xml:space="preserve">, </w:t>
      </w:r>
      <w:r>
        <w:rPr>
          <w:i/>
        </w:rPr>
        <w:t xml:space="preserve">Free Zones</w:t>
      </w:r>
      <w:r>
        <w:t xml:space="preserve"> y </w:t>
      </w:r>
      <w:r>
        <w:rPr>
          <w:i/>
        </w:rPr>
        <w:t xml:space="preserve">Special Categories</w:t>
      </w:r>
      <w:r>
        <w:t xml:space="preserve">; </w:t>
      </w:r>
      <w:r>
        <w:rPr>
          <w:rStyle w:val="CodeChar"/>
        </w:rPr>
        <w:t xml:space="preserve">Pais</w:t>
      </w:r>
      <w:r>
        <w:t xml:space="preserve"> = el resto (236). </w:t>
      </w:r>
      <w:r>
        <w:rPr>
          <w:i/>
        </w:rPr>
        <w:t xml:space="preserve">Other Asia, nes</w:t>
      </w:r>
      <w:r>
        <w:t xml:space="preserve"> se clasificó como país, porque es la denominación de la ONU para Taiwán.</w:t>
      </w:r>
    </w:p>
    <w:p>
      <w:pPr/>
      <w:r>
        <w:rPr>
          <w:b/>
        </w:rPr>
        <w:t xml:space="preserve">Controles de calidad</w:t>
      </w:r>
      <w:r>
        <w:t xml:space="preserve"> (Paso 5 del notebook):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Cobertura:</w:t>
      </w:r>
      <w:r>
        <w:t xml:space="preserve"> ambos países tienen datos completos para 1994–2023.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Participación recalculada:</w:t>
      </w:r>
      <w:r>
        <w:t xml:space="preserve"> monto del socio ÷ total </w:t>
      </w:r>
      <w:r>
        <w:rPr>
          <w:i/>
        </w:rPr>
        <w:t xml:space="preserve">World</w:t>
      </w:r>
      <w:r>
        <w:t xml:space="preserve"> coincide con el % que informa WITS (diferencia máxima: 0,0000 puntos).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Suma de socios contra total:</w:t>
      </w:r>
      <w:r>
        <w:t xml:space="preserve"> la suma de países y otros difiere del total </w:t>
      </w:r>
      <w:r>
        <w:rPr>
          <w:i/>
        </w:rPr>
        <w:t xml:space="preserve">World</w:t>
      </w:r>
      <w:r>
        <w:t xml:space="preserve"> en menos de 0,5 %, por socios menores que WITS no detalla.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Consistencia entre descargas:</w:t>
      </w:r>
      <w:r>
        <w:t xml:space="preserve"> los años 2019–2023 de la nueva descarga son idénticos a los de la primera.</w:t>
      </w:r>
    </w:p>
    <w:p>
      <w:pPr>
        <w:pStyle w:val="Heading2"/>
      </w:pPr>
      <w:r>
        <w:t xml:space="preserve">5. Modelo de datos (MySQL)</w:t>
      </w:r>
    </w:p>
    <w:p>
      <w:pPr/>
      <w:r>
        <w:t xml:space="preserve">La base </w:t>
      </w:r>
      <w:r>
        <w:rPr>
          <w:rStyle w:val="CodeChar"/>
        </w:rPr>
        <w:t xml:space="preserve">comercio_arg_uy</w:t>
      </w:r>
      <w:r>
        <w:t xml:space="preserve"> (</w:t>
      </w:r>
      <w:r>
        <w:rPr>
          <w:rStyle w:val="CodeChar"/>
        </w:rPr>
        <w:t xml:space="preserve">utf8mb4</w:t>
      </w:r>
      <w:r>
        <w:t xml:space="preserve">) sigue un </w:t>
      </w:r>
      <w:r>
        <w:rPr>
          <w:b/>
        </w:rPr>
        <w:t xml:space="preserve">modelo estrella</w:t>
      </w:r>
      <w:r>
        <w:t xml:space="preserve">: una tabla de hechos con los valores y una dimensión con los socios. La crea el script </w:t>
      </w:r>
      <w:r>
        <w:rPr>
          <w:rStyle w:val="CodeChar"/>
        </w:rPr>
        <w:t xml:space="preserve">ddl.sql</w:t>
      </w:r>
      <w:r>
        <w:t xml:space="preserve">, que solo contiene sentencias </w:t>
      </w:r>
      <w:r>
        <w:rPr>
          <w:rStyle w:val="CodeChar"/>
        </w:rPr>
        <w:t xml:space="preserve">CREATE</w:t>
      </w:r>
      <w:r>
        <w:t xml:space="preserve">.</w:t>
      </w:r>
    </w:p>
    <w:p>
      <w:pPr/>
      <w:r>
        <w:rPr>
          <w:rStyle w:val="CodeChar"/>
          <w:b/>
        </w:rPr>
        <w:t xml:space="preserve">dim_socio</w:t>
      </w:r>
      <w:r>
        <w:t xml:space="preserve"> · un registro por socio comercial · 247 filas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76"/>
        <w:gridCol w:w="2340"/>
        <w:gridCol w:w="1807"/>
        <w:gridCol w:w="3537"/>
      </w:tblGrid>
      <w:tr>
        <w:trPr>
          <w:tblHeader/>
        </w:trPr>
        <w:tc>
          <w:tcPr>
            <w:tcW w:w="1676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807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3537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id_socio</w:t>
            </w:r>
          </w:p>
        </w:tc>
        <w:tc>
          <w:tcPr>
            <w:tcW w:w="2340" w:type="dxa"/>
          </w:tcPr>
          <w:p>
            <w:pPr/>
            <w:r>
              <w:t xml:space="preserve">INT</w:t>
            </w:r>
          </w:p>
        </w:tc>
        <w:tc>
          <w:tcPr>
            <w:tcW w:w="1807" w:type="dxa"/>
          </w:tcPr>
          <w:p>
            <w:pPr/>
            <w:r>
              <w:t xml:space="preserve">PK</w:t>
            </w:r>
          </w:p>
        </w:tc>
        <w:tc>
          <w:tcPr>
            <w:tcW w:w="3537" w:type="dxa"/>
          </w:tcPr>
          <w:p>
            <w:pPr/>
            <w:r>
              <w:t xml:space="preserve">Identificador del socio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nombre_socio</w:t>
            </w:r>
          </w:p>
        </w:tc>
        <w:tc>
          <w:tcPr>
            <w:tcW w:w="2340" w:type="dxa"/>
          </w:tcPr>
          <w:p>
            <w:pPr/>
            <w:r>
              <w:t xml:space="preserve">VARCHAR(100)</w:t>
            </w:r>
          </w:p>
        </w:tc>
        <w:tc>
          <w:tcPr>
            <w:tcW w:w="1807" w:type="dxa"/>
          </w:tcPr>
          <w:p>
            <w:pPr/>
            <w:r>
              <w:t xml:space="preserve">NOT NULL, UNIQUE</w:t>
            </w:r>
          </w:p>
        </w:tc>
        <w:tc>
          <w:tcPr>
            <w:tcW w:w="3537" w:type="dxa"/>
          </w:tcPr>
          <w:p>
            <w:pPr/>
            <w:r>
              <w:t xml:space="preserve">Nombre según WITS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tipo_socio</w:t>
            </w:r>
          </w:p>
        </w:tc>
        <w:tc>
          <w:tcPr>
            <w:tcW w:w="2340" w:type="dxa"/>
          </w:tcPr>
          <w:p>
            <w:pPr/>
            <w:r>
              <w:t xml:space="preserve">ENUM('Pais','Region','Total','Otro')</w:t>
            </w:r>
          </w:p>
        </w:tc>
        <w:tc>
          <w:tcPr>
            <w:tcW w:w="1807" w:type="dxa"/>
          </w:tcPr>
          <w:p>
            <w:pPr/>
            <w:r>
              <w:t xml:space="preserve">NOT NULL</w:t>
            </w:r>
          </w:p>
        </w:tc>
        <w:tc>
          <w:tcPr>
            <w:tcW w:w="3537" w:type="dxa"/>
          </w:tcPr>
          <w:p>
            <w:pPr/>
            <w:r>
              <w:t xml:space="preserve">Indica si el socio se puede sumar con otros</w:t>
            </w:r>
          </w:p>
        </w:tc>
      </w:tr>
    </w:tbl>
    <w:p>
      <w:pPr/>
      <w:r>
        <w:rPr>
          <w:rStyle w:val="CodeChar"/>
          <w:b/>
        </w:rPr>
        <w:t xml:space="preserve">fact_comercio</w:t>
      </w:r>
      <w:r>
        <w:t xml:space="preserve"> · un registro por país + socio + flujo + año · 19.551 filas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76"/>
        <w:gridCol w:w="2340"/>
        <w:gridCol w:w="2053"/>
        <w:gridCol w:w="2691"/>
      </w:tblGrid>
      <w:tr>
        <w:trPr>
          <w:tblHeader/>
        </w:trPr>
        <w:tc>
          <w:tcPr>
            <w:tcW w:w="2276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2053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2691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pais_reportante</w:t>
            </w:r>
          </w:p>
        </w:tc>
        <w:tc>
          <w:tcPr>
            <w:tcW w:w="2340" w:type="dxa"/>
          </w:tcPr>
          <w:p>
            <w:pPr/>
            <w:r>
              <w:t xml:space="preserve">VARCHAR(20)</w:t>
            </w:r>
          </w:p>
        </w:tc>
        <w:tc>
          <w:tcPr>
            <w:tcW w:w="2053" w:type="dxa"/>
          </w:tcPr>
          <w:p>
            <w:pPr/>
            <w:r>
              <w:t xml:space="preserve">PK (parte)</w:t>
            </w:r>
          </w:p>
        </w:tc>
        <w:tc>
          <w:tcPr>
            <w:tcW w:w="2691" w:type="dxa"/>
          </w:tcPr>
          <w:p>
            <w:pPr/>
            <w:r>
              <w:t xml:space="preserve">Argentina o Uruguay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id_socio</w:t>
            </w:r>
          </w:p>
        </w:tc>
        <w:tc>
          <w:tcPr>
            <w:tcW w:w="2340" w:type="dxa"/>
          </w:tcPr>
          <w:p>
            <w:pPr/>
            <w:r>
              <w:t xml:space="preserve">INT</w:t>
            </w:r>
          </w:p>
        </w:tc>
        <w:tc>
          <w:tcPr>
            <w:tcW w:w="2053" w:type="dxa"/>
          </w:tcPr>
          <w:p>
            <w:pPr/>
            <w:r>
              <w:t xml:space="preserve">PK (parte), FK → </w:t>
            </w:r>
            <w:r>
              <w:rPr>
                <w:rStyle w:val="CodeChar"/>
              </w:rPr>
              <w:t xml:space="preserve">dim_socio</w:t>
            </w:r>
          </w:p>
        </w:tc>
        <w:tc>
          <w:tcPr>
            <w:tcW w:w="2691" w:type="dxa"/>
          </w:tcPr>
          <w:p>
            <w:pPr/>
            <w:r>
              <w:t xml:space="preserve">Socio comercial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flujo</w:t>
            </w:r>
          </w:p>
        </w:tc>
        <w:tc>
          <w:tcPr>
            <w:tcW w:w="2340" w:type="dxa"/>
          </w:tcPr>
          <w:p>
            <w:pPr/>
            <w:r>
              <w:t xml:space="preserve">ENUM('Export','Import')</w:t>
            </w:r>
          </w:p>
        </w:tc>
        <w:tc>
          <w:tcPr>
            <w:tcW w:w="2053" w:type="dxa"/>
          </w:tcPr>
          <w:p>
            <w:pPr/>
            <w:r>
              <w:t xml:space="preserve">PK (parte)</w:t>
            </w:r>
          </w:p>
        </w:tc>
        <w:tc>
          <w:tcPr>
            <w:tcW w:w="2691" w:type="dxa"/>
          </w:tcPr>
          <w:p>
            <w:pPr/>
            <w:r>
              <w:t xml:space="preserve">Sentido del comercio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anio</w:t>
            </w:r>
          </w:p>
        </w:tc>
        <w:tc>
          <w:tcPr>
            <w:tcW w:w="2340" w:type="dxa"/>
          </w:tcPr>
          <w:p>
            <w:pPr/>
            <w:r>
              <w:t xml:space="preserve">SMALLINT</w:t>
            </w:r>
          </w:p>
        </w:tc>
        <w:tc>
          <w:tcPr>
            <w:tcW w:w="2053" w:type="dxa"/>
          </w:tcPr>
          <w:p>
            <w:pPr/>
            <w:r>
              <w:t xml:space="preserve">PK (parte)</w:t>
            </w:r>
          </w:p>
        </w:tc>
        <w:tc>
          <w:tcPr>
            <w:tcW w:w="2691" w:type="dxa"/>
          </w:tcPr>
          <w:p>
            <w:pPr/>
            <w:r>
              <w:t xml:space="preserve">Año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valor_miles_usd</w:t>
            </w:r>
          </w:p>
        </w:tc>
        <w:tc>
          <w:tcPr>
            <w:tcW w:w="2340" w:type="dxa"/>
          </w:tcPr>
          <w:p>
            <w:pPr/>
            <w:r>
              <w:t xml:space="preserve">DECIMAL(18,3)</w:t>
            </w:r>
          </w:p>
        </w:tc>
        <w:tc>
          <w:tcPr>
            <w:tcW w:w="2053" w:type="dxa"/>
          </w:tcPr>
          <w:p>
            <w:pPr/>
            <w:r>
              <w:t xml:space="preserve">NULL permitido</w:t>
            </w:r>
          </w:p>
        </w:tc>
        <w:tc>
          <w:tcPr>
            <w:tcW w:w="2691" w:type="dxa"/>
          </w:tcPr>
          <w:p>
            <w:pPr/>
            <w:r>
              <w:t xml:space="preserve">Monto en miles de US$ corrientes</w:t>
            </w:r>
          </w:p>
        </w:tc>
      </w:tr>
      <w:tr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participacion_pct</w:t>
            </w:r>
          </w:p>
        </w:tc>
        <w:tc>
          <w:tcPr>
            <w:tcW w:w="2340" w:type="dxa"/>
          </w:tcPr>
          <w:p>
            <w:pPr/>
            <w:r>
              <w:t xml:space="preserve">DECIMAL(9,4)</w:t>
            </w:r>
          </w:p>
        </w:tc>
        <w:tc>
          <w:tcPr>
            <w:tcW w:w="2053" w:type="dxa"/>
          </w:tcPr>
          <w:p>
            <w:pPr/>
            <w:r>
              <w:t xml:space="preserve">NULL permitido</w:t>
            </w:r>
          </w:p>
        </w:tc>
        <w:tc>
          <w:tcPr>
            <w:tcW w:w="2691" w:type="dxa"/>
          </w:tcPr>
          <w:p>
            <w:pPr/>
            <w:r>
              <w:t xml:space="preserve">% del socio en el total del país</w:t>
            </w:r>
          </w:p>
        </w:tc>
      </w:tr>
    </w:tbl>
    <w:p>
      <w:pPr/>
      <w:r>
        <w:rPr>
          <w:b/>
        </w:rPr>
        <w:t xml:space="preserve">Decisiones de diseño: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Clave primaria compuesta</w:t>
      </w:r>
      <w:r>
        <w:t xml:space="preserve"> (país, socio, flujo, año): impide registros duplicados.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Clave foránea</w:t>
      </w:r>
      <w:r>
        <w:t xml:space="preserve"> hacia </w:t>
      </w:r>
      <w:r>
        <w:rPr>
          <w:rStyle w:val="CodeChar"/>
        </w:rPr>
        <w:t xml:space="preserve">dim_socio</w:t>
      </w:r>
      <w:r>
        <w:t xml:space="preserve">: impide cargar comercio con un socio inexistente.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</w:rPr>
        <w:t xml:space="preserve">ENUM</w:t>
      </w:r>
      <w:r>
        <w:t xml:space="preserve"> en </w:t>
      </w:r>
      <w:r>
        <w:rPr>
          <w:rStyle w:val="CodeChar"/>
        </w:rPr>
        <w:t xml:space="preserve">flujo</w:t>
      </w:r>
      <w:r>
        <w:t xml:space="preserve"> y </w:t>
      </w:r>
      <w:r>
        <w:rPr>
          <w:rStyle w:val="CodeChar"/>
        </w:rPr>
        <w:t xml:space="preserve">tipo_socio</w:t>
      </w:r>
      <w:r>
        <w:t xml:space="preserve">: solo se aceptan los valores definidos.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</w:rPr>
        <w:t xml:space="preserve">NULL</w:t>
      </w:r>
      <w:r>
        <w:rPr>
          <w:b/>
        </w:rPr>
        <w:t xml:space="preserve"> en las medidas:</w:t>
      </w:r>
      <w:r>
        <w:t xml:space="preserve"> distingue "sin dato" de "comercio cero", para que no se distorsionen promedios ni mínimos.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</w:rPr>
        <w:t xml:space="preserve">DECIMAL</w:t>
      </w:r>
      <w:r>
        <w:rPr>
          <w:b/>
        </w:rPr>
        <w:t xml:space="preserve"> en lugar de </w:t>
      </w:r>
      <w:r>
        <w:rPr>
          <w:rStyle w:val="CodeChar"/>
          <w:b/>
        </w:rPr>
        <w:t xml:space="preserve">FLOAT</w:t>
      </w:r>
      <w:r>
        <w:rPr>
          <w:b/>
        </w:rPr>
        <w:t xml:space="preserve">:</w:t>
      </w:r>
      <w:r>
        <w:t xml:space="preserve"> evita errores de redondeo en montos.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Índice </w:t>
      </w:r>
      <w:r>
        <w:rPr>
          <w:rStyle w:val="CodeChar"/>
          <w:b/>
        </w:rPr>
        <w:t xml:space="preserve">idx_fact_anio_flujo</w:t>
      </w:r>
      <w:r>
        <w:t xml:space="preserve"> sobre (</w:t>
      </w:r>
      <w:r>
        <w:rPr>
          <w:rStyle w:val="CodeChar"/>
        </w:rPr>
        <w:t xml:space="preserve">anio</w:t>
      </w:r>
      <w:r>
        <w:t xml:space="preserve">, </w:t>
      </w:r>
      <w:r>
        <w:rPr>
          <w:rStyle w:val="CodeChar"/>
        </w:rPr>
        <w:t xml:space="preserve">flujo</w:t>
      </w:r>
      <w:r>
        <w:t xml:space="preserve">): acelera los filtros más frecuentes.</w:t>
      </w:r>
    </w:p>
    <w:p>
      <w:pPr>
        <w:pStyle w:val="Heading2"/>
      </w:pPr>
      <w:r>
        <w:t xml:space="preserve">6. Carga y análisis en SQL</w:t>
      </w:r>
    </w:p>
    <w:p>
      <w:pPr/>
      <w:r>
        <w:rPr>
          <w:b/>
        </w:rPr>
        <w:t xml:space="preserve">Carga (</w:t>
      </w:r>
      <w:r>
        <w:rPr>
          <w:rStyle w:val="CodeChar"/>
          <w:b/>
        </w:rPr>
        <w:t xml:space="preserve">carga.sql</w:t>
      </w:r>
      <w:r>
        <w:rPr>
          <w:b/>
        </w:rPr>
        <w:t xml:space="preserve">).</w:t>
      </w:r>
      <w:r>
        <w:t xml:space="preserve"> Lee los dos CSV con </w:t>
      </w:r>
      <w:r>
        <w:rPr>
          <w:rStyle w:val="CodeChar"/>
        </w:rPr>
        <w:t xml:space="preserve">LOAD DATA LOCAL INFILE</w:t>
      </w:r>
      <w:r>
        <w:t xml:space="preserve">:</w:t>
      </w:r>
    </w:p>
    <w:p>
      <w:pPr>
        <w:pStyle w:val="ListParagraph"/>
        <w:numPr>
          <w:ilvl w:val="0"/>
          <w:numId w:val="5"/>
        </w:numPr>
      </w:pPr>
      <w:r>
        <w:t xml:space="preserve">Vacía las tablas antes de cargar, así el script se puede ejecutar varias veces sin duplicar registros. Primero vacía </w:t>
      </w:r>
      <w:r>
        <w:rPr>
          <w:rStyle w:val="CodeChar"/>
        </w:rPr>
        <w:t xml:space="preserve">fact_comercio</w:t>
      </w:r>
      <w:r>
        <w:t xml:space="preserve"> y después </w:t>
      </w:r>
      <w:r>
        <w:rPr>
          <w:rStyle w:val="CodeChar"/>
        </w:rPr>
        <w:t xml:space="preserve">dim_socio</w:t>
      </w:r>
      <w:r>
        <w:t xml:space="preserve">, por la clave foránea.</w:t>
      </w:r>
    </w:p>
    <w:p>
      <w:pPr>
        <w:pStyle w:val="ListParagraph"/>
        <w:numPr>
          <w:ilvl w:val="0"/>
          <w:numId w:val="5"/>
        </w:numPr>
      </w:pPr>
      <w:r>
        <w:t xml:space="preserve">Lee las celdas vacías en variables y las convierte en </w:t>
      </w:r>
      <w:r>
        <w:rPr>
          <w:rStyle w:val="CodeChar"/>
        </w:rPr>
        <w:t xml:space="preserve">NULL</w:t>
      </w:r>
      <w:r>
        <w:t xml:space="preserve"> con </w:t>
      </w:r>
      <w:r>
        <w:rPr>
          <w:rStyle w:val="CodeChar"/>
        </w:rPr>
        <w:t xml:space="preserve">NULLIF(@valor, '')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Usa </w:t>
      </w:r>
      <w:r>
        <w:rPr>
          <w:rStyle w:val="CodeChar"/>
        </w:rPr>
        <w:t xml:space="preserve">OPTIONALLY ENCLOSED BY '"'</w:t>
      </w:r>
      <w:r>
        <w:t xml:space="preserve"> para los nombres con coma, como </w:t>
      </w:r>
      <w:r>
        <w:rPr>
          <w:i/>
        </w:rPr>
        <w:t xml:space="preserve">Bahamas, The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Desactiva el modo seguro de Workbench solo durante la carga (</w:t>
      </w:r>
      <w:r>
        <w:rPr>
          <w:rStyle w:val="CodeChar"/>
        </w:rPr>
        <w:t xml:space="preserve">SQL_SAFE_UPDATES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t xml:space="preserve">Termina con una verificación: 247 socios, 19.551 registros, y que las celdas vacías hayan quedado como </w:t>
      </w:r>
      <w:r>
        <w:rPr>
          <w:rStyle w:val="CodeChar"/>
        </w:rPr>
        <w:t xml:space="preserve">NULL</w:t>
      </w:r>
      <w:r>
        <w:t xml:space="preserve">.</w:t>
      </w:r>
    </w:p>
    <w:p>
      <w:pPr/>
      <w:r>
        <w:rPr>
          <w:b/>
        </w:rPr>
        <w:t xml:space="preserve">Análisis (</w:t>
      </w:r>
      <w:r>
        <w:rPr>
          <w:rStyle w:val="CodeChar"/>
          <w:b/>
        </w:rPr>
        <w:t xml:space="preserve">analisis.sql</w:t>
      </w:r>
      <w:r>
        <w:rPr>
          <w:b/>
        </w:rPr>
        <w:t xml:space="preserve">).</w:t>
      </w:r>
      <w:r>
        <w:t xml:space="preserve"> Contiene las consultas que responden las preguntas del proyecto, organizadas en seis partes y comentadas una por una: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83"/>
        <w:gridCol w:w="4692"/>
        <w:gridCol w:w="1884"/>
      </w:tblGrid>
      <w:tr>
        <w:trPr>
          <w:tblHeader/>
        </w:trPr>
        <w:tc>
          <w:tcPr>
            <w:tcW w:w="2783" w:type="dxa"/>
            <w:shd w:val="clear" w:color="auto" w:fill="F2F2F2"/>
          </w:tcPr>
          <w:p>
            <w:pPr/>
            <w:r>
              <w:t xml:space="preserve">Parte</w:t>
            </w:r>
          </w:p>
        </w:tc>
        <w:tc>
          <w:tcPr>
            <w:tcW w:w="4692" w:type="dxa"/>
            <w:shd w:val="clear" w:color="auto" w:fill="F2F2F2"/>
          </w:tcPr>
          <w:p>
            <w:pPr/>
            <w:r>
              <w:t xml:space="preserve">Contenido</w:t>
            </w:r>
          </w:p>
        </w:tc>
        <w:tc>
          <w:tcPr>
            <w:tcW w:w="1884" w:type="dxa"/>
            <w:shd w:val="clear" w:color="auto" w:fill="F2F2F2"/>
          </w:tcPr>
          <w:p>
            <w:pPr/>
            <w:r>
              <w:t xml:space="preserve">Técnicas SQL</w:t>
            </w:r>
          </w:p>
        </w:tc>
      </w:tr>
      <w:tr>
        <w:tc>
          <w:tcPr>
            <w:tcW w:w="2783" w:type="dxa"/>
          </w:tcPr>
          <w:p>
            <w:pPr/>
            <w:r>
              <w:t xml:space="preserve">1. Exploración y calidad</w:t>
            </w:r>
          </w:p>
        </w:tc>
        <w:tc>
          <w:tcPr>
            <w:tcW w:w="4692" w:type="dxa"/>
          </w:tcPr>
          <w:p>
            <w:pPr/>
            <w:r>
              <w:t xml:space="preserve">Socios por tipo, rangos de años, datos faltantes, suma de socios contra total</w:t>
            </w:r>
          </w:p>
        </w:tc>
        <w:tc>
          <w:tcPr>
            <w:tcW w:w="1884" w:type="dxa"/>
          </w:tcPr>
          <w:p>
            <w:pPr/>
            <w:r>
              <w:rPr>
                <w:rStyle w:val="CodeChar"/>
              </w:rPr>
              <w:t xml:space="preserve">GROUP BY</w:t>
            </w:r>
            <w:r>
              <w:t xml:space="preserve">, </w:t>
            </w:r>
            <w:r>
              <w:rPr>
                <w:rStyle w:val="CodeChar"/>
              </w:rPr>
              <w:t xml:space="preserve">JOIN</w:t>
            </w:r>
            <w:r>
              <w:t xml:space="preserve">, CTE (</w:t>
            </w:r>
            <w:r>
              <w:rPr>
                <w:rStyle w:val="CodeChar"/>
              </w:rPr>
              <w:t xml:space="preserve">WITH</w:t>
            </w:r>
            <w:r>
              <w:t xml:space="preserve">)</w:t>
            </w:r>
          </w:p>
        </w:tc>
      </w:tr>
      <w:tr>
        <w:tc>
          <w:tcPr>
            <w:tcW w:w="2783" w:type="dxa"/>
          </w:tcPr>
          <w:p>
            <w:pPr/>
            <w:r>
              <w:t xml:space="preserve">2. Evolución y balanza</w:t>
            </w:r>
          </w:p>
        </w:tc>
        <w:tc>
          <w:tcPr>
            <w:tcW w:w="4692" w:type="dxa"/>
          </w:tcPr>
          <w:p>
            <w:pPr/>
            <w:r>
              <w:t xml:space="preserve">Exportaciones, importaciones y balanza por año; variación interanual; mayores caídas; años con superávit</w:t>
            </w:r>
          </w:p>
        </w:tc>
        <w:tc>
          <w:tcPr>
            <w:tcW w:w="1884" w:type="dxa"/>
          </w:tcPr>
          <w:p>
            <w:pPr/>
            <w:r>
              <w:t xml:space="preserve">Vista, </w:t>
            </w:r>
            <w:r>
              <w:rPr>
                <w:rStyle w:val="CodeChar"/>
              </w:rPr>
              <w:t xml:space="preserve">CASE</w:t>
            </w:r>
            <w:r>
              <w:t xml:space="preserve">, </w:t>
            </w:r>
            <w:r>
              <w:rPr>
                <w:rStyle w:val="CodeChar"/>
              </w:rPr>
              <w:t xml:space="preserve">LAG</w:t>
            </w:r>
            <w:r>
              <w:t xml:space="preserve">, </w:t>
            </w:r>
            <w:r>
              <w:rPr>
                <w:rStyle w:val="CodeChar"/>
              </w:rPr>
              <w:t xml:space="preserve">RANK</w:t>
            </w:r>
          </w:p>
        </w:tc>
      </w:tr>
      <w:tr>
        <w:tc>
          <w:tcPr>
            <w:tcW w:w="2783" w:type="dxa"/>
          </w:tcPr>
          <w:p>
            <w:pPr/>
            <w:r>
              <w:t xml:space="preserve">3. Principales socios</w:t>
            </w:r>
          </w:p>
        </w:tc>
        <w:tc>
          <w:tcPr>
            <w:tcW w:w="4692" w:type="dxa"/>
          </w:tcPr>
          <w:p>
            <w:pPr/>
            <w:r>
              <w:t xml:space="preserve">Top 5 de 2023; Brasil, China y EE. UU. en el tiempo; primer socio año por año</w:t>
            </w:r>
          </w:p>
        </w:tc>
        <w:tc>
          <w:tcPr>
            <w:tcW w:w="1884" w:type="dxa"/>
          </w:tcPr>
          <w:p>
            <w:pPr/>
            <w:r>
              <w:rPr>
                <w:rStyle w:val="CodeChar"/>
              </w:rPr>
              <w:t xml:space="preserve">RANK</w:t>
            </w:r>
            <w:r>
              <w:t xml:space="preserve">, </w:t>
            </w:r>
            <w:r>
              <w:rPr>
                <w:rStyle w:val="CodeChar"/>
              </w:rPr>
              <w:t xml:space="preserve">ROW_NUMBER</w:t>
            </w:r>
            <w:r>
              <w:t xml:space="preserve">, pivoteo con </w:t>
            </w:r>
            <w:r>
              <w:rPr>
                <w:rStyle w:val="CodeChar"/>
              </w:rPr>
              <w:t xml:space="preserve">CASE</w:t>
            </w:r>
          </w:p>
        </w:tc>
      </w:tr>
      <w:tr>
        <w:tc>
          <w:tcPr>
            <w:tcW w:w="2783" w:type="dxa"/>
          </w:tcPr>
          <w:p>
            <w:pPr/>
            <w:r>
              <w:t xml:space="preserve">4. Concentración</w:t>
            </w:r>
          </w:p>
        </w:tc>
        <w:tc>
          <w:tcPr>
            <w:tcW w:w="4692" w:type="dxa"/>
          </w:tcPr>
          <w:p>
            <w:pPr/>
            <w:r>
              <w:t xml:space="preserve">Índice HHI y peso de los 3 primeros socios</w:t>
            </w:r>
          </w:p>
        </w:tc>
        <w:tc>
          <w:tcPr>
            <w:tcW w:w="1884" w:type="dxa"/>
          </w:tcPr>
          <w:p>
            <w:pPr/>
            <w:r>
              <w:t xml:space="preserve">Vista, CTE, </w:t>
            </w:r>
            <w:r>
              <w:rPr>
                <w:rStyle w:val="CodeChar"/>
              </w:rPr>
              <w:t xml:space="preserve">POWER</w:t>
            </w:r>
            <w:r>
              <w:t xml:space="preserve">, </w:t>
            </w:r>
            <w:r>
              <w:rPr>
                <w:rStyle w:val="CodeChar"/>
              </w:rPr>
              <w:t xml:space="preserve">ROW_NUMBER</w:t>
            </w:r>
          </w:p>
        </w:tc>
      </w:tr>
      <w:tr>
        <w:tc>
          <w:tcPr>
            <w:tcW w:w="2783" w:type="dxa"/>
          </w:tcPr>
          <w:p>
            <w:pPr/>
            <w:r>
              <w:t xml:space="preserve">5. Comercio bilateral</w:t>
            </w:r>
          </w:p>
        </w:tc>
        <w:tc>
          <w:tcPr>
            <w:tcW w:w="4692" w:type="dxa"/>
          </w:tcPr>
          <w:p>
            <w:pPr/>
            <w:r>
              <w:t xml:space="preserve">Peso de cada país en el otro; estadísticas espejo por año y por década</w:t>
            </w:r>
          </w:p>
        </w:tc>
        <w:tc>
          <w:tcPr>
            <w:tcW w:w="1884" w:type="dxa"/>
          </w:tcPr>
          <w:p>
            <w:pPr/>
            <w:r>
              <w:rPr>
                <w:i/>
              </w:rPr>
              <w:t xml:space="preserve">Self-join</w:t>
            </w:r>
            <w:r>
              <w:t xml:space="preserve"> sobre una CTE</w:t>
            </w:r>
          </w:p>
        </w:tc>
      </w:tr>
      <w:tr>
        <w:tc>
          <w:tcPr>
            <w:tcW w:w="2783" w:type="dxa"/>
          </w:tcPr>
          <w:p>
            <w:pPr/>
            <w:r>
              <w:t xml:space="preserve">6. Vista de socios</w:t>
            </w:r>
          </w:p>
        </w:tc>
        <w:tc>
          <w:tcPr>
            <w:tcW w:w="4692" w:type="dxa"/>
          </w:tcPr>
          <w:p>
            <w:pPr/>
            <w:r>
              <w:t xml:space="preserve">Comercio por país socio, sin regiones ni totales</w:t>
            </w:r>
          </w:p>
        </w:tc>
        <w:tc>
          <w:tcPr>
            <w:tcW w:w="1884" w:type="dxa"/>
          </w:tcPr>
          <w:p>
            <w:pPr/>
            <w:r>
              <w:t xml:space="preserve">Vista</w:t>
            </w:r>
          </w:p>
        </w:tc>
      </w:tr>
    </w:tbl>
    <w:p>
      <w:pPr/>
      <w:r>
        <w:t xml:space="preserve">Vistas creadas: </w:t>
      </w:r>
      <w:r>
        <w:rPr>
          <w:rStyle w:val="CodeChar"/>
        </w:rPr>
        <w:t xml:space="preserve">vw_balanza_anual</w:t>
      </w:r>
      <w:r>
        <w:t xml:space="preserve">, </w:t>
      </w:r>
      <w:r>
        <w:rPr>
          <w:rStyle w:val="CodeChar"/>
        </w:rPr>
        <w:t xml:space="preserve">vw_concentracion</w:t>
      </w:r>
      <w:r>
        <w:t xml:space="preserve"> y </w:t>
      </w:r>
      <w:r>
        <w:rPr>
          <w:rStyle w:val="CodeChar"/>
        </w:rPr>
        <w:t xml:space="preserve">vw_comercio_socios</w:t>
      </w:r>
      <w:r>
        <w:t xml:space="preserve">. Quedan disponibles para consultas posteriores o para conectar otras herramientas.</w:t>
      </w:r>
    </w:p>
    <w:p>
      <w:pPr>
        <w:pStyle w:val="Heading2"/>
      </w:pPr>
      <w:r>
        <w:t xml:space="preserve">7. Power BI: modelo, medidas y dashboard</w:t>
      </w:r>
    </w:p>
    <w:p>
      <w:pPr/>
      <w:r>
        <w:rPr>
          <w:b/>
        </w:rPr>
        <w:t xml:space="preserve">Conexión.</w:t>
      </w:r>
      <w:r>
        <w:t xml:space="preserve"> Power BI Desktop se conecta a MySQL (</w:t>
      </w:r>
      <w:r>
        <w:rPr>
          <w:rStyle w:val="CodeChar"/>
        </w:rPr>
        <w:t xml:space="preserve">localhost</w:t>
      </w:r>
      <w:r>
        <w:t xml:space="preserve">, base </w:t>
      </w:r>
      <w:r>
        <w:rPr>
          <w:rStyle w:val="CodeChar"/>
        </w:rPr>
        <w:t xml:space="preserve">comercio_arg_uy</w:t>
      </w:r>
      <w:r>
        <w:t xml:space="preserve">) con el conector nativo, que requiere MySQL Connector/NET, en modo </w:t>
      </w:r>
      <w:r>
        <w:rPr>
          <w:b/>
        </w:rPr>
        <w:t xml:space="preserve">Importación</w:t>
      </w:r>
      <w:r>
        <w:t xml:space="preserve">. Se importan </w:t>
      </w:r>
      <w:r>
        <w:rPr>
          <w:rStyle w:val="CodeChar"/>
        </w:rPr>
        <w:t xml:space="preserve">fact_comercio</w:t>
      </w:r>
      <w:r>
        <w:t xml:space="preserve"> y </w:t>
      </w:r>
      <w:r>
        <w:rPr>
          <w:rStyle w:val="CodeChar"/>
        </w:rPr>
        <w:t xml:space="preserve">dim_socio</w:t>
      </w:r>
      <w:r>
        <w:t xml:space="preserve">, y los cálculos se hacen en DAX.</w:t>
      </w:r>
    </w:p>
    <w:p>
      <w:pPr/>
      <w:r>
        <w:rPr>
          <w:b/>
        </w:rPr>
        <w:t xml:space="preserve">Modelo.</w:t>
      </w:r>
      <w:r>
        <w:t xml:space="preserve"> Es un modelo estrella con una tabla calculada de años: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176"/>
        <w:gridCol w:w="1935"/>
        <w:gridCol w:w="1247"/>
      </w:tblGrid>
      <w:tr>
        <w:trPr>
          <w:tblHeader/>
        </w:trPr>
        <w:tc>
          <w:tcPr>
            <w:tcW w:w="6176" w:type="dxa"/>
            <w:shd w:val="clear" w:color="auto" w:fill="F2F2F2"/>
          </w:tcPr>
          <w:p>
            <w:pPr/>
            <w:r>
              <w:t xml:space="preserve">Relación</w:t>
            </w:r>
          </w:p>
        </w:tc>
        <w:tc>
          <w:tcPr>
            <w:tcW w:w="1935" w:type="dxa"/>
            <w:shd w:val="clear" w:color="auto" w:fill="F2F2F2"/>
          </w:tcPr>
          <w:p>
            <w:pPr/>
            <w:r>
              <w:t xml:space="preserve">Cardinalidad</w:t>
            </w:r>
          </w:p>
        </w:tc>
        <w:tc>
          <w:tcPr>
            <w:tcW w:w="1247" w:type="dxa"/>
            <w:shd w:val="clear" w:color="auto" w:fill="F2F2F2"/>
          </w:tcPr>
          <w:p>
            <w:pPr/>
            <w:r>
              <w:t xml:space="preserve">Filtro</w:t>
            </w:r>
          </w:p>
        </w:tc>
      </w:tr>
      <w:tr>
        <w:tc>
          <w:tcPr>
            <w:tcW w:w="6176" w:type="dxa"/>
          </w:tcPr>
          <w:p>
            <w:pPr/>
            <w:r>
              <w:rPr>
                <w:rStyle w:val="CodeChar"/>
              </w:rPr>
              <w:t xml:space="preserve">dim_socio[id_socio]</w:t>
            </w:r>
            <w:r>
              <w:t xml:space="preserve"> → </w:t>
            </w:r>
            <w:r>
              <w:rPr>
                <w:rStyle w:val="CodeChar"/>
              </w:rPr>
              <w:t xml:space="preserve">fact_comercio[id_socio]</w:t>
            </w:r>
          </w:p>
        </w:tc>
        <w:tc>
          <w:tcPr>
            <w:tcW w:w="1935" w:type="dxa"/>
          </w:tcPr>
          <w:p>
            <w:pPr/>
            <w:r>
              <w:t xml:space="preserve">1 a varios</w:t>
            </w:r>
          </w:p>
        </w:tc>
        <w:tc>
          <w:tcPr>
            <w:tcW w:w="1247" w:type="dxa"/>
          </w:tcPr>
          <w:p>
            <w:pPr/>
            <w:r>
              <w:t xml:space="preserve">Simple</w:t>
            </w:r>
          </w:p>
        </w:tc>
      </w:tr>
      <w:tr>
        <w:tc>
          <w:tcPr>
            <w:tcW w:w="6176" w:type="dxa"/>
          </w:tcPr>
          <w:p>
            <w:pPr/>
            <w:r>
              <w:rPr>
                <w:rStyle w:val="CodeChar"/>
              </w:rPr>
              <w:t xml:space="preserve">dim_anio[anio]</w:t>
            </w:r>
            <w:r>
              <w:t xml:space="preserve"> → </w:t>
            </w:r>
            <w:r>
              <w:rPr>
                <w:rStyle w:val="CodeChar"/>
              </w:rPr>
              <w:t xml:space="preserve">fact_comercio[anio]</w:t>
            </w:r>
          </w:p>
        </w:tc>
        <w:tc>
          <w:tcPr>
            <w:tcW w:w="1935" w:type="dxa"/>
          </w:tcPr>
          <w:p>
            <w:pPr/>
            <w:r>
              <w:t xml:space="preserve">1 a varios</w:t>
            </w:r>
          </w:p>
        </w:tc>
        <w:tc>
          <w:tcPr>
            <w:tcW w:w="1247" w:type="dxa"/>
          </w:tcPr>
          <w:p>
            <w:pPr/>
            <w:r>
              <w:t xml:space="preserve">Simple</w:t>
            </w:r>
          </w:p>
        </w:tc>
      </w:tr>
    </w:tbl>
    <w:p>
      <w:pPr/>
      <w:r>
        <w:rPr>
          <w:rStyle w:val="CodeChar"/>
        </w:rPr>
        <w:t xml:space="preserve">dim_anio</w:t>
      </w:r>
      <w:r>
        <w:t xml:space="preserve"> se genera con DAX (</w:t>
      </w:r>
      <w:r>
        <w:rPr>
          <w:rStyle w:val="CodeChar"/>
        </w:rPr>
        <w:t xml:space="preserve">GENERATESERIES</w:t>
      </w:r>
      <w:r>
        <w:t xml:space="preserve"> de 1993 a 2023) e incluye la columna </w:t>
      </w:r>
      <w:r>
        <w:rPr>
          <w:rStyle w:val="CodeChar"/>
        </w:rPr>
        <w:t xml:space="preserve">decada</w:t>
      </w:r>
      <w:r>
        <w:t xml:space="preserve">.</w:t>
      </w:r>
    </w:p>
    <w:p>
      <w:pPr/>
      <w:r>
        <w:rPr>
          <w:b/>
        </w:rPr>
        <w:t xml:space="preserve">Medidas DAX.</w:t>
      </w:r>
      <w:r>
        <w:t xml:space="preserve"> Las fórmulas completas están en el PDF de medidas DAX.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55"/>
        <w:gridCol w:w="5275"/>
        <w:gridCol w:w="1228"/>
      </w:tblGrid>
      <w:tr>
        <w:trPr>
          <w:tblHeader/>
        </w:trPr>
        <w:tc>
          <w:tcPr>
            <w:tcW w:w="2855" w:type="dxa"/>
            <w:shd w:val="clear" w:color="auto" w:fill="F2F2F2"/>
          </w:tcPr>
          <w:p>
            <w:pPr/>
            <w:r>
              <w:t xml:space="preserve">Medida</w:t>
            </w:r>
          </w:p>
        </w:tc>
        <w:tc>
          <w:tcPr>
            <w:tcW w:w="5275" w:type="dxa"/>
            <w:shd w:val="clear" w:color="auto" w:fill="F2F2F2"/>
          </w:tcPr>
          <w:p>
            <w:pPr/>
            <w:r>
              <w:t xml:space="preserve">Qué calcula</w:t>
            </w:r>
          </w:p>
        </w:tc>
        <w:tc>
          <w:tcPr>
            <w:tcW w:w="1228" w:type="dxa"/>
            <w:shd w:val="clear" w:color="auto" w:fill="F2F2F2"/>
          </w:tcPr>
          <w:p>
            <w:pPr/>
            <w:r>
              <w:t xml:space="preserve">Pregunta</w:t>
            </w:r>
          </w:p>
        </w:tc>
      </w:tr>
      <w:tr>
        <w:tc>
          <w:tcPr>
            <w:tcW w:w="2855" w:type="dxa"/>
          </w:tcPr>
          <w:p>
            <w:pPr/>
            <w:r>
              <w:t xml:space="preserve">Exportaciones (M US$)</w:t>
            </w:r>
          </w:p>
        </w:tc>
        <w:tc>
          <w:tcPr>
            <w:tcW w:w="5275" w:type="dxa"/>
          </w:tcPr>
          <w:p>
            <w:pPr/>
            <w:r>
              <w:t xml:space="preserve">Total exportado con el mundo, en millones</w:t>
            </w:r>
          </w:p>
        </w:tc>
        <w:tc>
          <w:tcPr>
            <w:tcW w:w="1228" w:type="dxa"/>
          </w:tcPr>
          <w:p>
            <w:pPr/>
            <w:r>
              <w:t xml:space="preserve">1</w:t>
            </w:r>
          </w:p>
        </w:tc>
      </w:tr>
      <w:tr>
        <w:tc>
          <w:tcPr>
            <w:tcW w:w="2855" w:type="dxa"/>
          </w:tcPr>
          <w:p>
            <w:pPr/>
            <w:r>
              <w:t xml:space="preserve">Importaciones (M US$)</w:t>
            </w:r>
          </w:p>
        </w:tc>
        <w:tc>
          <w:tcPr>
            <w:tcW w:w="5275" w:type="dxa"/>
          </w:tcPr>
          <w:p>
            <w:pPr/>
            <w:r>
              <w:t xml:space="preserve">Total importado con el mundo, en millones</w:t>
            </w:r>
          </w:p>
        </w:tc>
        <w:tc>
          <w:tcPr>
            <w:tcW w:w="1228" w:type="dxa"/>
          </w:tcPr>
          <w:p>
            <w:pPr/>
            <w:r>
              <w:t xml:space="preserve">1</w:t>
            </w:r>
          </w:p>
        </w:tc>
      </w:tr>
      <w:tr>
        <w:tc>
          <w:tcPr>
            <w:tcW w:w="2855" w:type="dxa"/>
          </w:tcPr>
          <w:p>
            <w:pPr/>
            <w:r>
              <w:t xml:space="preserve">Balanza (M US$)</w:t>
            </w:r>
          </w:p>
        </w:tc>
        <w:tc>
          <w:tcPr>
            <w:tcW w:w="5275" w:type="dxa"/>
          </w:tcPr>
          <w:p>
            <w:pPr/>
            <w:r>
              <w:t xml:space="preserve">Exportaciones − importaciones</w:t>
            </w:r>
          </w:p>
        </w:tc>
        <w:tc>
          <w:tcPr>
            <w:tcW w:w="1228" w:type="dxa"/>
          </w:tcPr>
          <w:p>
            <w:pPr/>
            <w:r>
              <w:t xml:space="preserve">2</w:t>
            </w:r>
          </w:p>
        </w:tc>
      </w:tr>
      <w:tr>
        <w:tc>
          <w:tcPr>
            <w:tcW w:w="2855" w:type="dxa"/>
          </w:tcPr>
          <w:p>
            <w:pPr/>
            <w:r>
              <w:t xml:space="preserve">Var % Exportaciones</w:t>
            </w:r>
          </w:p>
        </w:tc>
        <w:tc>
          <w:tcPr>
            <w:tcW w:w="5275" w:type="dxa"/>
          </w:tcPr>
          <w:p>
            <w:pPr/>
            <w:r>
              <w:t xml:space="preserve">Variación contra el año anterior</w:t>
            </w:r>
          </w:p>
        </w:tc>
        <w:tc>
          <w:tcPr>
            <w:tcW w:w="1228" w:type="dxa"/>
          </w:tcPr>
          <w:p>
            <w:pPr/>
            <w:r>
              <w:t xml:space="preserve">1</w:t>
            </w:r>
          </w:p>
        </w:tc>
      </w:tr>
      <w:tr>
        <w:tc>
          <w:tcPr>
            <w:tcW w:w="2855" w:type="dxa"/>
          </w:tcPr>
          <w:p>
            <w:pPr/>
            <w:r>
              <w:t xml:space="preserve">Var % Importaciones</w:t>
            </w:r>
          </w:p>
        </w:tc>
        <w:tc>
          <w:tcPr>
            <w:tcW w:w="5275" w:type="dxa"/>
          </w:tcPr>
          <w:p>
            <w:pPr/>
            <w:r>
              <w:t xml:space="preserve">Variación contra el año anterior</w:t>
            </w:r>
          </w:p>
        </w:tc>
        <w:tc>
          <w:tcPr>
            <w:tcW w:w="1228" w:type="dxa"/>
          </w:tcPr>
          <w:p>
            <w:pPr/>
            <w:r>
              <w:t xml:space="preserve">1</w:t>
            </w:r>
          </w:p>
        </w:tc>
      </w:tr>
      <w:tr>
        <w:tc>
          <w:tcPr>
            <w:tcW w:w="2855" w:type="dxa"/>
          </w:tcPr>
          <w:p>
            <w:pPr/>
            <w:r>
              <w:t xml:space="preserve">Participación %</w:t>
            </w:r>
          </w:p>
        </w:tc>
        <w:tc>
          <w:tcPr>
            <w:tcW w:w="5275" w:type="dxa"/>
          </w:tcPr>
          <w:p>
            <w:pPr/>
            <w:r>
              <w:t xml:space="preserve">Monto del socio ÷ total del país</w:t>
            </w:r>
          </w:p>
        </w:tc>
        <w:tc>
          <w:tcPr>
            <w:tcW w:w="1228" w:type="dxa"/>
          </w:tcPr>
          <w:p>
            <w:pPr/>
            <w:r>
              <w:t xml:space="preserve">3</w:t>
            </w:r>
          </w:p>
        </w:tc>
      </w:tr>
      <w:tr>
        <w:tc>
          <w:tcPr>
            <w:tcW w:w="2855" w:type="dxa"/>
          </w:tcPr>
          <w:p>
            <w:pPr/>
            <w:r>
              <w:t xml:space="preserve">HHI</w:t>
            </w:r>
          </w:p>
        </w:tc>
        <w:tc>
          <w:tcPr>
            <w:tcW w:w="5275" w:type="dxa"/>
          </w:tcPr>
          <w:p>
            <w:pPr/>
            <w:r>
              <w:t xml:space="preserve">Suma de los cuadrados de la participación de cada país socio</w:t>
            </w:r>
          </w:p>
        </w:tc>
        <w:tc>
          <w:tcPr>
            <w:tcW w:w="1228" w:type="dxa"/>
          </w:tcPr>
          <w:p>
            <w:pPr/>
            <w:r>
              <w:t xml:space="preserve">4</w:t>
            </w:r>
          </w:p>
        </w:tc>
      </w:tr>
    </w:tbl>
    <w:p>
      <w:pPr/>
      <w:r>
        <w:t xml:space="preserve">Las medidas de montos usan el socio </w:t>
      </w:r>
      <w:r>
        <w:rPr>
          <w:i/>
        </w:rPr>
        <w:t xml:space="preserve">Total</w:t>
      </w:r>
      <w:r>
        <w:t xml:space="preserve"> (World), así no se suman regiones y países dos veces. </w:t>
      </w:r>
      <w:r>
        <w:rPr>
          <w:rStyle w:val="CodeChar"/>
        </w:rPr>
        <w:t xml:space="preserve">Participación %</w:t>
      </w:r>
      <w:r>
        <w:t xml:space="preserve"> y </w:t>
      </w:r>
      <w:r>
        <w:rPr>
          <w:rStyle w:val="CodeChar"/>
        </w:rPr>
        <w:t xml:space="preserve">HHI</w:t>
      </w:r>
      <w:r>
        <w:t xml:space="preserve"> necesitan un solo flujo filtrado.</w:t>
      </w:r>
    </w:p>
    <w:p>
      <w:pPr/>
      <w:r>
        <w:rPr>
          <w:b/>
        </w:rPr>
        <w:t xml:space="preserve">Dashboard.</w:t>
      </w:r>
      <w:r>
        <w:t xml:space="preserve"> Se organiza en dos columnas, Argentina a la izquierda y Uruguay a la derecha, con dos segmentadores de selección única: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50"/>
        <w:gridCol w:w="1308"/>
        <w:gridCol w:w="1691"/>
        <w:gridCol w:w="1710"/>
      </w:tblGrid>
      <w:tr>
        <w:trPr>
          <w:tblHeader/>
        </w:trPr>
        <w:tc>
          <w:tcPr>
            <w:tcW w:w="4650" w:type="dxa"/>
            <w:shd w:val="clear" w:color="auto" w:fill="F2F2F2"/>
          </w:tcPr>
          <w:p>
            <w:pPr/>
            <w:r>
              <w:t xml:space="preserve">Visual</w:t>
            </w:r>
          </w:p>
        </w:tc>
        <w:tc>
          <w:tcPr>
            <w:tcW w:w="1308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691" w:type="dxa"/>
            <w:shd w:val="clear" w:color="auto" w:fill="F2F2F2"/>
          </w:tcPr>
          <w:p>
            <w:pPr/>
            <w:r>
              <w:t xml:space="preserve">Segmentador de año</w:t>
            </w:r>
          </w:p>
        </w:tc>
        <w:tc>
          <w:tcPr>
            <w:tcW w:w="1710" w:type="dxa"/>
            <w:shd w:val="clear" w:color="auto" w:fill="F2F2F2"/>
          </w:tcPr>
          <w:p>
            <w:pPr/>
            <w:r>
              <w:t xml:space="preserve">Segmentador de flujo</w:t>
            </w:r>
          </w:p>
        </w:tc>
      </w:tr>
      <w:tr>
        <w:tc>
          <w:tcPr>
            <w:tcW w:w="4650" w:type="dxa"/>
          </w:tcPr>
          <w:p>
            <w:pPr/>
            <w:r>
              <w:t xml:space="preserve">Tarjetas: exportaciones, importaciones y balanza por país</w:t>
            </w:r>
          </w:p>
        </w:tc>
        <w:tc>
          <w:tcPr>
            <w:tcW w:w="1308" w:type="dxa"/>
          </w:tcPr>
          <w:p>
            <w:pPr/>
            <w:r>
              <w:t xml:space="preserve">Tarjeta</w:t>
            </w:r>
          </w:p>
        </w:tc>
        <w:tc>
          <w:tcPr>
            <w:tcW w:w="1691" w:type="dxa"/>
          </w:tcPr>
          <w:p>
            <w:pPr/>
            <w:r>
              <w:t xml:space="preserve">Conectado</w:t>
            </w:r>
          </w:p>
        </w:tc>
        <w:tc>
          <w:tcPr>
            <w:tcW w:w="1710" w:type="dxa"/>
          </w:tcPr>
          <w:p>
            <w:pPr/>
            <w:r>
              <w:t xml:space="preserve">Desconectado</w:t>
            </w:r>
          </w:p>
        </w:tc>
      </w:tr>
      <w:tr>
        <w:tc>
          <w:tcPr>
            <w:tcW w:w="4650" w:type="dxa"/>
          </w:tcPr>
          <w:p>
            <w:pPr/>
            <w:r>
              <w:t xml:space="preserve">Exportaciones e importaciones por año</w:t>
            </w:r>
          </w:p>
        </w:tc>
        <w:tc>
          <w:tcPr>
            <w:tcW w:w="1308" w:type="dxa"/>
          </w:tcPr>
          <w:p>
            <w:pPr/>
            <w:r>
              <w:t xml:space="preserve">Líneas</w:t>
            </w:r>
          </w:p>
        </w:tc>
        <w:tc>
          <w:tcPr>
            <w:tcW w:w="1691" w:type="dxa"/>
          </w:tcPr>
          <w:p>
            <w:pPr/>
            <w:r>
              <w:t xml:space="preserve">Desconectado</w:t>
            </w:r>
          </w:p>
        </w:tc>
        <w:tc>
          <w:tcPr>
            <w:tcW w:w="1710" w:type="dxa"/>
          </w:tcPr>
          <w:p>
            <w:pPr/>
            <w:r>
              <w:t xml:space="preserve">Desconectado</w:t>
            </w:r>
          </w:p>
        </w:tc>
      </w:tr>
      <w:tr>
        <w:tc>
          <w:tcPr>
            <w:tcW w:w="4650" w:type="dxa"/>
          </w:tcPr>
          <w:p>
            <w:pPr/>
            <w:r>
              <w:t xml:space="preserve">Balanza comercial por país (verde superávit, rojo déficit)</w:t>
            </w:r>
          </w:p>
        </w:tc>
        <w:tc>
          <w:tcPr>
            <w:tcW w:w="1308" w:type="dxa"/>
          </w:tcPr>
          <w:p>
            <w:pPr/>
            <w:r>
              <w:t xml:space="preserve">Columnas</w:t>
            </w:r>
          </w:p>
        </w:tc>
        <w:tc>
          <w:tcPr>
            <w:tcW w:w="1691" w:type="dxa"/>
          </w:tcPr>
          <w:p>
            <w:pPr/>
            <w:r>
              <w:t xml:space="preserve">Desconectado</w:t>
            </w:r>
          </w:p>
        </w:tc>
        <w:tc>
          <w:tcPr>
            <w:tcW w:w="1710" w:type="dxa"/>
          </w:tcPr>
          <w:p>
            <w:pPr/>
            <w:r>
              <w:t xml:space="preserve">Desconectado</w:t>
            </w:r>
          </w:p>
        </w:tc>
      </w:tr>
      <w:tr>
        <w:tc>
          <w:tcPr>
            <w:tcW w:w="4650" w:type="dxa"/>
          </w:tcPr>
          <w:p>
            <w:pPr/>
            <w:r>
              <w:t xml:space="preserve">Top 5 socios por país</w:t>
            </w:r>
          </w:p>
        </w:tc>
        <w:tc>
          <w:tcPr>
            <w:tcW w:w="1308" w:type="dxa"/>
          </w:tcPr>
          <w:p>
            <w:pPr/>
            <w:r>
              <w:t xml:space="preserve">Barras, filtro </w:t>
            </w:r>
            <w:r>
              <w:rPr>
                <w:i/>
              </w:rPr>
              <w:t xml:space="preserve">N superior</w:t>
            </w:r>
          </w:p>
        </w:tc>
        <w:tc>
          <w:tcPr>
            <w:tcW w:w="1691" w:type="dxa"/>
          </w:tcPr>
          <w:p>
            <w:pPr/>
            <w:r>
              <w:t xml:space="preserve">Conectado</w:t>
            </w:r>
          </w:p>
        </w:tc>
        <w:tc>
          <w:tcPr>
            <w:tcW w:w="1710" w:type="dxa"/>
          </w:tcPr>
          <w:p>
            <w:pPr/>
            <w:r>
              <w:t xml:space="preserve">Conectado</w:t>
            </w:r>
          </w:p>
        </w:tc>
      </w:tr>
      <w:tr>
        <w:tc>
          <w:tcPr>
            <w:tcW w:w="4650" w:type="dxa"/>
          </w:tcPr>
          <w:p>
            <w:pPr/>
            <w:r>
              <w:t xml:space="preserve">Concentración del comercio (HHI), línea de referencia en 1.500</w:t>
            </w:r>
          </w:p>
        </w:tc>
        <w:tc>
          <w:tcPr>
            <w:tcW w:w="1308" w:type="dxa"/>
          </w:tcPr>
          <w:p>
            <w:pPr/>
            <w:r>
              <w:t xml:space="preserve">Líneas</w:t>
            </w:r>
          </w:p>
        </w:tc>
        <w:tc>
          <w:tcPr>
            <w:tcW w:w="1691" w:type="dxa"/>
          </w:tcPr>
          <w:p>
            <w:pPr/>
            <w:r>
              <w:t xml:space="preserve">Desconectado</w:t>
            </w:r>
          </w:p>
        </w:tc>
        <w:tc>
          <w:tcPr>
            <w:tcW w:w="1710" w:type="dxa"/>
          </w:tcPr>
          <w:p>
            <w:pPr/>
            <w:r>
              <w:t xml:space="preserve">Conectado</w:t>
            </w:r>
          </w:p>
        </w:tc>
      </w:tr>
    </w:tbl>
    <w:p>
      <w:pPr/>
      <w:r>
        <w:t xml:space="preserve">Cada país tiene su propio gráfico, filtrado a nivel de objeto visual, porque el comercio argentino es unas 10 veces mayor que el uruguayo y en un mismo eje Uruguay no se vería. El HHI sí comparte gráfico, porque es un índice con la misma escala para ambos. Las interacciones se configuraron con </w:t>
      </w:r>
      <w:r>
        <w:rPr>
          <w:b/>
        </w:rPr>
        <w:t xml:space="preserve">Editar interacciones</w:t>
      </w:r>
      <w:r>
        <w:t xml:space="preserve">: los gráficos que muestran toda la serie de años ignoran el segmentador de año, y las medidas de montos ya fijan su flujo dentro de la fórmula.</w:t>
      </w:r>
    </w:p>
    <w:p>
      <w:pPr>
        <w:pStyle w:val="Heading2"/>
      </w:pPr>
      <w:r>
        <w:t xml:space="preserve">8. Problemas encontrados y soluciones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78"/>
        <w:gridCol w:w="4039"/>
        <w:gridCol w:w="4043"/>
      </w:tblGrid>
      <w:tr>
        <w:trPr>
          <w:tblHeader/>
        </w:trPr>
        <w:tc>
          <w:tcPr>
            <w:tcW w:w="1278" w:type="dxa"/>
            <w:shd w:val="clear" w:color="auto" w:fill="F2F2F2"/>
          </w:tcPr>
          <w:p>
            <w:pPr/>
            <w:r>
              <w:t xml:space="preserve">Etapa</w:t>
            </w:r>
          </w:p>
        </w:tc>
        <w:tc>
          <w:tcPr>
            <w:tcW w:w="4039" w:type="dxa"/>
            <w:shd w:val="clear" w:color="auto" w:fill="F2F2F2"/>
          </w:tcPr>
          <w:p>
            <w:pPr/>
            <w:r>
              <w:t xml:space="preserve">Problema</w:t>
            </w:r>
          </w:p>
        </w:tc>
        <w:tc>
          <w:tcPr>
            <w:tcW w:w="4043" w:type="dxa"/>
            <w:shd w:val="clear" w:color="auto" w:fill="F2F2F2"/>
          </w:tcPr>
          <w:p>
            <w:pPr/>
            <w:r>
              <w:t xml:space="preserve">Solución</w:t>
            </w:r>
          </w:p>
        </w:tc>
      </w:tr>
      <w:tr>
        <w:tc>
          <w:tcPr>
            <w:tcW w:w="1278" w:type="dxa"/>
          </w:tcPr>
          <w:p>
            <w:pPr/>
            <w:r>
              <w:t xml:space="preserve">Datos</w:t>
            </w:r>
          </w:p>
        </w:tc>
        <w:tc>
          <w:tcPr>
            <w:tcW w:w="4039" w:type="dxa"/>
          </w:tcPr>
          <w:p>
            <w:pPr/>
            <w:r>
              <w:t xml:space="preserve">Argentina solo tenía montos para 2019–2023</w:t>
            </w:r>
          </w:p>
        </w:tc>
        <w:tc>
          <w:tcPr>
            <w:tcW w:w="4043" w:type="dxa"/>
          </w:tcPr>
          <w:p>
            <w:pPr/>
            <w:r>
              <w:t xml:space="preserve">Nueva descarga 1993–2023, validada contra la anterior</w:t>
            </w:r>
          </w:p>
        </w:tc>
      </w:tr>
      <w:tr>
        <w:tc>
          <w:tcPr>
            <w:tcW w:w="1278" w:type="dxa"/>
          </w:tcPr>
          <w:p>
            <w:pPr/>
            <w:r>
              <w:t xml:space="preserve">Datos</w:t>
            </w:r>
          </w:p>
        </w:tc>
        <w:tc>
          <w:tcPr>
            <w:tcW w:w="4039" w:type="dxa"/>
          </w:tcPr>
          <w:p>
            <w:pPr/>
            <w:r>
              <w:t xml:space="preserve">Descarga difícil de reproducir</w:t>
            </w:r>
          </w:p>
        </w:tc>
        <w:tc>
          <w:tcPr>
            <w:tcW w:w="4043" w:type="dxa"/>
          </w:tcPr>
          <w:p>
            <w:pPr/>
            <w:r>
              <w:t xml:space="preserve">Se documentó el patrón de direcciones de WITS</w:t>
            </w:r>
          </w:p>
        </w:tc>
      </w:tr>
      <w:tr>
        <w:tc>
          <w:tcPr>
            <w:tcW w:w="1278" w:type="dxa"/>
          </w:tcPr>
          <w:p>
            <w:pPr/>
            <w:r>
              <w:t xml:space="preserve">Python</w:t>
            </w:r>
          </w:p>
        </w:tc>
        <w:tc>
          <w:tcPr>
            <w:tcW w:w="4039" w:type="dxa"/>
          </w:tcPr>
          <w:p>
            <w:pPr/>
            <w:r>
              <w:t xml:space="preserve">Formato ancho, una columna por año</w:t>
            </w:r>
          </w:p>
        </w:tc>
        <w:tc>
          <w:tcPr>
            <w:tcW w:w="4043" w:type="dxa"/>
          </w:tcPr>
          <w:p>
            <w:pPr/>
            <w:r>
              <w:rPr>
                <w:rStyle w:val="CodeChar"/>
              </w:rPr>
              <w:t xml:space="preserve">melt</w:t>
            </w:r>
            <w:r>
              <w:t xml:space="preserve"> a formato largo</w:t>
            </w:r>
          </w:p>
        </w:tc>
      </w:tr>
      <w:tr>
        <w:tc>
          <w:tcPr>
            <w:tcW w:w="1278" w:type="dxa"/>
          </w:tcPr>
          <w:p>
            <w:pPr/>
            <w:r>
              <w:t xml:space="preserve">Python</w:t>
            </w:r>
          </w:p>
        </w:tc>
        <w:tc>
          <w:tcPr>
            <w:tcW w:w="4039" w:type="dxa"/>
          </w:tcPr>
          <w:p>
            <w:pPr/>
            <w:r>
              <w:t xml:space="preserve">Espacios al inicio de los textos</w:t>
            </w:r>
          </w:p>
        </w:tc>
        <w:tc>
          <w:tcPr>
            <w:tcW w:w="4043" w:type="dxa"/>
          </w:tcPr>
          <w:p>
            <w:pPr/>
            <w:r>
              <w:rPr>
                <w:rStyle w:val="CodeChar"/>
              </w:rPr>
              <w:t xml:space="preserve">strip()</w:t>
            </w:r>
          </w:p>
        </w:tc>
      </w:tr>
      <w:tr>
        <w:tc>
          <w:tcPr>
            <w:tcW w:w="1278" w:type="dxa"/>
          </w:tcPr>
          <w:p>
            <w:pPr/>
            <w:r>
              <w:t xml:space="preserve">Python</w:t>
            </w:r>
          </w:p>
        </w:tc>
        <w:tc>
          <w:tcPr>
            <w:tcW w:w="4039" w:type="dxa"/>
          </w:tcPr>
          <w:p>
            <w:pPr/>
            <w:r>
              <w:t xml:space="preserve">Fila suelta sin país</w:t>
            </w:r>
          </w:p>
        </w:tc>
        <w:tc>
          <w:tcPr>
            <w:tcW w:w="4043" w:type="dxa"/>
          </w:tcPr>
          <w:p>
            <w:pPr/>
            <w:r>
              <w:t xml:space="preserve">Se eliminan filas sin país informante</w:t>
            </w:r>
          </w:p>
        </w:tc>
      </w:tr>
      <w:tr>
        <w:tc>
          <w:tcPr>
            <w:tcW w:w="1278" w:type="dxa"/>
          </w:tcPr>
          <w:p>
            <w:pPr/>
            <w:r>
              <w:t xml:space="preserve">Python</w:t>
            </w:r>
          </w:p>
        </w:tc>
        <w:tc>
          <w:tcPr>
            <w:tcW w:w="4039" w:type="dxa"/>
          </w:tcPr>
          <w:p>
            <w:pPr/>
            <w:r>
              <w:t xml:space="preserve">El nombre de la hoja cambia según la descarga</w:t>
            </w:r>
          </w:p>
        </w:tc>
        <w:tc>
          <w:tcPr>
            <w:tcW w:w="4043" w:type="dxa"/>
          </w:tcPr>
          <w:p>
            <w:pPr/>
            <w:r>
              <w:t xml:space="preserve">La hoja se busca por su contenido</w:t>
            </w:r>
          </w:p>
        </w:tc>
      </w:tr>
      <w:tr>
        <w:tc>
          <w:tcPr>
            <w:tcW w:w="1278" w:type="dxa"/>
          </w:tcPr>
          <w:p>
            <w:pPr/>
            <w:r>
              <w:t xml:space="preserve">Python</w:t>
            </w:r>
          </w:p>
        </w:tc>
        <w:tc>
          <w:tcPr>
            <w:tcW w:w="4039" w:type="dxa"/>
          </w:tcPr>
          <w:p>
            <w:pPr/>
            <w:r>
              <w:t xml:space="preserve">Países mezclados con regiones y totales</w:t>
            </w:r>
          </w:p>
        </w:tc>
        <w:tc>
          <w:tcPr>
            <w:tcW w:w="4043" w:type="dxa"/>
          </w:tcPr>
          <w:p>
            <w:pPr/>
            <w:r>
              <w:t xml:space="preserve">Columna </w:t>
            </w:r>
            <w:r>
              <w:rPr>
                <w:rStyle w:val="CodeChar"/>
              </w:rPr>
              <w:t xml:space="preserve">tipo_socio</w:t>
            </w:r>
          </w:p>
        </w:tc>
      </w:tr>
      <w:tr>
        <w:tc>
          <w:tcPr>
            <w:tcW w:w="1278" w:type="dxa"/>
          </w:tcPr>
          <w:p>
            <w:pPr/>
            <w:r>
              <w:t xml:space="preserve">Ejecución</w:t>
            </w:r>
          </w:p>
        </w:tc>
        <w:tc>
          <w:tcPr>
            <w:tcW w:w="4039" w:type="dxa"/>
          </w:tcPr>
          <w:p>
            <w:pPr/>
            <w:r>
              <w:t xml:space="preserve">Colab pedía acceso a Google Drive</w:t>
            </w:r>
          </w:p>
        </w:tc>
        <w:tc>
          <w:tcPr>
            <w:tcW w:w="4043" w:type="dxa"/>
          </w:tcPr>
          <w:p>
            <w:pPr/>
            <w:r>
              <w:t xml:space="preserve">Botón de carga propio; finalmente Jupyter local</w:t>
            </w:r>
          </w:p>
        </w:tc>
      </w:tr>
      <w:tr>
        <w:tc>
          <w:tcPr>
            <w:tcW w:w="1278" w:type="dxa"/>
          </w:tcPr>
          <w:p>
            <w:pPr/>
            <w:r>
              <w:t xml:space="preserve">Ejecución</w:t>
            </w:r>
          </w:p>
        </w:tc>
        <w:tc>
          <w:tcPr>
            <w:tcW w:w="4039" w:type="dxa"/>
          </w:tcPr>
          <w:p>
            <w:pPr/>
            <w:r>
              <w:t xml:space="preserve">Archivos en otro disco (</w:t>
            </w:r>
            <w:r>
              <w:rPr>
                <w:rStyle w:val="CodeChar"/>
              </w:rPr>
              <w:t xml:space="preserve">No objects to concatenate</w:t>
            </w:r>
            <w:r>
              <w:t xml:space="preserve">)</w:t>
            </w:r>
          </w:p>
        </w:tc>
        <w:tc>
          <w:tcPr>
            <w:tcW w:w="4043" w:type="dxa"/>
          </w:tcPr>
          <w:p>
            <w:pPr/>
            <w:r>
              <w:t xml:space="preserve">El notebook muestra la carpeta de trabajo y se detiene con un mensaje claro</w:t>
            </w:r>
          </w:p>
        </w:tc>
      </w:tr>
      <w:tr>
        <w:tc>
          <w:tcPr>
            <w:tcW w:w="1278" w:type="dxa"/>
          </w:tcPr>
          <w:p>
            <w:pPr/>
            <w:r>
              <w:t xml:space="preserve">MySQL</w:t>
            </w:r>
          </w:p>
        </w:tc>
        <w:tc>
          <w:tcPr>
            <w:tcW w:w="4039" w:type="dxa"/>
          </w:tcPr>
          <w:p>
            <w:pPr/>
            <w:r>
              <w:t xml:space="preserve">Script de carga con miles de </w:t>
            </w:r>
            <w:r>
              <w:rPr>
                <w:rStyle w:val="CodeChar"/>
              </w:rPr>
              <w:t xml:space="preserve">INSERT</w:t>
            </w:r>
            <w:r>
              <w:t xml:space="preserve">, poco trazable</w:t>
            </w:r>
          </w:p>
        </w:tc>
        <w:tc>
          <w:tcPr>
            <w:tcW w:w="4043" w:type="dxa"/>
          </w:tcPr>
          <w:p>
            <w:pPr/>
            <w:r>
              <w:t xml:space="preserve">Exportación a CSV y carga con </w:t>
            </w:r>
            <w:r>
              <w:rPr>
                <w:rStyle w:val="CodeChar"/>
              </w:rPr>
              <w:t xml:space="preserve">LOAD DATA</w:t>
            </w:r>
          </w:p>
        </w:tc>
      </w:tr>
      <w:tr>
        <w:tc>
          <w:tcPr>
            <w:tcW w:w="1278" w:type="dxa"/>
          </w:tcPr>
          <w:p>
            <w:pPr/>
            <w:r>
              <w:t xml:space="preserve">MySQL</w:t>
            </w:r>
          </w:p>
        </w:tc>
        <w:tc>
          <w:tcPr>
            <w:tcW w:w="4039" w:type="dxa"/>
          </w:tcPr>
          <w:p>
            <w:pPr/>
            <w:r>
              <w:t xml:space="preserve">Celdas vacías guardadas como 0</w:t>
            </w:r>
          </w:p>
        </w:tc>
        <w:tc>
          <w:tcPr>
            <w:tcW w:w="4043" w:type="dxa"/>
          </w:tcPr>
          <w:p>
            <w:pPr/>
            <w:r>
              <w:rPr>
                <w:rStyle w:val="CodeChar"/>
              </w:rPr>
              <w:t xml:space="preserve">NULLIF(@valor, '')</w:t>
            </w:r>
          </w:p>
        </w:tc>
      </w:tr>
      <w:tr>
        <w:tc>
          <w:tcPr>
            <w:tcW w:w="1278" w:type="dxa"/>
          </w:tcPr>
          <w:p>
            <w:pPr/>
            <w:r>
              <w:t xml:space="preserve">MySQL</w:t>
            </w:r>
          </w:p>
        </w:tc>
        <w:tc>
          <w:tcPr>
            <w:tcW w:w="4039" w:type="dxa"/>
          </w:tcPr>
          <w:p>
            <w:pPr/>
            <w:r>
              <w:t xml:space="preserve">Acentos, apóstrofos y comas en los nombres</w:t>
            </w:r>
          </w:p>
        </w:tc>
        <w:tc>
          <w:tcPr>
            <w:tcW w:w="4043" w:type="dxa"/>
          </w:tcPr>
          <w:p>
            <w:pPr/>
            <w:r>
              <w:rPr>
                <w:rStyle w:val="CodeChar"/>
              </w:rPr>
              <w:t xml:space="preserve">utf8mb4</w:t>
            </w:r>
            <w:r>
              <w:t xml:space="preserve">, </w:t>
            </w:r>
            <w:r>
              <w:rPr>
                <w:rStyle w:val="CodeChar"/>
              </w:rPr>
              <w:t xml:space="preserve">OPTIONALLY ENCLOSED BY</w:t>
            </w:r>
          </w:p>
        </w:tc>
      </w:tr>
      <w:tr>
        <w:tc>
          <w:tcPr>
            <w:tcW w:w="1278" w:type="dxa"/>
          </w:tcPr>
          <w:p>
            <w:pPr/>
            <w:r>
              <w:t xml:space="preserve">MySQL</w:t>
            </w:r>
          </w:p>
        </w:tc>
        <w:tc>
          <w:tcPr>
            <w:tcW w:w="4039" w:type="dxa"/>
          </w:tcPr>
          <w:p>
            <w:pPr/>
            <w:r>
              <w:t xml:space="preserve">Error 2068: lectura de archivos locales bloqueada</w:t>
            </w:r>
          </w:p>
        </w:tc>
        <w:tc>
          <w:tcPr>
            <w:tcW w:w="4043" w:type="dxa"/>
          </w:tcPr>
          <w:p>
            <w:pPr/>
            <w:r>
              <w:rPr>
                <w:rStyle w:val="CodeChar"/>
              </w:rPr>
              <w:t xml:space="preserve">OPT_LOCAL_INFILE=1</w:t>
            </w:r>
            <w:r>
              <w:t xml:space="preserve"> en la conexión y </w:t>
            </w:r>
            <w:r>
              <w:rPr>
                <w:rStyle w:val="CodeChar"/>
              </w:rPr>
              <w:t xml:space="preserve">local_infile = 1</w:t>
            </w:r>
            <w:r>
              <w:t xml:space="preserve"> en el servidor</w:t>
            </w:r>
          </w:p>
        </w:tc>
      </w:tr>
      <w:tr>
        <w:tc>
          <w:tcPr>
            <w:tcW w:w="1278" w:type="dxa"/>
          </w:tcPr>
          <w:p>
            <w:pPr/>
            <w:r>
              <w:t xml:space="preserve">MySQL</w:t>
            </w:r>
          </w:p>
        </w:tc>
        <w:tc>
          <w:tcPr>
            <w:tcW w:w="4039" w:type="dxa"/>
          </w:tcPr>
          <w:p>
            <w:pPr/>
            <w:r>
              <w:t xml:space="preserve">Rutas de Windows con </w:t>
            </w:r>
            <w:r>
              <w:rPr>
                <w:rStyle w:val="CodeChar"/>
              </w:rPr>
              <w:t xml:space="preserve">\</w:t>
            </w:r>
            <w:r>
              <w:t xml:space="preserve"> mal interpretadas</w:t>
            </w:r>
          </w:p>
        </w:tc>
        <w:tc>
          <w:tcPr>
            <w:tcW w:w="4043" w:type="dxa"/>
          </w:tcPr>
          <w:p>
            <w:pPr/>
            <w:r>
              <w:t xml:space="preserve">Rutas con </w:t>
            </w:r>
            <w:r>
              <w:rPr>
                <w:rStyle w:val="CodeChar"/>
              </w:rPr>
              <w:t xml:space="preserve">/</w:t>
            </w:r>
          </w:p>
        </w:tc>
      </w:tr>
      <w:tr>
        <w:tc>
          <w:tcPr>
            <w:tcW w:w="1278" w:type="dxa"/>
          </w:tcPr>
          <w:p>
            <w:pPr/>
            <w:r>
              <w:t xml:space="preserve">MySQL</w:t>
            </w:r>
          </w:p>
        </w:tc>
        <w:tc>
          <w:tcPr>
            <w:tcW w:w="4039" w:type="dxa"/>
          </w:tcPr>
          <w:p>
            <w:pPr/>
            <w:r>
              <w:t xml:space="preserve">Error 1175: modo seguro de Workbench</w:t>
            </w:r>
          </w:p>
        </w:tc>
        <w:tc>
          <w:tcPr>
            <w:tcW w:w="4043" w:type="dxa"/>
          </w:tcPr>
          <w:p>
            <w:pPr/>
            <w:r>
              <w:rPr>
                <w:rStyle w:val="CodeChar"/>
              </w:rPr>
              <w:t xml:space="preserve">SET SQL_SAFE_UPDATES = 0</w:t>
            </w:r>
            <w:r>
              <w:t xml:space="preserve"> solo durante la carga</w:t>
            </w:r>
          </w:p>
        </w:tc>
      </w:tr>
      <w:tr>
        <w:tc>
          <w:tcPr>
            <w:tcW w:w="1278" w:type="dxa"/>
          </w:tcPr>
          <w:p>
            <w:pPr/>
            <w:r>
              <w:t xml:space="preserve">Power BI</w:t>
            </w:r>
          </w:p>
        </w:tc>
        <w:tc>
          <w:tcPr>
            <w:tcW w:w="4039" w:type="dxa"/>
          </w:tcPr>
          <w:p>
            <w:pPr/>
            <w:r>
              <w:t xml:space="preserve">Faltaba el conector de MySQL</w:t>
            </w:r>
          </w:p>
        </w:tc>
        <w:tc>
          <w:tcPr>
            <w:tcW w:w="4043" w:type="dxa"/>
          </w:tcPr>
          <w:p>
            <w:pPr/>
            <w:r>
              <w:t xml:space="preserve">Instalación de MySQL Connector/NET</w:t>
            </w:r>
          </w:p>
        </w:tc>
      </w:tr>
      <w:tr>
        <w:tc>
          <w:tcPr>
            <w:tcW w:w="1278" w:type="dxa"/>
          </w:tcPr>
          <w:p>
            <w:pPr/>
            <w:r>
              <w:t xml:space="preserve">Power BI</w:t>
            </w:r>
          </w:p>
        </w:tc>
        <w:tc>
          <w:tcPr>
            <w:tcW w:w="4039" w:type="dxa"/>
          </w:tcPr>
          <w:p>
            <w:pPr/>
            <w:r>
              <w:t xml:space="preserve">Escalas muy distintas entre países</w:t>
            </w:r>
          </w:p>
        </w:tc>
        <w:tc>
          <w:tcPr>
            <w:tcW w:w="4043" w:type="dxa"/>
          </w:tcPr>
          <w:p>
            <w:pPr/>
            <w:r>
              <w:t xml:space="preserve">Un gráfico por país, filtrado a nivel de objeto visual</w:t>
            </w:r>
          </w:p>
        </w:tc>
      </w:tr>
    </w:tbl>
    <w:p>
      <w:pPr/>
      <w:r>
        <w:t xml:space="preserve">El detalle de cada caso está en el documento </w:t>
      </w:r>
      <w:r>
        <w:rPr>
          <w:i/>
        </w:rPr>
        <w:t xml:space="preserve">Problemas encontrados y soluciones aplicadas</w:t>
      </w:r>
      <w:r>
        <w:t xml:space="preserve">.</w:t>
      </w:r>
    </w:p>
    <w:p>
      <w:pPr>
        <w:pStyle w:val="Heading2"/>
      </w:pPr>
      <w:r>
        <w:t xml:space="preserve">9. Reproducibilidad</w:t>
      </w:r>
    </w:p>
    <w:p>
      <w:pPr/>
      <w:r>
        <w:t xml:space="preserve">Todo el proceso se puede repetir desde cero con los archivos entregados, en este orden:</w:t>
      </w:r>
    </w:p>
    <w:p>
      <w:pPr>
        <w:pStyle w:val="ListParagraph"/>
        <w:numPr>
          <w:ilvl w:val="0"/>
          <w:numId w:val="6"/>
        </w:numPr>
      </w:pPr>
      <w:r>
        <w:t xml:space="preserve">Descargar los 8 Excel de WITS (sección 3).</w:t>
      </w:r>
    </w:p>
    <w:p>
      <w:pPr>
        <w:pStyle w:val="ListParagraph"/>
        <w:numPr>
          <w:ilvl w:val="0"/>
          <w:numId w:val="6"/>
        </w:numPr>
      </w:pPr>
      <w:r>
        <w:t xml:space="preserve">Ejecutar </w:t>
      </w:r>
      <w:r>
        <w:rPr>
          <w:rStyle w:val="CodeChar"/>
        </w:rPr>
        <w:t xml:space="preserve">01_carga_y_limpieza.ipynb</w:t>
      </w:r>
      <w:r>
        <w:t xml:space="preserve"> con los Excel en la misma carpeta. Genera </w:t>
      </w:r>
      <w:r>
        <w:rPr>
          <w:rStyle w:val="CodeChar"/>
        </w:rPr>
        <w:t xml:space="preserve">dim_socio.csv</w:t>
      </w:r>
      <w:r>
        <w:t xml:space="preserve"> y </w:t>
      </w:r>
      <w:r>
        <w:rPr>
          <w:rStyle w:val="CodeChar"/>
        </w:rPr>
        <w:t xml:space="preserve">fact_comercio.csv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En MySQL Workbench, ejecutar </w:t>
      </w:r>
      <w:r>
        <w:rPr>
          <w:rStyle w:val="CodeChar"/>
        </w:rPr>
        <w:t xml:space="preserve">ddl.sql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Ejecutar </w:t>
      </w:r>
      <w:r>
        <w:rPr>
          <w:rStyle w:val="CodeChar"/>
        </w:rPr>
        <w:t xml:space="preserve">carga.sql</w:t>
      </w:r>
      <w:r>
        <w:t xml:space="preserve">, con la ruta de los CSV ajustada. Debe informar 247 y 19.551 filas.</w:t>
      </w:r>
    </w:p>
    <w:p>
      <w:pPr>
        <w:pStyle w:val="ListParagraph"/>
        <w:numPr>
          <w:ilvl w:val="0"/>
          <w:numId w:val="6"/>
        </w:numPr>
      </w:pPr>
      <w:r>
        <w:t xml:space="preserve">Ejecutar </w:t>
      </w:r>
      <w:r>
        <w:rPr>
          <w:rStyle w:val="CodeChar"/>
        </w:rPr>
        <w:t xml:space="preserve">analisis.sql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Abrir </w:t>
      </w:r>
      <w:r>
        <w:rPr>
          <w:rStyle w:val="CodeChar"/>
        </w:rPr>
        <w:t xml:space="preserve">dashboard.pbix</w:t>
      </w:r>
      <w:r>
        <w:t xml:space="preserve"> y apretar </w:t>
      </w:r>
      <w:r>
        <w:rPr>
          <w:b/>
        </w:rPr>
        <w:t xml:space="preserve">Actualizar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1509"/>
        <w:gridCol w:w="4731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Archivo</w:t>
            </w:r>
          </w:p>
        </w:tc>
        <w:tc>
          <w:tcPr>
            <w:tcW w:w="1509" w:type="dxa"/>
            <w:shd w:val="clear" w:color="auto" w:fill="F2F2F2"/>
          </w:tcPr>
          <w:p>
            <w:pPr/>
            <w:r>
              <w:t xml:space="preserve">Herramienta</w:t>
            </w:r>
          </w:p>
        </w:tc>
        <w:tc>
          <w:tcPr>
            <w:tcW w:w="4731" w:type="dxa"/>
            <w:shd w:val="clear" w:color="auto" w:fill="F2F2F2"/>
          </w:tcPr>
          <w:p>
            <w:pPr/>
            <w:r>
              <w:t xml:space="preserve">Contenido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01_carga_y_limpieza.ipynb</w:t>
            </w:r>
          </w:p>
        </w:tc>
        <w:tc>
          <w:tcPr>
            <w:tcW w:w="1509" w:type="dxa"/>
          </w:tcPr>
          <w:p>
            <w:pPr/>
            <w:r>
              <w:t xml:space="preserve">Python</w:t>
            </w:r>
          </w:p>
        </w:tc>
        <w:tc>
          <w:tcPr>
            <w:tcW w:w="4731" w:type="dxa"/>
          </w:tcPr>
          <w:p>
            <w:pPr/>
            <w:r>
              <w:t xml:space="preserve">Lectura, limpieza, controles de calidad y exportación a CSV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dim_socio.csv</w:t>
            </w:r>
            <w:r>
              <w:t xml:space="preserve">, </w:t>
            </w:r>
            <w:r>
              <w:rPr>
                <w:rStyle w:val="CodeChar"/>
              </w:rPr>
              <w:t xml:space="preserve">fact_comercio.csv</w:t>
            </w:r>
          </w:p>
        </w:tc>
        <w:tc>
          <w:tcPr>
            <w:tcW w:w="1509" w:type="dxa"/>
          </w:tcPr>
          <w:p>
            <w:pPr/>
            <w:r>
              <w:t xml:space="preserve">—</w:t>
            </w:r>
          </w:p>
        </w:tc>
        <w:tc>
          <w:tcPr>
            <w:tcW w:w="4731" w:type="dxa"/>
          </w:tcPr>
          <w:p>
            <w:pPr/>
            <w:r>
              <w:t xml:space="preserve">Datos limpios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ddl.sql</w:t>
            </w:r>
          </w:p>
        </w:tc>
        <w:tc>
          <w:tcPr>
            <w:tcW w:w="1509" w:type="dxa"/>
          </w:tcPr>
          <w:p>
            <w:pPr/>
            <w:r>
              <w:t xml:space="preserve">MySQL</w:t>
            </w:r>
          </w:p>
        </w:tc>
        <w:tc>
          <w:tcPr>
            <w:tcW w:w="4731" w:type="dxa"/>
          </w:tcPr>
          <w:p>
            <w:pPr/>
            <w:r>
              <w:t xml:space="preserve">Estructura de la base, solo </w:t>
            </w:r>
            <w:r>
              <w:rPr>
                <w:rStyle w:val="CodeChar"/>
              </w:rPr>
              <w:t xml:space="preserve">CREATE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carga.sql</w:t>
            </w:r>
          </w:p>
        </w:tc>
        <w:tc>
          <w:tcPr>
            <w:tcW w:w="1509" w:type="dxa"/>
          </w:tcPr>
          <w:p>
            <w:pPr/>
            <w:r>
              <w:t xml:space="preserve">MySQL</w:t>
            </w:r>
          </w:p>
        </w:tc>
        <w:tc>
          <w:tcPr>
            <w:tcW w:w="4731" w:type="dxa"/>
          </w:tcPr>
          <w:p>
            <w:pPr/>
            <w:r>
              <w:t xml:space="preserve">Carga de los CSV y verificación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analisis.sql</w:t>
            </w:r>
          </w:p>
        </w:tc>
        <w:tc>
          <w:tcPr>
            <w:tcW w:w="1509" w:type="dxa"/>
          </w:tcPr>
          <w:p>
            <w:pPr/>
            <w:r>
              <w:t xml:space="preserve">MySQL</w:t>
            </w:r>
          </w:p>
        </w:tc>
        <w:tc>
          <w:tcPr>
            <w:tcW w:w="4731" w:type="dxa"/>
          </w:tcPr>
          <w:p>
            <w:pPr/>
            <w:r>
              <w:t xml:space="preserve">Exploración, controles y consultas de análisis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dashboard.pbix</w:t>
            </w:r>
          </w:p>
        </w:tc>
        <w:tc>
          <w:tcPr>
            <w:tcW w:w="1509" w:type="dxa"/>
          </w:tcPr>
          <w:p>
            <w:pPr/>
            <w:r>
              <w:t xml:space="preserve">Power BI</w:t>
            </w:r>
          </w:p>
        </w:tc>
        <w:tc>
          <w:tcPr>
            <w:tcW w:w="4731" w:type="dxa"/>
          </w:tcPr>
          <w:p>
            <w:pPr/>
            <w:r>
              <w:t xml:space="preserve">Modelo, medidas y dashboard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PDF de medidas DAX</w:t>
            </w:r>
          </w:p>
        </w:tc>
        <w:tc>
          <w:tcPr>
            <w:tcW w:w="1509" w:type="dxa"/>
          </w:tcPr>
          <w:p>
            <w:pPr/>
            <w:r>
              <w:t xml:space="preserve">Power BI</w:t>
            </w:r>
          </w:p>
        </w:tc>
        <w:tc>
          <w:tcPr>
            <w:tcW w:w="4731" w:type="dxa"/>
          </w:tcPr>
          <w:p>
            <w:pPr/>
            <w:r>
              <w:t xml:space="preserve">Fórmulas de la tabla calculada y de las medidas</w:t>
            </w:r>
          </w:p>
        </w:tc>
      </w:tr>
    </w:tbl>
    <w:p>
      <w:pPr/>
      <w:r>
        <w:rPr>
          <w:b/>
        </w:rPr>
        <w:t xml:space="preserve">Requisitos:</w:t>
      </w:r>
      <w:r>
        <w:t xml:space="preserve"> Python 3 con pandas y openpyxl (Anaconda o Google Colab), MySQL 8 o superior con Workbench, Power BI Desktop con MySQL Connector/NET.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Memoria técnica · Comercio exterior Argentina–Uruguay</dc:title>
  <dc:description>Claude Docs node/51e82497-dde2@10 docx-w7</dc:description>
  <cp:revision>10</cp:revision>
</cp:coreProperties>
</file>