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0B1E3D" w:val="clear"/>
            <w:tcMar>
              <w:top w:type="dxa" w:w="260"/>
              <w:left w:type="dxa" w:w="260"/>
              <w:bottom w:type="dxa" w:w="260"/>
              <w:right w:type="dxa" w:w="26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IGNIS SPACE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F26B1D"/>
                <w:sz w:val="18"/>
                <w:szCs w:val="18"/>
              </w:rPr>
              <w:t xml:space="preserve">RIDESHARE ORBITAL PARA CUBESATS</w:t>
            </w:r>
          </w:p>
        </w:tc>
      </w:tr>
    </w:tbl>
    <w:p>
      <w:pPr>
        <w:spacing w:after="300"/>
      </w:pPr>
    </w:p>
    <w:p>
      <w:pPr>
        <w:spacing w:after="60"/>
        <w:jc w:val="center"/>
      </w:pPr>
      <w:r>
        <w:rPr>
          <w:b/>
          <w:bCs/>
          <w:color w:val="0B1E3D"/>
          <w:sz w:val="26"/>
          <w:szCs w:val="26"/>
        </w:rPr>
        <w:t xml:space="preserve">CONTRATO DE PRESTAÇÃO DE SERVIÇO DE LANÇAMENTO ESPACIAL — MODALIDADE RIDESHARE</w:t>
      </w:r>
    </w:p>
    <w:p>
      <w:pPr>
        <w:spacing w:after="100"/>
        <w:jc w:val="center"/>
      </w:pPr>
      <w:r>
        <w:rPr>
          <w:color w:val="2B2D32"/>
          <w:sz w:val="20"/>
          <w:szCs w:val="20"/>
        </w:rPr>
        <w:t xml:space="preserve">Nº do Contrato: IGN-LAU-2026-0143</w:t>
      </w:r>
    </w:p>
    <w:p>
      <w:pPr>
        <w:spacing w:after="100"/>
        <w:jc w:val="center"/>
      </w:pPr>
      <w:r>
        <w:rPr>
          <w:color w:val="3D5A80"/>
          <w:sz w:val="20"/>
          <w:szCs w:val="20"/>
        </w:rPr>
        <w:t xml:space="preserve">Missão vinculada: MSN-2026-014</w:t>
      </w:r>
    </w:p>
    <w:p>
      <w:pPr>
        <w:spacing w:after="500"/>
      </w:pPr>
    </w:p>
    <w:p>
      <w:pPr>
        <w:spacing w:after="160" w:line="276"/>
        <w:jc w:val="both"/>
      </w:pPr>
      <w:r>
        <w:rPr>
          <w:color w:val="2B2D32"/>
        </w:rPr>
        <w:t xml:space="preserve">Pelo presente instrumento particular, de um lado IGNIS SPACE AEROESPACIAL LTDA., CNPJ 41.582.907/0001-36, com sede na Av. dos Astronautas, 1758, Jardim da Granja, São José dos Campos - SP, doravante denominada CONTRATADA, e de outro lado NEBULA GEODATA PESQUISAS LTDA., CNPJ 58.219.043/0001-77, com sede na Rua Verbo Divino, 1400, Sala 82, Chácara Santo Antônio, São Paulo - SP, doravante denominada CONTRATANTE, representada por sua Diretora de Operações, Sra. Marina Kessler Prado, resolvem celebrar o presente Contrato de Prestação de Serviço de Lançamento Espacial, modalidade rideshare, mediante as cláusulas e condições a seguir.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1. Objeto do Contrato</w:t>
      </w:r>
    </w:p>
    <w:p>
      <w:pPr>
        <w:spacing w:after="160" w:line="276"/>
        <w:jc w:val="both"/>
      </w:pPr>
      <w:r>
        <w:rPr>
          <w:color w:val="2B2D32"/>
        </w:rPr>
        <w:t xml:space="preserve">1.1. O presente contrato tem por objeto a prestação, pela CONTRATADA, de serviço de lançamento espacial em regime de compartilhamento de carga (rideshare), para transporte e liberação em órbita de 1 (um) satélite de propriedade da CONTRATANTE, classe CubeSat 6U, com massa integrada de 9,6 kg, conforme especificações técnicas do Anexo I.</w:t>
      </w:r>
    </w:p>
    <w:p>
      <w:pPr>
        <w:spacing w:after="160" w:line="276"/>
        <w:jc w:val="both"/>
      </w:pPr>
      <w:r>
        <w:rPr>
          <w:color w:val="2B2D32"/>
        </w:rPr>
        <w:t xml:space="preserve">1.2. O lançamento ocorrerá a partir do veículo lançador Ignis Vector-1, operado pela CONTRATADA, na missão MSN-2026-014, com destino a órbita heliossíncrona (SSO), altitude nominal de 550 km. A mesma missão compartilha capacidade de lançamento com a carga da cliente Litoral Blue Oceanografia Ltda. (CubeSat 3U, 4,5 kg), nos termos do regime de rideshare.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2. Massa, Preço e Condições Comerciais</w:t>
      </w:r>
    </w:p>
    <w:p>
      <w:pPr>
        <w:spacing w:after="160" w:line="276"/>
        <w:jc w:val="both"/>
      </w:pPr>
      <w:r>
        <w:rPr>
          <w:color w:val="2B2D32"/>
        </w:rPr>
        <w:t xml:space="preserve">2.1. O preço-base cobre até 50 kg de massa integrada (satélite + adaptador de separação), conforme tabela abaixo, com valores de referência de mercado praticados no setor internacional de rideshare (ordem de grandeza, ano-base 2026):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2337"/>
        <w:gridCol w:w="2338"/>
      </w:tblGrid>
      <w:tr>
        <w:tc>
          <w:tcPr>
            <w:tcW w:type="dxa" w:w="4675"/>
            <w:shd w:fill="0B1E3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37"/>
            <w:shd w:fill="0B1E3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Referência de Mercado</w:t>
            </w:r>
          </w:p>
        </w:tc>
        <w:tc>
          <w:tcPr>
            <w:tcW w:type="dxa" w:w="2338"/>
            <w:shd w:fill="0B1E3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Contratado</w:t>
            </w:r>
          </w:p>
        </w:tc>
      </w:tr>
      <w:tr>
        <w:tc>
          <w:tcPr>
            <w:tcW w:type="dxa" w:w="4675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Bloco-base (até 50 kg) — órbita SSO</w:t>
            </w:r>
          </w:p>
        </w:tc>
        <w:tc>
          <w:tcPr>
            <w:tcW w:type="dxa" w:w="2337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US$ 350.000</w:t>
            </w:r>
          </w:p>
        </w:tc>
        <w:tc>
          <w:tcPr>
            <w:tcW w:type="dxa" w:w="2338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R$ 1.925.000,00</w:t>
            </w:r>
          </w:p>
        </w:tc>
      </w:tr>
      <w:tr>
        <w:tc>
          <w:tcPr>
            <w:tcW w:type="dxa" w:w="4675"/>
          </w:tcPr>
          <w:p>
            <w:r>
              <w:rPr>
                <w:color w:val="2B2D32"/>
                <w:sz w:val="20"/>
                <w:szCs w:val="20"/>
              </w:rPr>
              <w:t xml:space="preserve">Massa excedente, por kg adicional</w:t>
            </w:r>
          </w:p>
        </w:tc>
        <w:tc>
          <w:tcPr>
            <w:tcW w:type="dxa" w:w="2337"/>
          </w:tcPr>
          <w:p>
            <w:r>
              <w:rPr>
                <w:color w:val="2B2D32"/>
                <w:sz w:val="20"/>
                <w:szCs w:val="20"/>
              </w:rPr>
              <w:t xml:space="preserve">US$ 7.000 / kg</w:t>
            </w:r>
          </w:p>
        </w:tc>
        <w:tc>
          <w:tcPr>
            <w:tcW w:type="dxa" w:w="2338"/>
          </w:tcPr>
          <w:p>
            <w:r>
              <w:rPr>
                <w:color w:val="2B2D32"/>
                <w:sz w:val="20"/>
                <w:szCs w:val="20"/>
              </w:rPr>
              <w:t xml:space="preserve">R$ 38.500,00 / kg</w:t>
            </w:r>
          </w:p>
        </w:tc>
      </w:tr>
      <w:tr>
        <w:tc>
          <w:tcPr>
            <w:tcW w:type="dxa" w:w="4675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Massa contratada nesta missão</w:t>
            </w:r>
          </w:p>
        </w:tc>
        <w:tc>
          <w:tcPr>
            <w:tcW w:type="dxa" w:w="2337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—</w:t>
            </w:r>
          </w:p>
        </w:tc>
        <w:tc>
          <w:tcPr>
            <w:tcW w:type="dxa" w:w="2338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9,6 kg (dentro do bloco-base)</w:t>
            </w:r>
          </w:p>
        </w:tc>
      </w:tr>
      <w:tr>
        <w:tc>
          <w:tcPr>
            <w:tcW w:type="dxa" w:w="4675"/>
          </w:tcPr>
          <w:p>
            <w:r>
              <w:rPr>
                <w:color w:val="2B2D32"/>
                <w:sz w:val="20"/>
                <w:szCs w:val="20"/>
              </w:rPr>
              <w:t xml:space="preserve">Integração e dispenser de separação</w:t>
            </w:r>
          </w:p>
        </w:tc>
        <w:tc>
          <w:tcPr>
            <w:tcW w:type="dxa" w:w="2337"/>
          </w:tcPr>
          <w:p>
            <w:r>
              <w:rPr>
                <w:color w:val="2B2D32"/>
                <w:sz w:val="20"/>
                <w:szCs w:val="20"/>
              </w:rPr>
              <w:t xml:space="preserve">Cobrança à parte (padrão de mercado)</w:t>
            </w:r>
          </w:p>
        </w:tc>
        <w:tc>
          <w:tcPr>
            <w:tcW w:type="dxa" w:w="2338"/>
          </w:tcPr>
          <w:p>
            <w:r>
              <w:rPr>
                <w:color w:val="2B2D32"/>
                <w:sz w:val="20"/>
                <w:szCs w:val="20"/>
              </w:rPr>
              <w:t xml:space="preserve">R$ 87.000,00</w:t>
            </w:r>
          </w:p>
        </w:tc>
      </w:tr>
      <w:tr>
        <w:tc>
          <w:tcPr>
            <w:tcW w:type="dxa" w:w="4675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Seguro de lançamento (Cláusula 6)</w:t>
            </w:r>
          </w:p>
        </w:tc>
        <w:tc>
          <w:tcPr>
            <w:tcW w:type="dxa" w:w="2337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5% a 15% do valor da carga</w:t>
            </w:r>
          </w:p>
        </w:tc>
        <w:tc>
          <w:tcPr>
            <w:tcW w:type="dxa" w:w="2338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R$ 96.250,00 (5%)</w:t>
            </w:r>
          </w:p>
        </w:tc>
      </w:tr>
      <w:tr>
        <w:tc>
          <w:tcPr>
            <w:tcW w:type="dxa" w:w="4675"/>
            <w:shd w:fill="F26B1D" w:val="clear"/>
          </w:tcPr>
          <w:p>
            <w:r>
              <w:rPr>
                <w:b/>
                <w:bCs/>
                <w:color w:val="0B1E3D"/>
                <w:sz w:val="20"/>
                <w:szCs w:val="20"/>
              </w:rPr>
              <w:t xml:space="preserve">VALOR TOTAL DO CONTRATO</w:t>
            </w:r>
          </w:p>
        </w:tc>
        <w:tc>
          <w:tcPr>
            <w:tcW w:type="dxa" w:w="2337"/>
            <w:shd w:fill="F26B1D" w:val="clear"/>
          </w:tcPr>
          <w:p>
            <w:r>
              <w:rPr>
                <w:color w:val="2B2D32"/>
                <w:sz w:val="20"/>
                <w:szCs w:val="20"/>
              </w:rPr>
              <w:t xml:space="preserve"/>
            </w:r>
          </w:p>
        </w:tc>
        <w:tc>
          <w:tcPr>
            <w:tcW w:type="dxa" w:w="2338"/>
            <w:shd w:fill="F26B1D" w:val="clear"/>
          </w:tcPr>
          <w:p>
            <w:r>
              <w:rPr>
                <w:b/>
                <w:bCs/>
                <w:color w:val="0B1E3D"/>
                <w:sz w:val="20"/>
                <w:szCs w:val="20"/>
              </w:rPr>
              <w:t xml:space="preserve">R$ 2.108.250,00</w:t>
            </w:r>
          </w:p>
        </w:tc>
      </w:tr>
    </w:tbl>
    <w:p>
      <w:pPr>
        <w:spacing w:after="160" w:line="276"/>
      </w:pPr>
      <w:r>
        <w:rPr>
          <w:color w:val="2B2D32"/>
        </w:rPr>
        <w:t xml:space="preserve"/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3. Licenciamento e Autorização Regulatória</w:t>
      </w:r>
    </w:p>
    <w:p>
      <w:pPr>
        <w:spacing w:after="160" w:line="276"/>
        <w:jc w:val="both"/>
      </w:pPr>
      <w:r>
        <w:rPr>
          <w:color w:val="2B2D32"/>
        </w:rPr>
        <w:t xml:space="preserve">3.1. A CONTRATADA declara ser detentora de Licença de Operador de Atividades Espaciais válida, nos termos do regulamento da Agência Espacial Brasileira (AEB), sendo responsável por obter, para esta missão específica, a respectiva Autorização de Lançamento junto ao mesmo órgão.</w:t>
      </w:r>
    </w:p>
    <w:p>
      <w:pPr>
        <w:spacing w:after="160" w:line="276"/>
        <w:jc w:val="both"/>
      </w:pPr>
      <w:r>
        <w:rPr>
          <w:color w:val="2B2D32"/>
        </w:rPr>
        <w:t xml:space="preserve">3.2. Nos termos da regulação vigente, a licença e a autorização são atos administrativos distintos: a primeira habilita a CONTRATADA a operar como empresa de lançamento; a segunda autoriza o lançamento específico objeto deste contrato, sendo emitida mediante avaliação de estudo de impacto ambiental e de segurança operacional.</w:t>
      </w:r>
    </w:p>
    <w:p>
      <w:pPr>
        <w:spacing w:after="160" w:line="276"/>
        <w:jc w:val="both"/>
      </w:pPr>
      <w:r>
        <w:rPr>
          <w:color w:val="2B2D32"/>
        </w:rPr>
        <w:t xml:space="preserve">3.3. Fica a CONTRATANTE ciente de que eventual atraso, condicionante ou indeferimento da Autorização de Lançamento pela AEB poderá impactar a janela de lançamento prevista na Cláusula 4, sem que isso configure inadimplemento contratual da CONTRATADA.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4. Janela de Lançamento e Integração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Reserva de slot e assinatura do contrato: até 60 dias antes da janela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Entrega do satélite para verificação de compatibilidade (fit-check): D-45 dias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Testes de compatibilidade eletromagnética e vibração: D-30 dias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Integração final ao dispenser de separação: D-10 dias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Janela de lançamento primária: 20 de setembro de 2026 (Missão MSN-2026-014)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Relatório pós-missão com confirmação de órbita alcançada: até D+7 dias após separação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5. Especificações de Interface</w:t>
      </w:r>
    </w:p>
    <w:p>
      <w:pPr>
        <w:spacing w:after="160" w:line="276"/>
        <w:jc w:val="both"/>
      </w:pPr>
      <w:r>
        <w:rPr>
          <w:color w:val="2B2D32"/>
        </w:rPr>
        <w:t xml:space="preserve">5.1. O satélite da CONTRATANTE deve atender aos requisitos de interface mecânica, elétrica e de dados publicados no Manual de Interface de Carga Útil (Payload Interface Guide) da CONTRATADA, incluindo limites de envelope dinâmico, frequência natural mínima de 90 Hz no eixo lateral, e protocolo de separação por sistema de mola calibrada.</w:t>
      </w:r>
    </w:p>
    <w:p>
      <w:pPr>
        <w:spacing w:after="160" w:line="276"/>
        <w:jc w:val="both"/>
      </w:pPr>
      <w:r>
        <w:rPr>
          <w:color w:val="2B2D32"/>
        </w:rPr>
        <w:t xml:space="preserve">5.2. Qualquer desvio das especificações padrão de interface está sujeito à análise técnica adicional e poderá gerar custos de engenharia não recorrente (NRE), a serem acordados em aditivo contratual.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6. Seguro e Responsabilidade</w:t>
      </w:r>
    </w:p>
    <w:p>
      <w:pPr>
        <w:spacing w:after="160" w:line="276"/>
        <w:jc w:val="both"/>
      </w:pPr>
      <w:r>
        <w:rPr>
          <w:color w:val="2B2D32"/>
        </w:rPr>
        <w:t xml:space="preserve">6.1. Em conformidade com os Requisitos de Seguro para Lançamento Espacial do Regulamento Espacial Brasileiro, a CONTRATADA contratará apólice de responsabilidade civil para a missão, cujo valor de referência é calculado com base em metodologia de Perda Máxima Provável (MPL), com custo rateado entre os participantes da carga compartilhada.</w:t>
      </w:r>
    </w:p>
    <w:p>
      <w:pPr>
        <w:spacing w:after="160" w:line="276"/>
        <w:jc w:val="both"/>
      </w:pPr>
      <w:r>
        <w:rPr>
          <w:color w:val="2B2D32"/>
        </w:rPr>
        <w:t xml:space="preserve">6.2. As partes reconhecem e aceitam cláusula de Renúncia Recíproca de Reivindicações (cross-waiver), pela qual cada parte renuncia a ações de indenização contra a outra por danos decorrentes das atividades de lançamento, exceto em casos de dolo ou culpa grave.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7. Qualidade e Conformidade</w:t>
      </w:r>
    </w:p>
    <w:p>
      <w:pPr>
        <w:spacing w:after="160" w:line="276"/>
        <w:jc w:val="both"/>
      </w:pPr>
      <w:r>
        <w:rPr>
          <w:color w:val="2B2D32"/>
        </w:rPr>
        <w:t xml:space="preserve">7.1. A CONTRATADA opera sob sistema de gestão da qualidade certificado AS9100, alinhado à norma ISO 9001:2015 com requisitos adicionais aeroespaciais de rastreabilidade, controle de configuração e gestão de risco ao longo de toda a cadeia de fornecimento.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8. Foro</w:t>
      </w:r>
    </w:p>
    <w:p>
      <w:pPr>
        <w:spacing w:after="160" w:line="276"/>
        <w:jc w:val="both"/>
      </w:pPr>
      <w:r>
        <w:rPr>
          <w:color w:val="2B2D32"/>
        </w:rPr>
        <w:t xml:space="preserve">8.1. Fica eleito o foro da Comarca de São José dos Campos, SP, para dirimir quaisquer controvérsias oriundas do presente contrato, com renúncia a qualquer outro, por mais privilegiado que seja.</w:t>
      </w:r>
    </w:p>
    <w:p>
      <w:pPr>
        <w:spacing w:after="160" w:line="276"/>
      </w:pPr>
      <w:r>
        <w:rPr>
          <w:color w:val="2B2D32"/>
        </w:rPr>
        <w:t xml:space="preserve"/>
      </w:r>
    </w:p>
    <w:p>
      <w:pPr>
        <w:spacing w:before="400"/>
        <w:jc w:val="center"/>
      </w:pPr>
      <w:r>
        <w:rPr>
          <w:color w:val="2B2D32"/>
          <w:sz w:val="20"/>
          <w:szCs w:val="20"/>
        </w:rPr>
        <w:t xml:space="preserve">São José dos Campos, SP — 02 de abril de 2026</w:t>
      </w:r>
    </w:p>
    <w:p>
      <w:pPr>
        <w:spacing w:after="160" w:line="276"/>
      </w:pPr>
      <w:r>
        <w:rPr>
          <w:color w:val="2B2D32"/>
        </w:rPr>
        <w:t xml:space="preserve"/>
      </w:r>
    </w:p>
    <w:p>
      <w:pPr>
        <w:spacing w:before="600"/>
        <w:jc w:val="center"/>
      </w:pPr>
      <w:r>
        <w:rPr>
          <w:color w:val="3D5A80"/>
          <w:sz w:val="20"/>
          <w:szCs w:val="20"/>
        </w:rPr>
        <w:t xml:space="preserve">_______________________________________</w:t>
      </w:r>
    </w:p>
    <w:p>
      <w:pPr>
        <w:jc w:val="center"/>
      </w:pPr>
      <w:r>
        <w:rPr>
          <w:b/>
          <w:bCs/>
          <w:color w:val="0B1E3D"/>
          <w:sz w:val="18"/>
          <w:szCs w:val="18"/>
        </w:rPr>
        <w:t xml:space="preserve">Ignis Space Aeroespacial Ltda. — CONTRATADA</w:t>
      </w:r>
    </w:p>
    <w:p>
      <w:pPr>
        <w:spacing w:before="400"/>
        <w:jc w:val="center"/>
      </w:pPr>
      <w:r>
        <w:rPr>
          <w:color w:val="3D5A80"/>
          <w:sz w:val="20"/>
          <w:szCs w:val="20"/>
        </w:rPr>
        <w:t xml:space="preserve">_______________________________________</w:t>
      </w:r>
    </w:p>
    <w:p>
      <w:pPr>
        <w:jc w:val="center"/>
      </w:pPr>
      <w:r>
        <w:rPr>
          <w:b/>
          <w:bCs/>
          <w:color w:val="0B1E3D"/>
          <w:sz w:val="18"/>
          <w:szCs w:val="18"/>
        </w:rPr>
        <w:t xml:space="preserve">Marina Kessler Prado — Nebula Geodata Pesquisas Ltda. — CONTRATANTE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color w:val="F26B1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2026-08-05T00:04:02.594Z</dcterms:created>
  <dcterms:modified xsi:type="dcterms:W3CDTF">2026-08-05T00:04:02.609Z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