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0B1E3D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IGNIS SPACE</w:t>
            </w:r>
          </w:p>
          <w:p>
            <w:pPr>
              <w:jc w:val="center"/>
            </w:pPr>
            <w:r>
              <w:rPr>
                <w:b/>
                <w:bCs/>
                <w:color w:val="F26B1D"/>
                <w:sz w:val="18"/>
                <w:szCs w:val="18"/>
              </w:rPr>
              <w:t xml:space="preserve">RIDESHARE ORBITAL PARA CUBESATS</w:t>
            </w:r>
          </w:p>
        </w:tc>
      </w:tr>
    </w:tbl>
    <w:p>
      <w:pPr>
        <w:spacing w:after="300"/>
      </w:pPr>
    </w:p>
    <w:p>
      <w:pPr>
        <w:spacing w:after="100"/>
        <w:jc w:val="center"/>
      </w:pPr>
      <w:r>
        <w:rPr>
          <w:b/>
          <w:bCs/>
          <w:color w:val="0B1E3D"/>
          <w:sz w:val="30"/>
          <w:szCs w:val="30"/>
        </w:rPr>
        <w:t xml:space="preserve">MANUAL DE ONBOARDING</w:t>
      </w:r>
    </w:p>
    <w:p>
      <w:pPr>
        <w:spacing w:after="500"/>
        <w:jc w:val="center"/>
      </w:pPr>
      <w:r>
        <w:rPr>
          <w:i/>
          <w:iCs/>
          <w:color w:val="3D5A80"/>
          <w:sz w:val="18"/>
          <w:szCs w:val="18"/>
        </w:rPr>
        <w:t xml:space="preserve">Bem-vindo(a) à Ignis Space</w:t>
      </w:r>
    </w:p>
    <w:p>
      <w:pPr>
        <w:spacing w:after="160" w:line="276"/>
        <w:jc w:val="both"/>
      </w:pPr>
      <w:r>
        <w:rPr>
          <w:color w:val="2B2D32"/>
        </w:rPr>
        <w:t xml:space="preserve">Este manual reúne as informações essenciais para sua chegada à Ignis Space. Ele foi pensado para te ajudar a entender nossa missão, nossa estrutura e como as coisas funcionam por aqui nas primeiras semanas.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1. Sobre a Ignis Space</w:t>
      </w:r>
    </w:p>
    <w:p>
      <w:pPr>
        <w:spacing w:after="160" w:line="276"/>
        <w:jc w:val="both"/>
      </w:pPr>
      <w:r>
        <w:rPr>
          <w:color w:val="2B2D32"/>
        </w:rPr>
        <w:t xml:space="preserve">A Ignis Space Aeroespacial Ltda. é uma empresa de lançamento espacial fundada em 2019, especializada em serviços de rideshare orbital para CubeSats. Operamos o veículo lançador Ignis Vector-1, oferecendo a clientes de sensoriamento remoto, telecomunicações e pesquisa acadêmica uma rota acessível para colocar seus satélites em órbita, sem a necessidade de um foguete dedicado.</w:t>
      </w:r>
    </w:p>
    <w:p>
      <w:pPr>
        <w:spacing w:after="160" w:line="276"/>
        <w:jc w:val="both"/>
      </w:pPr>
      <w:r>
        <w:rPr>
          <w:color w:val="2B2D32"/>
        </w:rPr>
        <w:t xml:space="preserve">Nossa sede fica em São José dos Campos, SP — coração do polo aeroespacial brasileiro.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2. Estrutura organizacional</w:t>
      </w:r>
    </w:p>
    <w:p>
      <w:pPr>
        <w:spacing w:after="160" w:line="276"/>
        <w:jc w:val="both"/>
      </w:pPr>
      <w:r>
        <w:rPr>
          <w:color w:val="2B2D32"/>
        </w:rPr>
        <w:t xml:space="preserve">A empresa está organizada nos seguintes departamentos: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Diretoria — Rafael Augusto Monteiro (CEO) e Beatriz Salomão Ferreira (CTO)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Engenharia — propulsão, aviônica e estrutura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Operações — integração e execução dos lançamentos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Qualidade — conformidade com a norma AS9100D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Comercial — relacionamento com clientes e leads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Financeiro — orçamento, contratos e fluxo de caixa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Jurídico e Compliance — licenciamento regulatório junto à AEB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Recursos Humanos — você já conhece este time :)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3. Primeira semana — checklist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70"/>
            <w:shd w:fill="0B1E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5610"/>
            <w:shd w:fill="0B1E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870"/>
            <w:shd w:fill="0B1E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870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Dia 1</w:t>
            </w:r>
          </w:p>
        </w:tc>
        <w:tc>
          <w:tcPr>
            <w:tcW w:type="dxa" w:w="5610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Boas-vindas, apresentação da equipe e tour pela sede</w:t>
            </w:r>
          </w:p>
        </w:tc>
        <w:tc>
          <w:tcPr>
            <w:tcW w:type="dxa" w:w="1870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Coordenação de RH</w:t>
            </w:r>
          </w:p>
        </w:tc>
      </w:tr>
      <w:tr>
        <w:tc>
          <w:tcPr>
            <w:tcW w:type="dxa" w:w="1870"/>
          </w:tcPr>
          <w:p>
            <w:r>
              <w:rPr>
                <w:color w:val="2B2D32"/>
                <w:sz w:val="20"/>
                <w:szCs w:val="20"/>
              </w:rPr>
              <w:t xml:space="preserve">Dia 2</w:t>
            </w:r>
          </w:p>
        </w:tc>
        <w:tc>
          <w:tcPr>
            <w:tcW w:type="dxa" w:w="5610"/>
          </w:tcPr>
          <w:p>
            <w:r>
              <w:rPr>
                <w:color w:val="2B2D32"/>
                <w:sz w:val="20"/>
                <w:szCs w:val="20"/>
              </w:rPr>
              <w:t xml:space="preserve">Configuração de acessos, e-mail institucional e ferramentas internas</w:t>
            </w:r>
          </w:p>
        </w:tc>
        <w:tc>
          <w:tcPr>
            <w:tcW w:type="dxa" w:w="1870"/>
          </w:tcPr>
          <w:p>
            <w:r>
              <w:rPr>
                <w:color w:val="2B2D32"/>
                <w:sz w:val="20"/>
                <w:szCs w:val="20"/>
              </w:rPr>
              <w:t xml:space="preserve">TI / RH</w:t>
            </w:r>
          </w:p>
        </w:tc>
      </w:tr>
      <w:tr>
        <w:tc>
          <w:tcPr>
            <w:tcW w:type="dxa" w:w="1870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Dia 3</w:t>
            </w:r>
          </w:p>
        </w:tc>
        <w:tc>
          <w:tcPr>
            <w:tcW w:type="dxa" w:w="5610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Reunião de imersão com o líder direto sobre metas do trimestre</w:t>
            </w:r>
          </w:p>
        </w:tc>
        <w:tc>
          <w:tcPr>
            <w:tcW w:type="dxa" w:w="1870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Gestor direto</w:t>
            </w:r>
          </w:p>
        </w:tc>
      </w:tr>
      <w:tr>
        <w:tc>
          <w:tcPr>
            <w:tcW w:type="dxa" w:w="1870"/>
          </w:tcPr>
          <w:p>
            <w:r>
              <w:rPr>
                <w:color w:val="2B2D32"/>
                <w:sz w:val="20"/>
                <w:szCs w:val="20"/>
              </w:rPr>
              <w:t xml:space="preserve">Dia 4</w:t>
            </w:r>
          </w:p>
        </w:tc>
        <w:tc>
          <w:tcPr>
            <w:tcW w:type="dxa" w:w="5610"/>
          </w:tcPr>
          <w:p>
            <w:r>
              <w:rPr>
                <w:color w:val="2B2D32"/>
                <w:sz w:val="20"/>
                <w:szCs w:val="20"/>
              </w:rPr>
              <w:t xml:space="preserve">Apresentação da missão em andamento (MSN-2026-014) e do funil comercial</w:t>
            </w:r>
          </w:p>
        </w:tc>
        <w:tc>
          <w:tcPr>
            <w:tcW w:type="dxa" w:w="1870"/>
          </w:tcPr>
          <w:p>
            <w:r>
              <w:rPr>
                <w:color w:val="2B2D32"/>
                <w:sz w:val="20"/>
                <w:szCs w:val="20"/>
              </w:rPr>
              <w:t xml:space="preserve">Head de Operações</w:t>
            </w:r>
          </w:p>
        </w:tc>
      </w:tr>
      <w:tr>
        <w:tc>
          <w:tcPr>
            <w:tcW w:type="dxa" w:w="1870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Dia 5</w:t>
            </w:r>
          </w:p>
        </w:tc>
        <w:tc>
          <w:tcPr>
            <w:tcW w:type="dxa" w:w="5610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Alinhamento de expectativas dos primeiros 90 dias</w:t>
            </w:r>
          </w:p>
        </w:tc>
        <w:tc>
          <w:tcPr>
            <w:tcW w:type="dxa" w:w="1870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Gestor direto + RH</w:t>
            </w:r>
          </w:p>
        </w:tc>
      </w:tr>
    </w:tbl>
    <w:p>
      <w:pPr>
        <w:spacing w:after="160" w:line="276"/>
      </w:pPr>
      <w:r>
        <w:rPr>
          <w:color w:val="2B2D32"/>
        </w:rPr>
        <w:t xml:space="preserve"/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4. Benefícios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Plano de saúde e odontológico, sem coparticipação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Vale-refeição/alimentação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Auxílio home office para dias remotos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Programa de stock options para colaboradores após 12 meses de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Horário flexível, com núcleo obrigatório das 10h às 16h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5. Cultura e valores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Precisão antes de velocidade — no nosso setor, um erro de engenharia custa uma missão inteira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Documentação é parte do trabalho, não um extra — rastreabilidade é exigência da AS9100D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Comunicação direta entre áreas — engenharia, comercial e operações trabalham em conjunto desde o primeiro orçamento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6. Contatos úteis</w:t>
      </w:r>
    </w:p>
    <w:p>
      <w:pPr>
        <w:spacing w:after="160" w:line="276"/>
        <w:jc w:val="both"/>
      </w:pPr>
      <w:r>
        <w:rPr>
          <w:color w:val="2B2D32"/>
        </w:rPr>
        <w:t xml:space="preserve">Coordenadora de RH: Sabrina Coutinho Farias — rh@ignisspace.com.br</w:t>
      </w:r>
    </w:p>
    <w:p>
      <w:pPr>
        <w:spacing w:after="160" w:line="276"/>
        <w:jc w:val="both"/>
      </w:pPr>
      <w:r>
        <w:rPr>
          <w:color w:val="2B2D32"/>
        </w:rPr>
        <w:t xml:space="preserve">Em caso de dúvidas sobre sistemas e acessos, procure o time de TI pelo canal interno.</w:t>
      </w:r>
    </w:p>
    <w:p>
      <w:pPr>
        <w:spacing w:before="400"/>
      </w:pPr>
      <w:r>
        <w:rPr>
          <w:i/>
          <w:iCs/>
          <w:color w:val="3D5A80"/>
        </w:rPr>
        <w:t xml:space="preserve">Mais uma vez, seja muito bem-vindo(a) à Ignis Space. Estamos felizes em ter você com a gente nessa jornada rumo ao espaço.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F26B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2026-08-04T22:07:06.838Z</dcterms:created>
  <dcterms:modified xsi:type="dcterms:W3CDTF">2026-08-04T22:07:06.838Z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