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0B1E3D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IGNIS SPACE</w:t>
            </w:r>
          </w:p>
          <w:p>
            <w:pPr>
              <w:jc w:val="center"/>
            </w:pPr>
            <w:r>
              <w:rPr>
                <w:b/>
                <w:bCs/>
                <w:color w:val="F26B1D"/>
                <w:sz w:val="18"/>
                <w:szCs w:val="18"/>
              </w:rPr>
              <w:t xml:space="preserve">RIDESHARE ORBITAL PARA CUBESATS</w:t>
            </w:r>
          </w:p>
        </w:tc>
      </w:tr>
    </w:tbl>
    <w:p>
      <w:pPr>
        <w:spacing w:after="300"/>
      </w:pPr>
    </w:p>
    <w:p>
      <w:pPr>
        <w:spacing w:after="100"/>
        <w:jc w:val="center"/>
      </w:pPr>
      <w:r>
        <w:rPr>
          <w:b/>
          <w:bCs/>
          <w:color w:val="0B1E3D"/>
          <w:sz w:val="30"/>
          <w:szCs w:val="30"/>
        </w:rPr>
        <w:t xml:space="preserve">POLÍTICA DE BENEFÍCIOS</w:t>
      </w:r>
    </w:p>
    <w:p>
      <w:pPr>
        <w:spacing w:after="500"/>
        <w:jc w:val="center"/>
      </w:pPr>
      <w:r>
        <w:rPr>
          <w:i/>
          <w:iCs/>
          <w:color w:val="3D5A80"/>
          <w:sz w:val="18"/>
          <w:szCs w:val="18"/>
        </w:rPr>
        <w:t xml:space="preserve">Recursos Humanos — Ignis Space Aeroespacial Ltda.</w:t>
      </w:r>
    </w:p>
    <w:p>
      <w:pPr>
        <w:spacing w:after="160" w:line="276"/>
        <w:jc w:val="both"/>
      </w:pPr>
      <w:r>
        <w:rPr>
          <w:color w:val="2B2D32"/>
        </w:rPr>
        <w:t xml:space="preserve">Esta política estabelece os benefícios oferecidos a todos os colaboradores da Ignis Space Aeroespacial Ltda., contratados sob regime CLT, a partir da data de admissão.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1. Elegibilidade</w:t>
      </w:r>
    </w:p>
    <w:p>
      <w:pPr>
        <w:spacing w:after="160" w:line="276"/>
        <w:jc w:val="both"/>
      </w:pPr>
      <w:r>
        <w:rPr>
          <w:color w:val="2B2D32"/>
        </w:rPr>
        <w:t xml:space="preserve">Todos os colaboradores em regime CLT têm direito integral aos benefícios descritos nesta política a partir do primeiro dia de trabalho, exceto o Programa de Stock Options, sujeito a carência mínima de 12 (doze) meses de casa.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2. Benefícios de saúde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Plano de saúde nacional, sem coparticipação, extensível a dependentes legais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Plano odontológico, sem coparticipação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Auxílio psicoterapia — reembolso de até R$ 300,00/mês mediante comprovante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3. Benefícios de alimentação e transporte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Vale-refeição/alimentação: R$ 1.100,00/mês (cartão flexível)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Vale-transporte ou vaga de estacionamento na sede, conforme preferência do colaborador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4. Flexibilidade de trabalho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Horário flexível, com núcleo obrigatório de presença (ou disponibilidade remota) das 10h às 16h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Auxílio home office: R$ 150,00/mês para colaboradores em regime híbrido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Áreas operacionais (Integração e Testes) seguem escala fixa por natureza da atividade, sem elegibilidade a este item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5. Programa de Stock Options</w:t>
      </w:r>
    </w:p>
    <w:p>
      <w:pPr>
        <w:spacing w:after="160" w:line="276"/>
        <w:jc w:val="both"/>
      </w:pPr>
      <w:r>
        <w:rPr>
          <w:color w:val="2B2D32"/>
        </w:rPr>
        <w:t xml:space="preserve">Colaboradores com 12 meses completos de empresa passam a ser elegíveis ao plano de opções de compra de ações (stock options), com vesting de 4 anos e cliff de 1 ano, conforme contrato individual de outorga a ser formalizado pelo Departamento Financeiro.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6. Licenças e afastamentos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Licença-maternidade: 180 dias (programa empresa cidadã)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Licença-paternidade: 20 dias (programa empresa cidadã)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Day-off de aniversário, a ser usufruído dentro do mês de aniversário do colaborador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7. Revisão e vigência</w:t>
      </w:r>
    </w:p>
    <w:p>
      <w:pPr>
        <w:spacing w:after="160" w:line="276"/>
        <w:jc w:val="both"/>
      </w:pPr>
      <w:r>
        <w:rPr>
          <w:color w:val="2B2D32"/>
        </w:rPr>
        <w:t xml:space="preserve">Esta política é revisada anualmente pelo Departamento de Recursos Humanos, podendo ser atualizada a qualquer momento mediante comunicação formal aos colaboradores. Vigência a partir de 01/01/2026.</w:t>
      </w:r>
    </w:p>
    <w:p>
      <w:pPr>
        <w:spacing w:before="400"/>
      </w:pPr>
      <w:r>
        <w:rPr>
          <w:i/>
          <w:iCs/>
          <w:color w:val="3D5A80"/>
        </w:rPr>
        <w:t xml:space="preserve">Responsável: Sabrina Coutinho Farias — Coordenadora de RH — rh@ignisspace.com.br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F26B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2026-08-05T00:08:44.568Z</dcterms:created>
  <dcterms:modified xsi:type="dcterms:W3CDTF">2026-08-05T00:08:44.584Z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