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</w:tblGrid>
      <w:tr>
        <w:tc>
          <w:tcPr>
            <w:tcW w:type="dxa" w:w="9350"/>
            <w:shd w:fill="0B1E3D" w:val="clear"/>
            <w:tcMar>
              <w:top w:type="dxa" w:w="260"/>
              <w:left w:type="dxa" w:w="260"/>
              <w:bottom w:type="dxa" w:w="260"/>
              <w:right w:type="dxa" w:w="26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 xml:space="preserve">IGNIS SPACE</w:t>
            </w:r>
          </w:p>
          <w:p>
            <w:pPr>
              <w:jc w:val="center"/>
            </w:pPr>
            <w:r>
              <w:rPr>
                <w:b/>
                <w:bCs/>
                <w:color w:val="F26B1D"/>
                <w:sz w:val="18"/>
                <w:szCs w:val="18"/>
              </w:rPr>
              <w:t xml:space="preserve">RIDESHARE ORBITAL PARA CUBESATS</w:t>
            </w:r>
          </w:p>
        </w:tc>
      </w:tr>
    </w:tbl>
    <w:p>
      <w:pPr>
        <w:spacing w:after="300"/>
      </w:pPr>
    </w:p>
    <w:p>
      <w:pPr>
        <w:spacing w:after="100"/>
        <w:jc w:val="center"/>
      </w:pPr>
      <w:r>
        <w:rPr>
          <w:b/>
          <w:bCs/>
          <w:color w:val="0B1E3D"/>
          <w:sz w:val="30"/>
          <w:szCs w:val="30"/>
        </w:rPr>
        <w:t xml:space="preserve">BUSINESS CASE</w:t>
      </w:r>
    </w:p>
    <w:p>
      <w:pPr>
        <w:spacing w:after="500"/>
        <w:jc w:val="center"/>
      </w:pPr>
      <w:r>
        <w:rPr>
          <w:i/>
          <w:iCs/>
          <w:color w:val="3D5A80"/>
          <w:sz w:val="18"/>
          <w:szCs w:val="18"/>
        </w:rPr>
        <w:t xml:space="preserve">Avaliação de Propelente Alternativo Não Tóxico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1. Contexto</w:t>
      </w:r>
    </w:p>
    <w:p>
      <w:pPr>
        <w:spacing w:after="160" w:line="276"/>
        <w:jc w:val="both"/>
      </w:pPr>
      <w:r>
        <w:rPr>
          <w:color w:val="2B2D32"/>
        </w:rPr>
        <w:t xml:space="preserve">O sistema de propulsão a gás frio atualmente utilizado pela Ignis Space, fornecido pela PropTech Componentes Aeroespaciais Ltda., utiliza propelente convencional com manuseio sujeito a restrições logísticas específicas. Este business case avalia a migração para um propelente alternativo não tóxico, buscando redução de custo operacional e simplificação regulatória.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2. Proposta técnica</w:t>
      </w:r>
    </w:p>
    <w:p>
      <w:pPr>
        <w:spacing w:after="160" w:line="276"/>
        <w:jc w:val="both"/>
      </w:pPr>
      <w:r>
        <w:rPr>
          <w:color w:val="2B2D32"/>
        </w:rPr>
        <w:t xml:space="preserve">A engenharia de propulsão avaliou um propelente alternativo à base de compostos não tóxicos, atualmente em uso crescente no mercado internacional de pequenos satélites, como substituto de propelentes tradicionais de maior restrição regulatória e de transporte.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3. Comparativo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16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116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Propelente Atual</w:t>
            </w:r>
          </w:p>
        </w:tc>
        <w:tc>
          <w:tcPr>
            <w:tcW w:type="dxa" w:w="3116"/>
            <w:shd w:fill="0B1E3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Propelente Alternativo</w:t>
            </w:r>
          </w:p>
        </w:tc>
      </w:tr>
      <w:tr>
        <w:tc>
          <w:tcPr>
            <w:tcW w:type="dxa" w:w="3116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Custo por módulo</w:t>
            </w:r>
          </w:p>
        </w:tc>
        <w:tc>
          <w:tcPr>
            <w:tcW w:type="dxa" w:w="3116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R$ 137.333,00 (médio)</w:t>
            </w:r>
          </w:p>
        </w:tc>
        <w:tc>
          <w:tcPr>
            <w:tcW w:type="dxa" w:w="3116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R$ 118.000,00 (estimado)</w:t>
            </w:r>
          </w:p>
        </w:tc>
      </w:tr>
      <w:tr>
        <w:tc>
          <w:tcPr>
            <w:tcW w:type="dxa" w:w="3116"/>
          </w:tcPr>
          <w:p>
            <w:r>
              <w:rPr>
                <w:color w:val="2B2D32"/>
                <w:sz w:val="20"/>
                <w:szCs w:val="20"/>
              </w:rPr>
              <w:t xml:space="preserve">Restrições de transporte</w:t>
            </w:r>
          </w:p>
        </w:tc>
        <w:tc>
          <w:tcPr>
            <w:tcW w:type="dxa" w:w="3116"/>
          </w:tcPr>
          <w:p>
            <w:r>
              <w:rPr>
                <w:color w:val="2B2D32"/>
                <w:sz w:val="20"/>
                <w:szCs w:val="20"/>
              </w:rPr>
              <w:t xml:space="preserve">Classificação de risco elevada</w:t>
            </w:r>
          </w:p>
        </w:tc>
        <w:tc>
          <w:tcPr>
            <w:tcW w:type="dxa" w:w="3116"/>
          </w:tcPr>
          <w:p>
            <w:r>
              <w:rPr>
                <w:color w:val="2B2D32"/>
                <w:sz w:val="20"/>
                <w:szCs w:val="20"/>
              </w:rPr>
              <w:t xml:space="preserve">Classificação de risco reduzida</w:t>
            </w:r>
          </w:p>
        </w:tc>
      </w:tr>
      <w:tr>
        <w:tc>
          <w:tcPr>
            <w:tcW w:type="dxa" w:w="3116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Impulso específico</w:t>
            </w:r>
          </w:p>
        </w:tc>
        <w:tc>
          <w:tcPr>
            <w:tcW w:type="dxa" w:w="3116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60,0 – 65,0 s</w:t>
            </w:r>
          </w:p>
        </w:tc>
        <w:tc>
          <w:tcPr>
            <w:tcW w:type="dxa" w:w="3116"/>
            <w:shd w:fill="F7F8FA" w:val="clear"/>
          </w:tcPr>
          <w:p>
            <w:r>
              <w:rPr>
                <w:color w:val="2B2D32"/>
                <w:sz w:val="20"/>
                <w:szCs w:val="20"/>
              </w:rPr>
              <w:t xml:space="preserve">58,0 – 63,0 s (estimado)</w:t>
            </w:r>
          </w:p>
        </w:tc>
      </w:tr>
      <w:tr>
        <w:tc>
          <w:tcPr>
            <w:tcW w:type="dxa" w:w="3116"/>
          </w:tcPr>
          <w:p>
            <w:r>
              <w:rPr>
                <w:color w:val="2B2D32"/>
                <w:sz w:val="20"/>
                <w:szCs w:val="20"/>
              </w:rPr>
              <w:t xml:space="preserve">Tempo de qualificação</w:t>
            </w:r>
          </w:p>
        </w:tc>
        <w:tc>
          <w:tcPr>
            <w:tcW w:type="dxa" w:w="3116"/>
          </w:tcPr>
          <w:p>
            <w:r>
              <w:rPr>
                <w:color w:val="2B2D32"/>
                <w:sz w:val="20"/>
                <w:szCs w:val="20"/>
              </w:rPr>
              <w:t xml:space="preserve">Já qualificado</w:t>
            </w:r>
          </w:p>
        </w:tc>
        <w:tc>
          <w:tcPr>
            <w:tcW w:type="dxa" w:w="3116"/>
          </w:tcPr>
          <w:p>
            <w:r>
              <w:rPr>
                <w:color w:val="2B2D32"/>
                <w:sz w:val="20"/>
                <w:szCs w:val="20"/>
              </w:rPr>
              <w:t xml:space="preserve">Estimado em 4 a 6 meses de testes</w:t>
            </w:r>
          </w:p>
        </w:tc>
      </w:tr>
    </w:tbl>
    <w:p>
      <w:pPr>
        <w:spacing w:after="160" w:line="276"/>
      </w:pPr>
      <w:r>
        <w:rPr>
          <w:color w:val="2B2D32"/>
        </w:rPr>
        <w:t xml:space="preserve"/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4. Análise de custo-benefício</w:t>
      </w:r>
    </w:p>
    <w:p>
      <w:pPr>
        <w:spacing w:after="160" w:line="276"/>
        <w:jc w:val="both"/>
      </w:pPr>
      <w:r>
        <w:rPr>
          <w:color w:val="2B2D32"/>
        </w:rPr>
        <w:t xml:space="preserve">A adoção do propelente alternativo reduziria o custo por módulo em aproximadamente 14%, além de simplificar o transporte e armazenamento — reduzindo exigências de licenciamento de transporte junto a órgãos reguladores. Em contrapartida, o impulso específico ligeiramente inferior pode exigir ajuste fino no dimensionamento de missões com massa próxima ao limite do bloco-base.</w:t>
      </w:r>
    </w:p>
    <w:p>
      <w:pPr>
        <w:pStyle w:val="Heading1"/>
        <w:pBdr>
          <w:bottom w:val="single" w:color="F26B1D" w:sz="12" w:space="4"/>
        </w:pBdr>
        <w:spacing w:after="160" w:before="320"/>
      </w:pPr>
      <w:r>
        <w:rPr>
          <w:b/>
          <w:bCs/>
          <w:color w:val="0B1E3D"/>
        </w:rPr>
        <w:t xml:space="preserve">5. Recomendação</w:t>
      </w:r>
    </w:p>
    <w:p>
      <w:pPr>
        <w:spacing w:after="160" w:line="276"/>
        <w:jc w:val="both"/>
      </w:pPr>
      <w:r>
        <w:rPr>
          <w:color w:val="2B2D32"/>
        </w:rPr>
        <w:t xml:space="preserve">A Engenharia de Propulsão recomenda iniciar um piloto de qualificação com o novo propelente em paralelo à operação atual, com meta de avaliação completa até o primeiro trimestre de 2027, sem impacto nas missões já confirmadas (MSN-2026-014 e MSN-2026-021), que seguem com o propelente já qualificado.</w:t>
      </w:r>
    </w:p>
    <w:p>
      <w:pPr>
        <w:spacing w:before="400"/>
      </w:pPr>
      <w:r>
        <w:rPr>
          <w:i/>
          <w:iCs/>
          <w:color w:val="3D5A80"/>
        </w:rPr>
        <w:t xml:space="preserve">Elaborado por: Camila Rezende Duarte — Head de Engenharia de Propulsão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F26B1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2026-08-05T00:08:44.640Z</dcterms:created>
  <dcterms:modified xsi:type="dcterms:W3CDTF">2026-08-05T00:08:44.640Z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