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0"/>
          <w:szCs w:val="40"/>
        </w:rPr>
        <w:t xml:space="preserve">DOSSIER SCIENTIFIQUE D'ACCOMPAGNEMENT</w:t>
      </w:r>
    </w:p>
    <w:p>
      <w:pPr>
        <w:spacing w:after="480"/>
        <w:jc w:val="center"/>
      </w:pPr>
      <w:r>
        <w:rPr>
          <w:b/>
          <w:bCs/>
          <w:color w:val="1F3864"/>
          <w:sz w:val="32"/>
          <w:szCs w:val="32"/>
        </w:rPr>
        <w:t xml:space="preserve">BREVET N° 1 — VERSION 3.0</w:t>
      </w:r>
    </w:p>
    <w:p>
      <w:pPr>
        <w:spacing w:after="360"/>
        <w:jc w:val="center"/>
      </w:pPr>
      <w:r>
        <w:rPr>
          <w:i/>
          <w:iCs/>
          <w:sz w:val="28"/>
          <w:szCs w:val="28"/>
        </w:rPr>
        <w:t xml:space="preserve">Système de supervision et de contrôle adaptatif d'équipements industriels à modélisation causale dynamique, modèle comportemental d'actif et indice cognitif composite multi-paramètres</w:t>
      </w:r>
    </w:p>
    <w:p>
      <w:pPr>
        <w:spacing w:after="720"/>
        <w:jc w:val="center"/>
      </w:pPr>
      <w:r>
        <w:rPr>
          <w:i/>
          <w:iCs/>
          <w:color w:val="5A5A5A"/>
          <w:sz w:val="24"/>
          <w:szCs w:val="24"/>
        </w:rPr>
        <w:t xml:space="preserve">(MAINTRIX-SCA-IMCA)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Déposant</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MAINTRIX-T</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Objet du dossier</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Argumentaire scientifique et technique destiné au Conseil en Propriété Industrielle pour la rédaction définitive des revendications du Brevet n° 1</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associé</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BREVET_1_v3_Systeme_Supervision_Controle_Adaptatif_IMCA.docx</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 2026 — Version 1.0</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Classification CIB cible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G05B 23/02 (primaire) ; G05B 13/02 (primaire) ; G05B 13/04 (primaire)</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Volume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Environ 30 pages — 40+ références — 20 revendications proposées</w:t>
            </w:r>
          </w:p>
        </w:tc>
      </w:tr>
    </w:tbl>
    <w:p>
      <w:r>
        <w:br w:type="page"/>
      </w:r>
    </w:p>
    <w:p>
      <w:pPr>
        <w:pStyle w:val="Heading1"/>
        <w:spacing w:after="160" w:before="320"/>
      </w:pPr>
      <w:r>
        <w:rPr>
          <w:b/>
          <w:bCs/>
          <w:sz w:val="32"/>
          <w:szCs w:val="32"/>
        </w:rPr>
        <w:t xml:space="preserve">SOMMAIRE</w:t>
      </w:r>
    </w:p>
    <w:p>
      <w:pPr>
        <w:spacing w:after="60" w:before="60"/>
        <w:jc w:val="both"/>
      </w:pPr>
      <w:r>
        <w:t xml:space="preserve">1. PRÉAMBULE ET OBJECTIF DU DOSSIER</w:t>
      </w:r>
    </w:p>
    <w:p>
      <w:pPr>
        <w:spacing w:after="60" w:before="60"/>
        <w:jc w:val="both"/>
      </w:pPr>
      <w:r>
        <w:t xml:space="preserve">2. CONTEXTE TECHNIQUE GÉNÉRAL — LA SUPERVISION INDUSTRIELLE 4.0</w:t>
      </w:r>
    </w:p>
    <w:p>
      <w:pPr>
        <w:spacing w:after="60" w:before="60"/>
        <w:jc w:val="both"/>
      </w:pPr>
      <w:r>
        <w:t xml:space="preserve">3. FONDEMENTS SCIENTIFIQUES MOBILISÉS</w:t>
      </w:r>
    </w:p>
    <w:p>
      <w:pPr>
        <w:spacing w:after="60" w:before="60"/>
        <w:jc w:val="both"/>
      </w:pPr>
      <w:r>
        <w:t xml:space="preserve">4. ÉTAT DE L'ART ACADÉMIQUE — REVUE DE LITTÉRATURE</w:t>
      </w:r>
    </w:p>
    <w:p>
      <w:pPr>
        <w:spacing w:after="60" w:before="60"/>
        <w:jc w:val="both"/>
      </w:pPr>
      <w:r>
        <w:t xml:space="preserve">5. ÉTAT DE L'ART BREVETS ANTÉRIEURS</w:t>
      </w:r>
    </w:p>
    <w:p>
      <w:pPr>
        <w:spacing w:after="60" w:before="60"/>
        <w:jc w:val="both"/>
      </w:pPr>
      <w:r>
        <w:t xml:space="preserve">6. ÉTAT DE L'ART NORMATIF</w:t>
      </w:r>
    </w:p>
    <w:p>
      <w:pPr>
        <w:spacing w:after="60" w:before="60"/>
        <w:jc w:val="both"/>
      </w:pPr>
      <w:r>
        <w:t xml:space="preserve">7. ANALYSE COMPARATIVE ET POSITIONNEMENT DE L'INVENTION</w:t>
      </w:r>
    </w:p>
    <w:p>
      <w:pPr>
        <w:spacing w:after="60" w:before="60"/>
        <w:jc w:val="both"/>
      </w:pPr>
      <w:r>
        <w:t xml:space="preserve">8. BASES THÉORIQUES ET JUSTIFICATION PAR REVENDICATION</w:t>
      </w:r>
    </w:p>
    <w:p>
      <w:pPr>
        <w:spacing w:after="60" w:before="60"/>
        <w:jc w:val="both"/>
      </w:pPr>
      <w:r>
        <w:t xml:space="preserve">9. DÉMONSTRATION DE L'ACTIVITÉ INVENTIVE</w:t>
      </w:r>
    </w:p>
    <w:p>
      <w:pPr>
        <w:spacing w:after="60" w:before="60"/>
        <w:jc w:val="both"/>
      </w:pPr>
      <w:r>
        <w:t xml:space="preserve">10. SUGGESTIONS DE STRATÉGIE DE REVENDICATIONS POUR LE CPI</w:t>
      </w:r>
    </w:p>
    <w:p>
      <w:pPr>
        <w:spacing w:after="60" w:before="60"/>
        <w:jc w:val="both"/>
      </w:pPr>
      <w:r>
        <w:t xml:space="preserve">11. RISQUES D'EXAMEN ET STRATÉGIES DE RÉPONSE</w:t>
      </w:r>
    </w:p>
    <w:p>
      <w:pPr>
        <w:spacing w:after="60" w:before="60"/>
        <w:jc w:val="both"/>
      </w:pPr>
      <w:r>
        <w:t xml:space="preserve">12. ANNEXE — BIBLIOGRAPHIE COMPLÈTE</w:t>
      </w:r>
    </w:p>
    <w:p>
      <w:pPr>
        <w:pStyle w:val="Heading1"/>
        <w:pageBreakBefore/>
        <w:spacing w:after="160" w:before="320"/>
      </w:pPr>
      <w:r>
        <w:rPr>
          <w:b/>
          <w:bCs/>
          <w:sz w:val="32"/>
          <w:szCs w:val="32"/>
        </w:rPr>
        <w:t xml:space="preserve">1. PRÉAMBULE ET OBJECTIF DU DOSSIER</w:t>
      </w:r>
    </w:p>
    <w:p>
      <w:pPr>
        <w:pStyle w:val="Heading2"/>
        <w:spacing w:after="120" w:before="240"/>
      </w:pPr>
      <w:r>
        <w:rPr>
          <w:b/>
          <w:bCs/>
          <w:sz w:val="26"/>
          <w:szCs w:val="26"/>
        </w:rPr>
        <w:t xml:space="preserve">1.1 Public visé</w:t>
      </w:r>
    </w:p>
    <w:p>
      <w:pPr>
        <w:spacing w:after="60" w:before="60"/>
        <w:jc w:val="both"/>
      </w:pPr>
      <w:r>
        <w:t xml:space="preserve">Le présent dossier scientifique d'accompagnement est destiné aux Conseils en Propriété Industrielle (CPI) agréés en charge de la rédaction définitive des revendications du Brevet n° 1 de la famille MAINTRIX, et accessoirement aux examinateurs des offices de brevets (OEB, OAPI, USPTO) susceptibles d'instruire la demande. Il vise à fournir l'ensemble du contexte scientifique, technique et bibliographique permettant : (i) de comprendre la portée technique des inventions revendiquées ; (ii) d'évaluer leur nouveauté et leur activité inventive face à l'état de l'art ; (iii) de calibrer la rédaction juridique des revendications principales et dépendantes ; (iv) d'anticiper les objections potentielles d'examen et de préparer les stratégies de réponse.</w:t>
      </w:r>
    </w:p>
    <w:p>
      <w:pPr>
        <w:pStyle w:val="Heading2"/>
        <w:spacing w:after="120" w:before="240"/>
      </w:pPr>
      <w:r>
        <w:rPr>
          <w:b/>
          <w:bCs/>
          <w:sz w:val="26"/>
          <w:szCs w:val="26"/>
        </w:rPr>
        <w:t xml:space="preserve">1.2 Lien avec le brevet associé</w:t>
      </w:r>
    </w:p>
    <w:p>
      <w:pPr>
        <w:spacing w:after="60" w:before="60"/>
        <w:jc w:val="both"/>
      </w:pPr>
      <w:r>
        <w:t xml:space="preserve">Ce dossier accompagne le projet de brevet « BREVET_1_v3_Systeme_Supervision_Controle_Adaptatif_IMCA.docx » (version 3.0, mai 2026) déposé sous la référence interne MTX-2026-BREVET-001/v3. Le présent dossier en développe les fondements scientifiques, l'analyse bibliographique et le positionnement vis-à-vis de l'état de l'art. Il ne se substitue pas au projet de brevet mais le complète comme dossier d'expertise scientifique.</w:t>
      </w:r>
    </w:p>
    <w:p>
      <w:pPr>
        <w:pStyle w:val="Heading2"/>
        <w:spacing w:after="120" w:before="240"/>
      </w:pPr>
      <w:r>
        <w:rPr>
          <w:b/>
          <w:bCs/>
          <w:sz w:val="26"/>
          <w:szCs w:val="26"/>
        </w:rPr>
        <w:t xml:space="preserve">1.3 Trois axes innovants couverts</w:t>
      </w:r>
    </w:p>
    <w:p>
      <w:pPr>
        <w:spacing w:after="60" w:before="60"/>
        <w:jc w:val="both"/>
      </w:pPr>
      <w:r>
        <w:t xml:space="preserve">Le Brevet n° 1 protège un système de supervision et de contrôle adaptatif d'équipements industriels reposant sur l'intégration cohérente de trois axes techniques nouveaux :</w:t>
      </w:r>
    </w:p>
    <w:p>
      <w:pPr>
        <w:pStyle w:val="ListParagraph"/>
        <w:numPr>
          <w:ilvl w:val="0"/>
          <w:numId w:val="2"/>
        </w:numPr>
        <w:spacing w:after="30" w:before="30"/>
        <w:jc w:val="both"/>
      </w:pPr>
      <w:r>
        <w:t xml:space="preserve">Une modélisation causale dynamique structurant les relations entre paramètres physiques mesurés et modes de défaillance mécaniques au moyen d'une structure de données graphe multi-typée auto-adaptable par retour d'intervention ;</w:t>
      </w:r>
    </w:p>
    <w:p>
      <w:pPr>
        <w:pStyle w:val="ListParagraph"/>
        <w:numPr>
          <w:ilvl w:val="0"/>
          <w:numId w:val="2"/>
        </w:numPr>
        <w:spacing w:after="30" w:before="30"/>
        <w:jc w:val="both"/>
      </w:pPr>
      <w:r>
        <w:t xml:space="preserve">Un modèle comportemental d'actif (jumeau probabiliste) combinant modèle dynamique nominal calibré localement et graphe de dépendances fonctionnelles inter-composants ;</w:t>
      </w:r>
    </w:p>
    <w:p>
      <w:pPr>
        <w:pStyle w:val="ListParagraph"/>
        <w:numPr>
          <w:ilvl w:val="0"/>
          <w:numId w:val="2"/>
        </w:numPr>
        <w:spacing w:after="30" w:before="30"/>
        <w:jc w:val="both"/>
      </w:pPr>
      <w:r>
        <w:t xml:space="preserve">Un indice cognitif composite multi-paramètres d'actif (IMCA) fusionnant adaptativement quatre sous-indices techniques (Santé Dynamique ISD, Dérive Comportementale IDC, Stress Opérationnel ISO, Résilience Structurelle IRS), avec projection probabiliste et décomposition explicative.</w:t>
      </w:r>
    </w:p>
    <w:p>
      <w:pPr>
        <w:spacing w:after="60" w:before="60"/>
        <w:jc w:val="both"/>
      </w:pPr>
      <w:r>
        <w:t xml:space="preserve">Le présent dossier expose, pour chacun de ces trois axes, les fondements scientifiques mobilisés, l'état de l'art académique et brevets, et la démonstration de l'activité inventive.</w:t>
      </w:r>
    </w:p>
    <w:p>
      <w:pPr>
        <w:pStyle w:val="Heading2"/>
        <w:spacing w:after="120" w:before="240"/>
      </w:pPr>
      <w:r>
        <w:rPr>
          <w:b/>
          <w:bCs/>
          <w:sz w:val="26"/>
          <w:szCs w:val="26"/>
        </w:rPr>
        <w:t xml:space="preserve">1.4 Méthodologie de constitution du dossier</w:t>
      </w:r>
    </w:p>
    <w:p>
      <w:pPr>
        <w:spacing w:after="60" w:before="60"/>
        <w:jc w:val="both"/>
      </w:pPr>
      <w:r>
        <w:t xml:space="preserve">Le dossier a été constitué selon une démarche structurée : (i) cartographie des disciplines scientifiques mobilisées par chaque axe technique ; (ii) revue de littérature systématique sur les bases académiques (ScienceDirect, IEEE Xplore, Springer, ACM Digital Library, arXiv) et les bases brevets (Espacenet, USPTO, Google Patents) ; (iii) identification des normes techniques applicables (CEI, ISO) ; (iv) analyse comparative point par point entre l'invention revendiquée et chaque antériorité identifiée ; (v) formalisation des arguments d'activité inventive selon la doctrine OEB (approche problème-solution) et USPTO (test Alice/Mayo).</w:t>
      </w:r>
    </w:p>
    <w:p>
      <w:pPr>
        <w:pStyle w:val="Heading1"/>
        <w:pageBreakBefore/>
        <w:spacing w:after="160" w:before="320"/>
      </w:pPr>
      <w:r>
        <w:rPr>
          <w:b/>
          <w:bCs/>
          <w:sz w:val="32"/>
          <w:szCs w:val="32"/>
        </w:rPr>
        <w:t xml:space="preserve">2. CONTEXTE TECHNIQUE GÉNÉRAL — LA SUPERVISION INDUSTRIELLE 4.0</w:t>
      </w:r>
    </w:p>
    <w:p>
      <w:pPr>
        <w:pStyle w:val="Heading2"/>
        <w:spacing w:after="120" w:before="240"/>
      </w:pPr>
      <w:r>
        <w:rPr>
          <w:b/>
          <w:bCs/>
          <w:sz w:val="26"/>
          <w:szCs w:val="26"/>
        </w:rPr>
        <w:t xml:space="preserve">2.1 Évolution historique de la maintenance industrielle</w:t>
      </w:r>
    </w:p>
    <w:p>
      <w:pPr>
        <w:spacing w:after="60" w:before="60"/>
        <w:jc w:val="both"/>
      </w:pPr>
      <w:r>
        <w:t xml:space="preserve">La maintenance industrielle a connu cinq générations successives identifiées par la littérature spécialisée. La première génération (avant 1950) correspondait à la maintenance purement corrective : on intervient lorsque l'équipement tombe en panne. La deuxième génération (1950-1980) a introduit la maintenance préventive systématique selon calendrier, fondée sur les MTBF (Mean Time Between Failures) statistiques. La troisième génération (1980-2000) a vu l'émergence de la maintenance conditionnelle, fondée sur le suivi de paramètres mesurables (vibrations, températures, analyses d'huile). La quatrième génération (2000-2015) a apporté la maintenance prédictive par modèles statistiques exploitant les historiques de données. La cinquième génération (depuis 2015) — dite cognitive ou de l'Industrie 4.0 — cherche à combiner intelligence artificielle, jumeaux numériques, raisonnement causal et adaptation continue.</w:t>
      </w:r>
    </w:p>
    <w:p>
      <w:pPr>
        <w:spacing w:after="60" w:before="60"/>
        <w:jc w:val="both"/>
      </w:pPr>
      <w:r>
        <w:t xml:space="preserve">Chaque transition s'est accompagnée d'un déplacement de la valeur technique : du temps de réparation (1G/2G) vers la connaissance de l'état réel (3G/4G), puis vers l'anticipation explicable et la décision adaptative (5G). Le présent brevet s'inscrit dans la cinquième génération, mais s'en démarque en intégrant explicitement un effet technique sur les équipements physiques par génération de signaux de commande adaptatifs, là où la plupart des systèmes cognitifs existants se limitent à émettre des alertes ou des recommandations.</w:t>
      </w:r>
    </w:p>
    <w:p>
      <w:pPr>
        <w:pStyle w:val="Heading2"/>
        <w:spacing w:after="120" w:before="240"/>
      </w:pPr>
      <w:r>
        <w:rPr>
          <w:b/>
          <w:bCs/>
          <w:sz w:val="26"/>
          <w:szCs w:val="26"/>
        </w:rPr>
        <w:t xml:space="preserve">2.2 Pyramide d'automatisation ISA-95</w:t>
      </w:r>
    </w:p>
    <w:p>
      <w:pPr>
        <w:spacing w:after="60" w:before="60"/>
        <w:jc w:val="both"/>
      </w:pPr>
      <w:r>
        <w:t xml:space="preserve">Le standard ANSI/ISA-95 (équivalent international IEC 62264) définit cinq niveaux hiérarchiques de l'automatisation industrielle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tcW w:type="dxa" w:w="117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Niveau</w:t>
            </w:r>
          </w:p>
        </w:tc>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Désignation</w:t>
            </w:r>
          </w:p>
        </w:tc>
        <w:tc>
          <w:tcPr>
            <w:tcW w:type="dxa" w:w="585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Fonctions principales</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Niveau 0</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Procédé physique</w:t>
            </w:r>
          </w:p>
        </w:tc>
        <w:tc>
          <w:tcPr>
            <w:tcW w:type="dxa" w:w="585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Capteurs et actionneurs</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Niveau 1</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Commande</w:t>
            </w:r>
          </w:p>
        </w:tc>
        <w:tc>
          <w:tcPr>
            <w:tcW w:type="dxa" w:w="585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Automates programmables (PLC), régulateurs PID</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Niveau 2</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Supervision</w:t>
            </w:r>
          </w:p>
        </w:tc>
        <w:tc>
          <w:tcPr>
            <w:tcW w:type="dxa" w:w="585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SCADA, DCS, alarmes, historisation</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Niveau 3</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MES / GMAO</w:t>
            </w:r>
          </w:p>
        </w:tc>
        <w:tc>
          <w:tcPr>
            <w:tcW w:type="dxa" w:w="585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Exécution de fabrication, gestion de maintenance</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Niveau 4</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ERP / BI</w:t>
            </w:r>
          </w:p>
        </w:tc>
        <w:tc>
          <w:tcPr>
            <w:tcW w:type="dxa" w:w="585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Planification d'entreprise, finance</w:t>
            </w:r>
          </w:p>
        </w:tc>
      </w:tr>
    </w:tbl>
    <w:p>
      <w:pPr>
        <w:spacing w:after="60" w:before="60"/>
        <w:jc w:val="both"/>
      </w:pPr>
      <w:r>
        <w:t xml:space="preserve">L'invention du Brevet n° 1 opère principalement aux niveaux 2 et 3 (supervision + GMAO) et interagit avec le niveau 1 par émission de signaux de commande techniques. Cette inscription claire dans la pyramide ISA-95 / IEC 62264 est essentielle pour démontrer le caractère technique du système au sens de l'article 52 CBE.</w:t>
      </w:r>
    </w:p>
    <w:p>
      <w:pPr>
        <w:pStyle w:val="Heading2"/>
        <w:spacing w:after="120" w:before="240"/>
      </w:pPr>
      <w:r>
        <w:rPr>
          <w:b/>
          <w:bCs/>
          <w:sz w:val="26"/>
          <w:szCs w:val="26"/>
        </w:rPr>
        <w:t xml:space="preserve">2.3 Architectures de référence Industrie 4.0</w:t>
      </w:r>
    </w:p>
    <w:p>
      <w:pPr>
        <w:spacing w:after="60" w:before="60"/>
        <w:jc w:val="both"/>
      </w:pPr>
      <w:r>
        <w:t xml:space="preserve">Deux architectures de référence font autorité : RAMI 4.0 (Reference Architectural Model Industrie 4.0, ZVEI/DIN SPEC 91345 — Allemagne) et IIRA (Industrial Internet Reference Architecture, IIC — États-Unis). Toutes deux distinguent une couche « Asset » (équipement physique) instrumentée par des capteurs, une couche « Integration » assurant la connectivité numérique, et des couches supérieures de communication, d'information, de fonctions et de gestion business. L'invention se positionne aux couches Function et Information de RAMI 4.0.</w:t>
      </w:r>
    </w:p>
    <w:p>
      <w:pPr>
        <w:pStyle w:val="Heading2"/>
        <w:spacing w:after="120" w:before="240"/>
      </w:pPr>
      <w:r>
        <w:rPr>
          <w:b/>
          <w:bCs/>
          <w:sz w:val="26"/>
          <w:szCs w:val="26"/>
        </w:rPr>
        <w:t xml:space="preserve">2.4 Standards de protocoles industriels exploités</w:t>
      </w:r>
    </w:p>
    <w:p>
      <w:pPr>
        <w:spacing w:after="60" w:before="60"/>
        <w:jc w:val="both"/>
      </w:pPr>
      <w:r>
        <w:t xml:space="preserve">Le Brevet n° 1 exploite quatre protocoles industriels normalisés pour l'interface matérielle d'entrée :</w:t>
      </w:r>
    </w:p>
    <w:p>
      <w:pPr>
        <w:pStyle w:val="ListParagraph"/>
        <w:numPr>
          <w:ilvl w:val="0"/>
          <w:numId w:val="3"/>
        </w:numPr>
        <w:spacing w:after="30" w:before="30"/>
        <w:jc w:val="both"/>
      </w:pPr>
      <w:r>
        <w:t xml:space="preserve">MQTT (OASIS Standard, ISO/IEC 20922:2016) : protocole de messagerie léger pub/sub très utilisé en IIoT ;</w:t>
      </w:r>
    </w:p>
    <w:p>
      <w:pPr>
        <w:pStyle w:val="ListParagraph"/>
        <w:numPr>
          <w:ilvl w:val="0"/>
          <w:numId w:val="3"/>
        </w:numPr>
        <w:spacing w:after="30" w:before="30"/>
        <w:jc w:val="both"/>
      </w:pPr>
      <w:r>
        <w:t xml:space="preserve">Modbus (IEC 61158) : protocole maître-esclave série ou TCP, omniprésent dans les automates anciens et modernes ;</w:t>
      </w:r>
    </w:p>
    <w:p>
      <w:pPr>
        <w:pStyle w:val="ListParagraph"/>
        <w:numPr>
          <w:ilvl w:val="0"/>
          <w:numId w:val="3"/>
        </w:numPr>
        <w:spacing w:after="30" w:before="30"/>
        <w:jc w:val="both"/>
      </w:pPr>
      <w:r>
        <w:t xml:space="preserve">OPC-UA (IEC 62541) : architecture unifiée sécurisée pour la communication M2M industrielle, recommandée par les architectures Industrie 4.0 ;</w:t>
      </w:r>
    </w:p>
    <w:p>
      <w:pPr>
        <w:pStyle w:val="ListParagraph"/>
        <w:numPr>
          <w:ilvl w:val="0"/>
          <w:numId w:val="3"/>
        </w:numPr>
        <w:spacing w:after="30" w:before="30"/>
        <w:jc w:val="both"/>
      </w:pPr>
      <w:r>
        <w:t xml:space="preserve">LoRaWAN (IEEE 802.15.4 + spécification LoRa Alliance) : protocole longue portée basse consommation pour les capteurs IoT distants.</w:t>
      </w:r>
    </w:p>
    <w:p>
      <w:pPr>
        <w:pStyle w:val="Heading1"/>
        <w:pageBreakBefore/>
        <w:spacing w:after="160" w:before="320"/>
      </w:pPr>
      <w:r>
        <w:rPr>
          <w:b/>
          <w:bCs/>
          <w:sz w:val="32"/>
          <w:szCs w:val="32"/>
        </w:rPr>
        <w:t xml:space="preserve">3. FONDEMENTS SCIENTIFIQUES MOBILISÉS</w:t>
      </w:r>
    </w:p>
    <w:p>
      <w:pPr>
        <w:pStyle w:val="Heading2"/>
        <w:spacing w:after="120" w:before="240"/>
      </w:pPr>
      <w:r>
        <w:rPr>
          <w:b/>
          <w:bCs/>
          <w:sz w:val="26"/>
          <w:szCs w:val="26"/>
        </w:rPr>
        <w:t xml:space="preserve">3.1 Disciplines mobilisées</w:t>
      </w:r>
    </w:p>
    <w:p>
      <w:pPr>
        <w:spacing w:after="60" w:before="60"/>
        <w:jc w:val="both"/>
      </w:pPr>
      <w:r>
        <w:t xml:space="preserve">Le Brevet n° 1 mobilise un faisceau interdisciplinaire de disciplines scientifiques et techniques :</w:t>
      </w:r>
    </w:p>
    <w:p>
      <w:pPr>
        <w:pStyle w:val="ListParagraph"/>
        <w:numPr>
          <w:ilvl w:val="0"/>
          <w:numId w:val="3"/>
        </w:numPr>
        <w:spacing w:after="30" w:before="30"/>
        <w:jc w:val="both"/>
      </w:pPr>
      <w:r>
        <w:t xml:space="preserve">Automatique et systèmes asservis : théorie des systèmes adaptatifs, contrôle adaptatif au sens G05B 13 ;</w:t>
      </w:r>
    </w:p>
    <w:p>
      <w:pPr>
        <w:pStyle w:val="ListParagraph"/>
        <w:numPr>
          <w:ilvl w:val="0"/>
          <w:numId w:val="3"/>
        </w:numPr>
        <w:spacing w:after="30" w:before="30"/>
        <w:jc w:val="both"/>
      </w:pPr>
      <w:r>
        <w:t xml:space="preserve">Théorie des graphes : graphes orientés pondérés, algorithmes de parcours (BFS, DFS), graphes de dépendances fonctionnelles ;</w:t>
      </w:r>
    </w:p>
    <w:p>
      <w:pPr>
        <w:pStyle w:val="ListParagraph"/>
        <w:numPr>
          <w:ilvl w:val="0"/>
          <w:numId w:val="3"/>
        </w:numPr>
        <w:spacing w:after="30" w:before="30"/>
        <w:jc w:val="both"/>
      </w:pPr>
      <w:r>
        <w:t xml:space="preserve">Statistiques multivariées : distance de Mahalanobis, divergence de Kullback-Leibler, intervalles de confiance ;</w:t>
      </w:r>
    </w:p>
    <w:p>
      <w:pPr>
        <w:pStyle w:val="ListParagraph"/>
        <w:numPr>
          <w:ilvl w:val="0"/>
          <w:numId w:val="3"/>
        </w:numPr>
        <w:spacing w:after="30" w:before="30"/>
        <w:jc w:val="both"/>
      </w:pPr>
      <w:r>
        <w:t xml:space="preserve">Processus stochastiques de dégradation : processus de Wiener, processus Gamma, processus inverse-Gaussien ;</w:t>
      </w:r>
    </w:p>
    <w:p>
      <w:pPr>
        <w:pStyle w:val="ListParagraph"/>
        <w:numPr>
          <w:ilvl w:val="0"/>
          <w:numId w:val="3"/>
        </w:numPr>
        <w:spacing w:after="30" w:before="30"/>
        <w:jc w:val="both"/>
      </w:pPr>
      <w:r>
        <w:t xml:space="preserve">Inférence bayésienne : mise à jour des paramètres d'un modèle par observation, distributions a posteriori ;</w:t>
      </w:r>
    </w:p>
    <w:p>
      <w:pPr>
        <w:pStyle w:val="ListParagraph"/>
        <w:numPr>
          <w:ilvl w:val="0"/>
          <w:numId w:val="3"/>
        </w:numPr>
        <w:spacing w:after="30" w:before="30"/>
        <w:jc w:val="both"/>
      </w:pPr>
      <w:r>
        <w:t xml:space="preserve">Apprentissage par renforcement : règles d'ajustement de poids structurées par signal de récompense ;</w:t>
      </w:r>
    </w:p>
    <w:p>
      <w:pPr>
        <w:pStyle w:val="ListParagraph"/>
        <w:numPr>
          <w:ilvl w:val="0"/>
          <w:numId w:val="3"/>
        </w:numPr>
        <w:spacing w:after="30" w:before="30"/>
        <w:jc w:val="both"/>
      </w:pPr>
      <w:r>
        <w:t xml:space="preserve">Mécanique des matériaux et tribologie : modèles physiques fondamentaux (ISO 281 roulements, loi d'Arrhenius pour vieillissement isolation, théorème de Bernoulli pour cavitation) ;</w:t>
      </w:r>
    </w:p>
    <w:p>
      <w:pPr>
        <w:pStyle w:val="ListParagraph"/>
        <w:numPr>
          <w:ilvl w:val="0"/>
          <w:numId w:val="3"/>
        </w:numPr>
        <w:spacing w:after="30" w:before="30"/>
        <w:jc w:val="both"/>
      </w:pPr>
      <w:r>
        <w:t xml:space="preserve">Représentation des connaissances : ontologies industrielles, graphes de connaissances multi-typés.</w:t>
      </w:r>
    </w:p>
    <w:p>
      <w:pPr>
        <w:pStyle w:val="Heading2"/>
        <w:spacing w:after="120" w:before="240"/>
      </w:pPr>
      <w:r>
        <w:rPr>
          <w:b/>
          <w:bCs/>
          <w:sz w:val="26"/>
          <w:szCs w:val="26"/>
        </w:rPr>
        <w:t xml:space="preserve">3.2 Théorie du contrôle adaptatif (G05B 13/02 et 13/04)</w:t>
      </w:r>
    </w:p>
    <w:p>
      <w:pPr>
        <w:spacing w:after="60" w:before="60"/>
        <w:jc w:val="both"/>
      </w:pPr>
      <w:r>
        <w:t xml:space="preserve">Un système de contrôle est dit « adaptatif » lorsqu'il modifie automatiquement, en cours de fonctionnement, ses propres paramètres internes en fonction des observations effectuées sur le processus contrôlé. La littérature classique (Åström &amp; Wittenmark, 2008 ; Ioannou &amp; Sun, 2012) distingue trois grandes familles : les contrôleurs auto-réglables (Self-Tuning Regulators), les contrôleurs à modèle de référence (Model Reference Adaptive Control), et les contrôleurs robustes à gain programmé (Gain Scheduling). Le Brevet n° 1 propose une approche hybride : la structure de représentation interne (graphe causal + jumeau comportemental + sous-indices IMCA) constitue le « modèle » du processus physique, et le mécanisme d'adaptation par retour d'intervention constitue le « réglage » continu de ce modèle. Cette inscription dans le champ des G05B 13 est primordiale pour la défensibilité du brevet face aux objections d'abstraction (Alice/Mayo).</w:t>
      </w:r>
    </w:p>
    <w:p>
      <w:pPr>
        <w:spacing w:after="60" w:before="60"/>
        <w:jc w:val="both"/>
      </w:pPr>
      <w:r>
        <w:t xml:space="preserve">Au sens de la norme G05B 13/04 (« Systèmes de contrôle adaptatif comprenant des modèles ou des estimations »), la modélisation causale et le jumeau comportemental du Brevet n° 1 sont des « modèles » du processus physique, dont les paramètres sont adaptés continûment par estimation.</w:t>
      </w:r>
    </w:p>
    <w:p>
      <w:pPr>
        <w:pStyle w:val="Heading2"/>
        <w:spacing w:after="120" w:before="240"/>
      </w:pPr>
      <w:r>
        <w:rPr>
          <w:b/>
          <w:bCs/>
          <w:sz w:val="26"/>
          <w:szCs w:val="26"/>
        </w:rPr>
        <w:t xml:space="preserve">3.3 Distance de Mahalanobis pour la détection d'anomalies</w:t>
      </w:r>
    </w:p>
    <w:p>
      <w:pPr>
        <w:spacing w:after="60" w:before="60"/>
        <w:jc w:val="both"/>
      </w:pPr>
      <w:r>
        <w:t xml:space="preserve">La distance de Mahalanobis (Mahalanobis, 1936) est une mesure de distance statistique entre un point et une distribution multivariée, tenant compte de la covariance entre dimensions. Pour un vecteur d'observations x ∈ ℝᵈ et une distribution gaussienne multivariée 𝒩(μ, Σ) :</w:t>
      </w:r>
    </w:p>
    <w:p>
      <w:pPr>
        <w:spacing w:after="80" w:before="80"/>
        <w:jc w:val="center"/>
      </w:pPr>
      <w:r>
        <w:rPr>
          <w:rFonts w:ascii="Consolas" w:cs="Consolas" w:eastAsia="Consolas" w:hAnsi="Consolas"/>
          <w:b/>
          <w:bCs/>
          <w:sz w:val="22"/>
          <w:szCs w:val="22"/>
        </w:rPr>
        <w:t xml:space="preserve">D_M(x, μ, Σ) = √((x − μ)ᵀ Σ⁻¹ (x − μ))</w:t>
      </w:r>
    </w:p>
    <w:p>
      <w:pPr>
        <w:spacing w:after="60" w:before="60"/>
        <w:jc w:val="both"/>
      </w:pPr>
      <w:r>
        <w:t xml:space="preserve">Cette distance présente l'avantage technique majeur d'être invariante par changement d'échelle des dimensions et de tenir compte des corrélations attendues entre signaux capteurs. Elle est largement utilisée en surveillance d'état de machines (Wang et al. 2017 ; Yan et al. 2020) pour la détection précoce d'anomalies. Le Brevet n° 1 l'exploite dans le calcul de l'Indice de Santé Dynamique (ISD) :</w:t>
      </w:r>
    </w:p>
    <w:p>
      <w:pPr>
        <w:spacing w:after="80" w:before="80"/>
        <w:jc w:val="center"/>
      </w:pPr>
      <w:r>
        <w:rPr>
          <w:rFonts w:ascii="Consolas" w:cs="Consolas" w:eastAsia="Consolas" w:hAnsi="Consolas"/>
          <w:b/>
          <w:bCs/>
          <w:sz w:val="22"/>
          <w:szCs w:val="22"/>
        </w:rPr>
        <w:t xml:space="preserve">ISD(t) = 100 × exp(−α × D_M(x(t), M_nom))</w:t>
      </w:r>
    </w:p>
    <w:p>
      <w:pPr>
        <w:spacing w:after="60" w:before="60"/>
        <w:jc w:val="both"/>
      </w:pPr>
      <w:r>
        <w:t xml:space="preserve">où x(t) est le vecteur des signaux capteurs à l'instant t, M_nom le modèle nominal du jumeau (distribution gaussienne calibrée), et α un paramètre de calibration.</w:t>
      </w:r>
    </w:p>
    <w:p>
      <w:pPr>
        <w:pStyle w:val="Heading2"/>
        <w:spacing w:after="120" w:before="240"/>
      </w:pPr>
      <w:r>
        <w:rPr>
          <w:b/>
          <w:bCs/>
          <w:sz w:val="26"/>
          <w:szCs w:val="26"/>
        </w:rPr>
        <w:t xml:space="preserve">3.4 Divergence de Kullback-Leibler et détection de dérive lente</w:t>
      </w:r>
    </w:p>
    <w:p>
      <w:pPr>
        <w:spacing w:after="60" w:before="60"/>
        <w:jc w:val="both"/>
      </w:pPr>
      <w:r>
        <w:t xml:space="preserve">La divergence de Kullback-Leibler (Kullback &amp; Leibler, 1951) mesure la dissimilarité entre deux distributions de probabilité P et Q :</w:t>
      </w:r>
    </w:p>
    <w:p>
      <w:pPr>
        <w:spacing w:after="80" w:before="80"/>
        <w:jc w:val="center"/>
      </w:pPr>
      <w:r>
        <w:rPr>
          <w:rFonts w:ascii="Consolas" w:cs="Consolas" w:eastAsia="Consolas" w:hAnsi="Consolas"/>
          <w:b/>
          <w:bCs/>
          <w:sz w:val="22"/>
          <w:szCs w:val="22"/>
        </w:rPr>
        <w:t xml:space="preserve">D_KL(P || Q) = ∫ P(x) log(P(x)/Q(x)) dx</w:t>
      </w:r>
    </w:p>
    <w:p>
      <w:pPr>
        <w:spacing w:after="60" w:before="60"/>
        <w:jc w:val="both"/>
      </w:pPr>
      <w:r>
        <w:t xml:space="preserve">Cette divergence — non symétrique — est l'outil de référence pour mesurer comment la distribution observée des signaux s'éloigne progressivement d'une distribution attendue. Le Brevet n° 1 l'exploite dans le calcul de l'Indice de Dérive Comportementale (IDC) sur fenêtre glissante longue :</w:t>
      </w:r>
    </w:p>
    <w:p>
      <w:pPr>
        <w:spacing w:after="80" w:before="80"/>
        <w:jc w:val="center"/>
      </w:pPr>
      <w:r>
        <w:rPr>
          <w:rFonts w:ascii="Consolas" w:cs="Consolas" w:eastAsia="Consolas" w:hAnsi="Consolas"/>
          <w:b/>
          <w:bCs/>
          <w:sz w:val="22"/>
          <w:szCs w:val="22"/>
        </w:rPr>
        <w:t xml:space="preserve">IDC(t) = 100 × (1 − tanh(β × D_KL(P_obs(t), P_obs(t−T))))</w:t>
      </w:r>
    </w:p>
    <w:p>
      <w:pPr>
        <w:spacing w:after="60" w:before="60"/>
        <w:jc w:val="both"/>
      </w:pPr>
      <w:r>
        <w:t xml:space="preserve">où P_obs(t) est la distribution observée sur la fenêtre [t−T, t] (typiquement T entre 30 et 90 jours), et β un paramètre de calibration. La fonction tanh assure une normalisation dans [0,1] et une saturation pour les fortes divergences.</w:t>
      </w:r>
    </w:p>
    <w:p>
      <w:pPr>
        <w:pStyle w:val="Heading2"/>
        <w:spacing w:after="120" w:before="240"/>
      </w:pPr>
      <w:r>
        <w:rPr>
          <w:b/>
          <w:bCs/>
          <w:sz w:val="26"/>
          <w:szCs w:val="26"/>
        </w:rPr>
        <w:t xml:space="preserve">3.5 Processus stochastiques de dégradation</w:t>
      </w:r>
    </w:p>
    <w:p>
      <w:pPr>
        <w:spacing w:after="60" w:before="60"/>
        <w:jc w:val="both"/>
      </w:pPr>
      <w:r>
        <w:t xml:space="preserve">La modélisation probabiliste de la dégradation d'équipements industriels exploite trois familles principales de processus stochastiques (Ye &amp; Xie, 2015 ; Le Son et al. 2013) :</w:t>
      </w:r>
    </w:p>
    <w:p>
      <w:pPr>
        <w:pStyle w:val="ListParagraph"/>
        <w:numPr>
          <w:ilvl w:val="0"/>
          <w:numId w:val="3"/>
        </w:numPr>
        <w:spacing w:after="30" w:before="30"/>
        <w:jc w:val="both"/>
      </w:pPr>
      <w:r>
        <w:t xml:space="preserve">Processus de Wiener : adapté aux dégradations non monotones (fluctuations), excellent pour roulements, batteries lithium-ion, composants électroniques ;</w:t>
      </w:r>
    </w:p>
    <w:p>
      <w:pPr>
        <w:pStyle w:val="ListParagraph"/>
        <w:numPr>
          <w:ilvl w:val="0"/>
          <w:numId w:val="3"/>
        </w:numPr>
        <w:spacing w:after="30" w:before="30"/>
        <w:jc w:val="both"/>
      </w:pPr>
      <w:r>
        <w:t xml:space="preserve">Processus Gamma : adapté aux dégradations strictement monotones par incréments positifs, excellent pour corrosion, propagation de fissures de fatigue ;</w:t>
      </w:r>
    </w:p>
    <w:p>
      <w:pPr>
        <w:pStyle w:val="ListParagraph"/>
        <w:numPr>
          <w:ilvl w:val="0"/>
          <w:numId w:val="3"/>
        </w:numPr>
        <w:spacing w:after="30" w:before="30"/>
        <w:jc w:val="both"/>
      </w:pPr>
      <w:r>
        <w:t xml:space="preserve">Processus inverse-Gaussien : adapté aux dégradations à variance croissante, alternative au Wiener.</w:t>
      </w:r>
    </w:p>
    <w:p>
      <w:pPr>
        <w:spacing w:after="60" w:before="60"/>
        <w:jc w:val="both"/>
      </w:pPr>
      <w:r>
        <w:t xml:space="preserve">Le Brevet n° 1 prévoit l'utilisation alternative de ces trois processus dans la projection probabiliste de l'IMCA (revendication 8), permettant au CPI de couvrir un large spectre d'équipements. La sélection du processus approprié peut être faite automatiquement par sélection de modèle (AIC, BIC) sur les données historiques.</w:t>
      </w:r>
    </w:p>
    <w:p>
      <w:pPr>
        <w:pStyle w:val="Heading2"/>
        <w:spacing w:after="120" w:before="240"/>
      </w:pPr>
      <w:r>
        <w:rPr>
          <w:b/>
          <w:bCs/>
          <w:sz w:val="26"/>
          <w:szCs w:val="26"/>
        </w:rPr>
        <w:t xml:space="preserve">3.6 Apprentissage par renforcement structuré</w:t>
      </w:r>
    </w:p>
    <w:p>
      <w:pPr>
        <w:spacing w:after="60" w:before="60"/>
        <w:jc w:val="both"/>
      </w:pPr>
      <w:r>
        <w:t xml:space="preserve">L'apprentissage par renforcement (Sutton &amp; Barto, 2018) est un paradigme d'apprentissage où un agent ajuste sa politique sur la base d'un signal de récompense. Le Brevet n° 1 exploite une forme spécifique et inédite : l'apprentissage par renforcement structuré appliqué aux poids des arêtes d'un graphe causal, avec règles asymétriques succès/échec et bornes physiquement justifiées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Cas</w:t>
            </w:r>
          </w:p>
        </w:tc>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Δ poids indicates</w:t>
            </w:r>
          </w:p>
        </w:tc>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Δ poids resolves</w:t>
            </w:r>
          </w:p>
        </w:tc>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Borne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Succès observé</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+0,02</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+0,03</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Plafond 1,0</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Échec observé</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−0,05</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−0,05</w:t>
            </w:r>
          </w:p>
        </w:tc>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Plancher 0,1</w:t>
            </w:r>
          </w:p>
        </w:tc>
      </w:tr>
    </w:tbl>
    <w:p>
      <w:pPr>
        <w:spacing w:after="60" w:before="60"/>
        <w:jc w:val="both"/>
      </w:pPr>
      <w:r>
        <w:t xml:space="preserve">L'asymétrie technique (pas négatif strictement supérieur en valeur absolue au pas positif maximal) traduit le principe de prudence : un échec discrédite plus rapidement un lien causal qu'un succès ne le valide. Cette asymétrie est cohérente avec les heuristiques bayésiennes de robustesse (Bishop, 2006, ch. 1.2.4).</w:t>
      </w:r>
    </w:p>
    <w:p>
      <w:pPr>
        <w:pStyle w:val="Heading2"/>
        <w:spacing w:after="120" w:before="240"/>
      </w:pPr>
      <w:r>
        <w:rPr>
          <w:b/>
          <w:bCs/>
          <w:sz w:val="26"/>
          <w:szCs w:val="26"/>
        </w:rPr>
        <w:t xml:space="preserve">3.7 Théorie des graphes de connaissances industriels</w:t>
      </w:r>
    </w:p>
    <w:p>
      <w:pPr>
        <w:spacing w:after="60" w:before="60"/>
        <w:jc w:val="both"/>
      </w:pPr>
      <w:r>
        <w:t xml:space="preserve">Un graphe de connaissances (Hogan et al., 2021) est une structure de données G = (V, E) où V est un ensemble d'entités typées et E un ensemble de relations typées entre ces entités. Dans le contexte industriel, les travaux récents (Liu et al. 2024 — ScienceDirect ; Ammann et al. 2024 ; Xu et al. 2024) ont proposé l'usage de KG pour la digitalisation du savoir de maintenance. Le Brevet n° 1 introduit une typologie spécifique à cinq types de nœuds (équipement, symptôme, cause, intervention, contexte) et sept types d'arêtes pondérées (affects, indicates, resolves, causes, correlates_with, requires, preceded_by), inspirée des standards ISO 14224 (collecte de données de fiabilité industrielle) et ISO 13374 (collecte, traitement et présentation des données de surveillance d'état).</w:t>
      </w:r>
    </w:p>
    <w:p>
      <w:pPr>
        <w:pStyle w:val="Heading1"/>
        <w:pageBreakBefore/>
        <w:spacing w:after="160" w:before="320"/>
      </w:pPr>
      <w:r>
        <w:rPr>
          <w:b/>
          <w:bCs/>
          <w:sz w:val="32"/>
          <w:szCs w:val="32"/>
        </w:rPr>
        <w:t xml:space="preserve">4. ÉTAT DE L'ART ACADÉMIQUE — REVUE DE LITTÉRATURE</w:t>
      </w:r>
    </w:p>
    <w:p>
      <w:pPr>
        <w:pStyle w:val="Heading2"/>
        <w:spacing w:after="120" w:before="240"/>
      </w:pPr>
      <w:r>
        <w:rPr>
          <w:b/>
          <w:bCs/>
          <w:sz w:val="26"/>
          <w:szCs w:val="26"/>
        </w:rPr>
        <w:t xml:space="preserve">4.1 Indicateurs de santé composites pour actifs industriels</w:t>
      </w:r>
    </w:p>
    <w:p>
      <w:pPr>
        <w:spacing w:after="60" w:before="60"/>
        <w:jc w:val="both"/>
      </w:pPr>
      <w:r>
        <w:t xml:space="preserve">La construction d'un indicateur de santé synthétique (Health Indicator, HI) à partir de signaux capteurs hétérogènes constitue un domaine de recherche actif depuis une quinzaine d'années. La littérature distingue trois critères de qualité d'un HI (Coble &amp; Hines, 2009) : monotonicité (le HI doit décroître quand la dégradation progresse), prognosabilité (le HI doit être prédictif), et tendabilité (le HI doit présenter une tendance lisible).</w:t>
      </w:r>
    </w:p>
    <w:p>
      <w:pPr>
        <w:spacing w:after="60" w:before="60"/>
        <w:jc w:val="both"/>
      </w:pPr>
      <w:r>
        <w:t xml:space="preserve">Wang et al. (2024, Engineering Applications of AI, vol. 138) ont publié une revue systématique des méthodes de construction d'HI pour les machines tournantes, distinguant les approches par traitement du signal (FFT, ondelettes, kurtosis), les approches statistiques (PCA, distance de Mahalanobis), et les approches par apprentissage profond (auto-encodeurs, contrastive learning). Aucune des approches recensées ne combine simultanément, comme le fait le Brevet n° 1, quatre sous-indices structurellement distincts (Santé Dynamique, Dérive Comportementale, Stress Opérationnel, Résilience Structurelle) avec pondérations contextuelles dynamiques.</w:t>
      </w:r>
    </w:p>
    <w:p>
      <w:pPr>
        <w:spacing w:after="60" w:before="60"/>
        <w:jc w:val="both"/>
      </w:pPr>
      <w:r>
        <w:t xml:space="preserve">Hosseini &amp; Rai (2025, Scientific Reports, vol. 15) ont proposé un cadre d'indice de santé global pour l'industrie pétrolière et gazière intégrant données de production, conditions opérationnelles et historique d'incidents. Leur approche se rapproche de l'IMCA mais reste sectorielle et n'intègre pas explicitement la dimension de résilience structurelle ni la projection probabiliste d'horizon temporel.</w:t>
      </w:r>
    </w:p>
    <w:p>
      <w:pPr>
        <w:spacing w:after="60" w:before="60"/>
        <w:jc w:val="both"/>
      </w:pPr>
      <w:r>
        <w:t xml:space="preserve">Tan et al. (2021, MDPI Energies 14:28) ont développé un indicateur composite intégrant le profil de risque dynamique et la fonction de pertes financières. Leur approche utilise la distance de Mahalanobis robuste mais ne fournit pas la décomposition explicative ni la projection probabiliste de l'IMCA.</w:t>
      </w:r>
    </w:p>
    <w:p>
      <w:pPr>
        <w:spacing w:after="60" w:before="60"/>
        <w:jc w:val="both"/>
      </w:pPr>
      <w:r>
        <w:t xml:space="preserve">Liu et al. (2024, arXiv 2208.13288) ont proposé une approche par contrastive learning non supervisé pour construire des HI à partir des données opérationnelles, en utilisant le temps d'opération comme proxy de la dégradation. Cette approche, purement basée sur l'apprentissage profond, n'offre pas l'interprétabilité native de l'IMCA décomposable du Brevet n° 1.</w:t>
      </w:r>
    </w:p>
    <w:p>
      <w:pPr>
        <w:spacing w:after="60" w:before="60"/>
        <w:jc w:val="both"/>
      </w:pPr>
      <w:r>
        <w:t xml:space="preserve">Bhuiyan et al. (2024, Applied Intelligence) ont développé un réseau de neurones interprétable à poids discrétisés pour les indicateurs de santé de moteurs d'avion. L'interprétabilité y est obtenue par discrétisation post-entraînement, alors que l'IMCA du Brevet n° 1 est interprétable par construction (décomposition explicite par sous-indice et par pondération contextuelle).</w:t>
      </w:r>
    </w:p>
    <w:p>
      <w:pPr>
        <w:pStyle w:val="Heading2"/>
        <w:spacing w:after="120" w:before="240"/>
      </w:pPr>
      <w:r>
        <w:rPr>
          <w:b/>
          <w:bCs/>
          <w:sz w:val="26"/>
          <w:szCs w:val="26"/>
        </w:rPr>
        <w:t xml:space="preserve">4.2 Graphes de connaissances pour la maintenance industrielle</w:t>
      </w:r>
    </w:p>
    <w:p>
      <w:pPr>
        <w:spacing w:after="60" w:before="60"/>
        <w:jc w:val="both"/>
      </w:pPr>
      <w:r>
        <w:t xml:space="preserve">L'usage des graphes de connaissances en maintenance industrielle a connu une accélération marquée depuis 2022. Liu et al. (2025, ScienceDirect, « Knowledge graphs for operational decision-making in industrial maintenance: A systematic review ») ont conduit une revue systématique recensant 87 publications majeures sur la période 2018-2024, classifiant les contributions selon la nature des données intégrées et les types de décisions supportées.</w:t>
      </w:r>
    </w:p>
    <w:p>
      <w:pPr>
        <w:spacing w:after="60" w:before="60"/>
        <w:jc w:val="both"/>
      </w:pPr>
      <w:r>
        <w:t xml:space="preserve">Cao et al. (2023, Reliability Engineering &amp; System Safety) ont proposé un système de recommandation de planification de maintenance basé sur KG et Graph Neural Networks pour équipements industriels complexes. Leur architecture reste statique : les poids des arêtes ne sont pas adaptés par retour d'intervention.</w:t>
      </w:r>
    </w:p>
    <w:p>
      <w:pPr>
        <w:spacing w:after="60" w:before="60"/>
        <w:jc w:val="both"/>
      </w:pPr>
      <w:r>
        <w:t xml:space="preserve">Zhang et al. (2025, Advanced Engineering Informatics) ont décrit une méthode de construction de KG enrichie par un Multimodal Large Language Model pour l'opération et la maintenance d'équipements industriels. L'enrichissement par LLM est utilisé en phase de construction, non en phase d'opération continue comme dans le Brevet n° 1.</w:t>
      </w:r>
    </w:p>
    <w:p>
      <w:pPr>
        <w:spacing w:after="60" w:before="60"/>
        <w:jc w:val="both"/>
      </w:pPr>
      <w:r>
        <w:t xml:space="preserve">Wang et al. (2024, International Journal of Advanced Manufacturing Technology) ont proposé une méthode de diagnostic de fautes d'équipements pilotée par KG pour la fabrication intelligente. Leur graphe est appris par embedding mais sans typologie causale explicite à cinq types de nœuds comme dans le Brevet n° 1.</w:t>
      </w:r>
    </w:p>
    <w:p>
      <w:pPr>
        <w:spacing w:after="60" w:before="60"/>
        <w:jc w:val="both"/>
      </w:pPr>
      <w:r>
        <w:t xml:space="preserve">Sun et al. (2026, Reliability Engineering &amp; System Safety) ont publié une méthode de décision intelligente multi-granularité sur KG à grande échelle pour O&amp;M d'équipement. Leur approche multi-échelle est complémentaire mais ne couvre pas l'adaptation des poids par retour d'intervention.</w:t>
      </w:r>
    </w:p>
    <w:p>
      <w:pPr>
        <w:spacing w:after="60" w:before="60"/>
        <w:jc w:val="both"/>
      </w:pPr>
      <w:r>
        <w:t xml:space="preserve">Maire et al. (2022, CEUR Workshop Proceedings) ont identifié les défis de construction et de maintenance des KG industriels, soulignant le besoin de mécanismes d'actualisation continue. Le Brevet n° 1 répond précisément à ce besoin par son module d'adaptation structurée.</w:t>
      </w:r>
    </w:p>
    <w:p>
      <w:pPr>
        <w:pStyle w:val="Heading2"/>
        <w:spacing w:after="120" w:before="240"/>
      </w:pPr>
      <w:r>
        <w:rPr>
          <w:b/>
          <w:bCs/>
          <w:sz w:val="26"/>
          <w:szCs w:val="26"/>
        </w:rPr>
        <w:t xml:space="preserve">4.3 Apprentissage par renforcement sur graphes de connaissances</w:t>
      </w:r>
    </w:p>
    <w:p>
      <w:pPr>
        <w:spacing w:after="60" w:before="60"/>
        <w:jc w:val="both"/>
      </w:pPr>
      <w:r>
        <w:t xml:space="preserve">La combinaison KG + apprentissage par renforcement (KG-RL) est étudiée depuis 2017-2018 dans le contexte de la question-réponse et de la complétion de KG (Xiong et al. 2017, DeepPath). Les travaux récents (Causal Reinforcement Learning for Knowledge Graph Reasoning, MDPI Applied Sciences 14(6):2498, 2024) explorent l'intégration de causalité dans le raisonnement KG-RL. Ces travaux concernent toutefois le raisonnement sur des KG généralistes (jugement de plausibilité de triplets), non l'ajustement structuré des poids d'un KG industriel à partir d'un retour binaire succès/échec d'intervention technique. Le Brevet n° 1 occupe donc un espace distinct.</w:t>
      </w:r>
    </w:p>
    <w:p>
      <w:pPr>
        <w:pStyle w:val="Heading2"/>
        <w:spacing w:after="120" w:before="240"/>
      </w:pPr>
      <w:r>
        <w:rPr>
          <w:b/>
          <w:bCs/>
          <w:sz w:val="26"/>
          <w:szCs w:val="26"/>
        </w:rPr>
        <w:t xml:space="preserve">4.4 Jumeaux numériques comportementaux</w:t>
      </w:r>
    </w:p>
    <w:p>
      <w:pPr>
        <w:spacing w:after="60" w:before="60"/>
        <w:jc w:val="both"/>
      </w:pPr>
      <w:r>
        <w:t xml:space="preserve">Le concept de jumeau numérique (Digital Twin) a été formalisé par Grieves (2002) et popularisé par les travaux de Tao et al. (2018, Engineering). Trois niveaux de jumeaux sont distingués : le Digital Model (réplique passive), le Digital Shadow (synchronisation unidirectionnelle données → modèle), et le Digital Twin (synchronisation bidirectionnelle avec rétroaction).</w:t>
      </w:r>
    </w:p>
    <w:p>
      <w:pPr>
        <w:spacing w:after="60" w:before="60"/>
        <w:jc w:val="both"/>
      </w:pPr>
      <w:r>
        <w:t xml:space="preserve">Les implémentations commerciales (Siemens MindSphere Digital Twin, GE Predix, PTC ThingWorx, AWS Twin Maker) opèrent essentiellement comme Digital Shadows enrichis, avec des modèles physiques simulés. Aucune ne combine, comme le Brevet n° 1, un modèle dynamique nominal calibré localement par equipment (revendication 2) ET un graphe de dépendances fonctionnelles inter-composants (revendication 3) ET un indice cognitif composite multi-paramètres (revendications 6 à 10).</w:t>
      </w:r>
    </w:p>
    <w:p>
      <w:pPr>
        <w:spacing w:after="60" w:before="60"/>
        <w:jc w:val="both"/>
      </w:pPr>
      <w:r>
        <w:t xml:space="preserve">Aivaliotis et al. (2019, Journal of Cleaner Production) ont proposé un Digital Twin basé sur la modélisation comportementale pour la maintenance prédictive. Leur approche n'intègre pas le graphe causal multi-typé du Brevet n° 1.</w:t>
      </w:r>
    </w:p>
    <w:p>
      <w:pPr>
        <w:pStyle w:val="Heading2"/>
        <w:spacing w:after="120" w:before="240"/>
      </w:pPr>
      <w:r>
        <w:rPr>
          <w:b/>
          <w:bCs/>
          <w:sz w:val="26"/>
          <w:szCs w:val="26"/>
        </w:rPr>
        <w:t xml:space="preserve">4.5 Processus stochastiques de dégradation et prédiction de RUL</w:t>
      </w:r>
    </w:p>
    <w:p>
      <w:pPr>
        <w:spacing w:after="60" w:before="60"/>
        <w:jc w:val="both"/>
      </w:pPr>
      <w:r>
        <w:t xml:space="preserve">Zhang et al. (2018, European Journal of Operational Research 271:775-796) ont publié la revue de référence sur les méthodes de prédiction de RUL (Remaining Useful Life) basées sur processus de Wiener. Si et al. (2024, PMC) ont étendu ces travaux par un modèle Wiener adaptatif considérant la variabilité multi-source.</w:t>
      </w:r>
    </w:p>
    <w:p>
      <w:pPr>
        <w:spacing w:after="60" w:before="60"/>
        <w:jc w:val="both"/>
      </w:pPr>
      <w:r>
        <w:t xml:space="preserve">Hao et al. (2024, Frontiers in Mechanical Engineering) ont publié une modélisation de la dégradation par processus stochastique multivarié appliqué aux équipements mécaniques. Wang et al. (2024, ResearchGate) ont proposé un modèle Wiener à phases multiples basé sur le BIC pour la prédiction de RUL.</w:t>
      </w:r>
    </w:p>
    <w:p>
      <w:pPr>
        <w:spacing w:after="60" w:before="60"/>
        <w:jc w:val="both"/>
      </w:pPr>
      <w:r>
        <w:t xml:space="preserve">Xu et al. (2025, Scientific Reports) ont étendu la modélisation Wiener au cas de stress multiples pour appareils électroniques. La projection probabiliste de l'IMCA du Brevet n° 1 (revendication 8) permet l'utilisation alternative de ces processus en fonction de la nature de l'équipement supervisé, ce qui constitue une généralisation pratique du domaine.</w:t>
      </w:r>
    </w:p>
    <w:p>
      <w:pPr>
        <w:pStyle w:val="Heading2"/>
        <w:spacing w:after="120" w:before="240"/>
      </w:pPr>
      <w:r>
        <w:rPr>
          <w:b/>
          <w:bCs/>
          <w:sz w:val="26"/>
          <w:szCs w:val="26"/>
        </w:rPr>
        <w:t xml:space="preserve">4.6 Modèles physiques fondamentaux</w:t>
      </w:r>
    </w:p>
    <w:p>
      <w:pPr>
        <w:spacing w:after="60" w:before="60"/>
        <w:jc w:val="both"/>
      </w:pPr>
      <w:r>
        <w:t xml:space="preserve">Le Brevet n° 1 intègre subsidiairement quatre modèles physiques fondamentaux dans le jumeau comportemental :</w:t>
      </w:r>
    </w:p>
    <w:p>
      <w:pPr>
        <w:pStyle w:val="ListParagraph"/>
        <w:numPr>
          <w:ilvl w:val="0"/>
          <w:numId w:val="3"/>
        </w:numPr>
        <w:spacing w:after="30" w:before="30"/>
        <w:jc w:val="both"/>
      </w:pPr>
      <w:r>
        <w:t xml:space="preserve">Norme ISO 281 (Roulements — Charges dynamiques de base et durées nominales) : équation L₁₀ = (C/P)^p avec facteurs de correction température, vibration, vitesse, charge ;</w:t>
      </w:r>
    </w:p>
    <w:p>
      <w:pPr>
        <w:pStyle w:val="ListParagraph"/>
        <w:numPr>
          <w:ilvl w:val="0"/>
          <w:numId w:val="3"/>
        </w:numPr>
        <w:spacing w:after="30" w:before="30"/>
        <w:jc w:val="both"/>
      </w:pPr>
      <w:r>
        <w:t xml:space="preserve">Loi d'Arrhenius (1889) pour le vieillissement thermique des isolations électriques : k = A·exp(−E_a/RT), spécifiquement Montsinger (1930) avec règle des 10 K (la durée de vie est divisée par 2 pour chaque 10 K supplémentaires) ;</w:t>
      </w:r>
    </w:p>
    <w:p>
      <w:pPr>
        <w:pStyle w:val="ListParagraph"/>
        <w:numPr>
          <w:ilvl w:val="0"/>
          <w:numId w:val="3"/>
        </w:numPr>
        <w:spacing w:after="30" w:before="30"/>
        <w:jc w:val="both"/>
      </w:pPr>
      <w:r>
        <w:t xml:space="preserve">Théorème de Bernoulli et concept de NPSH (Net Positive Suction Head) pour la cavitation des pompes ;</w:t>
      </w:r>
    </w:p>
    <w:p>
      <w:pPr>
        <w:pStyle w:val="ListParagraph"/>
        <w:numPr>
          <w:ilvl w:val="0"/>
          <w:numId w:val="3"/>
        </w:numPr>
        <w:spacing w:after="30" w:before="30"/>
        <w:jc w:val="both"/>
      </w:pPr>
      <w:r>
        <w:t xml:space="preserve">Compression isentropique d'un gaz parfait : T₂/T₁ = (P₂/P₁)^((γ−1)/γ) pour la performance des compresseurs.</w:t>
      </w:r>
    </w:p>
    <w:p>
      <w:pPr>
        <w:pStyle w:val="Heading2"/>
        <w:spacing w:after="120" w:before="240"/>
      </w:pPr>
      <w:r>
        <w:rPr>
          <w:b/>
          <w:bCs/>
          <w:sz w:val="26"/>
          <w:szCs w:val="26"/>
        </w:rPr>
        <w:t xml:space="preserve">4.7 Synthèse de la revue de littérature</w:t>
      </w:r>
    </w:p>
    <w:p>
      <w:pPr>
        <w:spacing w:after="60" w:before="60"/>
        <w:jc w:val="both"/>
      </w:pPr>
      <w:r>
        <w:t xml:space="preserve">La revue de littérature révèle un constat important : les composantes individuelles du Brevet n° 1 sont chacune l'objet de travaux académiques actifs (KG industriels, RL sur KG, jumeaux numériques, indicateurs de santé composites, processus stochastiques de dégradation). En revanche, leur intégration cohérente dans un système unique de supervision et contrôle adaptatif générant des signaux de commande techniques, avec adaptation simultanée des trois représentations internes par retour d'intervention, ne fait l'objet d'aucune publication ni d'aucun brevet identifié à ce jour. C'est cette intégration synergique qui constitue le cœur de l'activité inventive revendiquée.</w:t>
      </w:r>
    </w:p>
    <w:p>
      <w:pPr>
        <w:pStyle w:val="Heading1"/>
        <w:pageBreakBefore/>
        <w:spacing w:after="160" w:before="320"/>
      </w:pPr>
      <w:r>
        <w:rPr>
          <w:b/>
          <w:bCs/>
          <w:sz w:val="32"/>
          <w:szCs w:val="32"/>
        </w:rPr>
        <w:t xml:space="preserve">5. ÉTAT DE L'ART BREVETS ANTÉRIEURS</w:t>
      </w:r>
    </w:p>
    <w:p>
      <w:pPr>
        <w:pStyle w:val="Heading2"/>
        <w:spacing w:after="120" w:before="240"/>
      </w:pPr>
      <w:r>
        <w:rPr>
          <w:b/>
          <w:bCs/>
          <w:sz w:val="26"/>
          <w:szCs w:val="26"/>
        </w:rPr>
        <w:t xml:space="preserve">5.1 Méthodologie de recherche d'antériorité</w:t>
      </w:r>
    </w:p>
    <w:p>
      <w:pPr>
        <w:spacing w:after="60" w:before="60"/>
        <w:jc w:val="both"/>
      </w:pPr>
      <w:r>
        <w:t xml:space="preserve">La recherche d'antériorité a été conduite sur les bases Espacenet (OEB), USPTO Public Patents, Google Patents, et Lens.org, avec des stratégies de recherche par mots-clés (knowledge graph + maintenance, composite health indicator, digital twin + reinforcement, adaptive control + degradation model), par classifications CIB (G05B 23/02, G05B 13/02, G05B 13/04, G06N 5/04, G06F 16/36) et par déposants concurrents identifiés (Siemens, GE, ABB, Schneider, Honeywell, Yokogawa, SKF, Bently Nevada, Rockwell, SAP, IBM, C3.ai, SparkCognition, Uptake). Vingt-deux antériorités pertinentes ont été identifiées et analysées.</w:t>
      </w:r>
    </w:p>
    <w:p>
      <w:pPr>
        <w:pStyle w:val="Heading2"/>
        <w:spacing w:after="120" w:before="240"/>
      </w:pPr>
      <w:r>
        <w:rPr>
          <w:b/>
          <w:bCs/>
          <w:sz w:val="26"/>
          <w:szCs w:val="26"/>
        </w:rPr>
        <w:t xml:space="preserve">5.2 Antériorités relatives au graphe de connaissances industriel</w:t>
      </w:r>
    </w:p>
    <w:p>
      <w:pPr>
        <w:pStyle w:val="Heading3"/>
        <w:spacing w:after="100" w:before="180"/>
      </w:pPr>
      <w:r>
        <w:rPr>
          <w:b/>
          <w:bCs/>
          <w:i/>
          <w:iCs/>
          <w:sz w:val="24"/>
          <w:szCs w:val="24"/>
        </w:rPr>
        <w:t xml:space="preserve">5.2.1 US-20200057946-A1 — Techniques for Building a Knowledge Graph in Limited Knowledge Domains</w:t>
      </w:r>
    </w:p>
    <w:p>
      <w:pPr>
        <w:spacing w:after="60" w:before="60"/>
        <w:jc w:val="both"/>
      </w:pPr>
      <w:r>
        <w:t xml:space="preserve">Cette demande publiée décrit des techniques de construction de graphes de connaissances en domaines à connaissance limitée par enrichissement automatique. La portée concerne la phase de construction du KG (extraction de triplets, désambiguïsation, fusion d'ontologies) et non son exploitation continue en supervision industrielle, ni l'adaptation des poids par retour d'intervention sur équipements physiques. Risque d'antériorité : faible. Réponse en cas d'objection : (i) absence d'interface matérielle capteurs ; (ii) absence de génération de signaux de commande ; (iii) absence de boucle d'adaptation par retour d'intervention.</w:t>
      </w:r>
    </w:p>
    <w:p>
      <w:pPr>
        <w:pStyle w:val="Heading3"/>
        <w:spacing w:after="100" w:before="180"/>
      </w:pPr>
      <w:r>
        <w:rPr>
          <w:b/>
          <w:bCs/>
          <w:i/>
          <w:iCs/>
          <w:sz w:val="24"/>
          <w:szCs w:val="24"/>
        </w:rPr>
        <w:t xml:space="preserve">5.2.2 US-10,719,348 — Permit-to-Work System</w:t>
      </w:r>
    </w:p>
    <w:p>
      <w:pPr>
        <w:spacing w:after="60" w:before="60"/>
        <w:jc w:val="both"/>
      </w:pPr>
      <w:r>
        <w:t xml:space="preserve">Système électronique de gestion de permis de travail (couvert principalement par le Brevet n° 2 v3). Risque d'antériorité pour le Brevet n° 1 : nul.</w:t>
      </w:r>
    </w:p>
    <w:p>
      <w:pPr>
        <w:pStyle w:val="Heading3"/>
        <w:spacing w:after="100" w:before="180"/>
      </w:pPr>
      <w:r>
        <w:rPr>
          <w:b/>
          <w:bCs/>
          <w:i/>
          <w:iCs/>
          <w:sz w:val="24"/>
          <w:szCs w:val="24"/>
        </w:rPr>
        <w:t xml:space="preserve">5.2.3 EP-3,067,777 — Système de surveillance avec seuils adaptatifs</w:t>
      </w:r>
    </w:p>
    <w:p>
      <w:pPr>
        <w:spacing w:after="60" w:before="60"/>
        <w:jc w:val="both"/>
      </w:pPr>
      <w:r>
        <w:t xml:space="preserve">Décrit un système de surveillance d'état avec seuils adaptés au cycle opérationnel. L'adaptation y est unidimensionnelle (ajustement de seuils numériques scalaires) et ne porte pas sur les poids d'une structure de connaissances graphe multi-typée. Risque d'antériorité : modéré sur la revendication 12 du Brevet n° 1 (seuils adaptatifs). Réponse : la combinaison spécifique avec la modélisation causale + IMCA différencie nettement l'invention.</w:t>
      </w:r>
    </w:p>
    <w:p>
      <w:pPr>
        <w:pStyle w:val="Heading2"/>
        <w:spacing w:after="120" w:before="240"/>
      </w:pPr>
      <w:r>
        <w:rPr>
          <w:b/>
          <w:bCs/>
          <w:sz w:val="26"/>
          <w:szCs w:val="26"/>
        </w:rPr>
        <w:t xml:space="preserve">5.2.4 Brevets de Siemens et GE en jumeaux numériques industriels</w:t>
      </w:r>
    </w:p>
    <w:p>
      <w:pPr>
        <w:spacing w:after="60" w:before="60"/>
        <w:jc w:val="both"/>
      </w:pPr>
      <w:r>
        <w:t xml:space="preserve">Plusieurs brevets de Siemens (notamment US-10,628,521 et EP-3,690,769) et de GE (US-10,719,777 et US-11,222,150) couvrent des aspects de jumeaux numériques pour la maintenance prédictive. L'analyse détaillée révèle qu'aucun ne couvre la combinaison spécifique : modèle dynamique nominal calibré localement + graphe de dépendances fonctionnelles inter-composants + IMCA à quatre sous-indices avec pondérations contextuelles dynamiques + adaptation structurée par retour d'intervention. Les brevets concurrents se concentrent soit sur la simulation physique fidèle (Siemens), soit sur la prédiction de RUL par ML (GE).</w:t>
      </w:r>
    </w:p>
    <w:p>
      <w:pPr>
        <w:pStyle w:val="Heading2"/>
        <w:spacing w:after="120" w:before="240"/>
      </w:pPr>
      <w:r>
        <w:rPr>
          <w:b/>
          <w:bCs/>
          <w:sz w:val="26"/>
          <w:szCs w:val="26"/>
        </w:rPr>
        <w:t xml:space="preserve">5.3 Antériorités relatives aux indicateurs composites</w:t>
      </w:r>
    </w:p>
    <w:p>
      <w:pPr>
        <w:spacing w:after="60" w:before="60"/>
        <w:jc w:val="both"/>
      </w:pPr>
      <w:r>
        <w:t xml:space="preserve">Plusieurs brevets couvrent des indicateurs composites de santé d'actif :</w:t>
      </w:r>
    </w:p>
    <w:p>
      <w:pPr>
        <w:pStyle w:val="ListParagraph"/>
        <w:numPr>
          <w:ilvl w:val="0"/>
          <w:numId w:val="3"/>
        </w:numPr>
        <w:spacing w:after="30" w:before="30"/>
        <w:jc w:val="both"/>
      </w:pPr>
      <w:r>
        <w:t xml:space="preserve">US-9,069,599 — Cognitive automation system : indicateur composite pour automatisation cognitive, sans projection probabiliste ni adaptation des pondérations ;</w:t>
      </w:r>
    </w:p>
    <w:p>
      <w:pPr>
        <w:pStyle w:val="ListParagraph"/>
        <w:numPr>
          <w:ilvl w:val="0"/>
          <w:numId w:val="3"/>
        </w:numPr>
        <w:spacing w:after="30" w:before="30"/>
        <w:jc w:val="both"/>
      </w:pPr>
      <w:r>
        <w:t xml:space="preserve">US-10,346,758 (SAS) — System and method for asset health scoring : score de santé multi-paramètres, sans décomposition explicative ni horizon T* projeté ;</w:t>
      </w:r>
    </w:p>
    <w:p>
      <w:pPr>
        <w:pStyle w:val="ListParagraph"/>
        <w:numPr>
          <w:ilvl w:val="0"/>
          <w:numId w:val="3"/>
        </w:numPr>
        <w:spacing w:after="30" w:before="30"/>
        <w:jc w:val="both"/>
      </w:pPr>
      <w:r>
        <w:t xml:space="preserve">EP-3,553,615 (ABB) — Methods and systems for monitoring industrial equipment health : indicateur basé sur ML, non décomposable, sans pondération contextuelle dynamique.</w:t>
      </w:r>
    </w:p>
    <w:p>
      <w:pPr>
        <w:spacing w:after="60" w:before="60"/>
        <w:jc w:val="both"/>
      </w:pPr>
      <w:r>
        <w:t xml:space="preserve">Aucun ne combine les quatre sous-indices spécifiques (ISD/IDC/ISO/IRS) avec leurs formules respectives, leurs pondérations adaptatives par contexte ET la projection probabiliste de l'horizon T* de franchissement de seuil. Le risque d'antériorité est donc maîtrisable, à condition que les revendications soient formulées avec précision sur ces points distinctifs.</w:t>
      </w:r>
    </w:p>
    <w:p>
      <w:pPr>
        <w:pStyle w:val="Heading2"/>
        <w:spacing w:after="120" w:before="240"/>
      </w:pPr>
      <w:r>
        <w:rPr>
          <w:b/>
          <w:bCs/>
          <w:sz w:val="26"/>
          <w:szCs w:val="26"/>
        </w:rPr>
        <w:t xml:space="preserve">5.4 Antériorités relatives à l'adaptation par retour terrain</w:t>
      </w:r>
    </w:p>
    <w:p>
      <w:pPr>
        <w:spacing w:after="60" w:before="60"/>
        <w:jc w:val="both"/>
      </w:pPr>
      <w:r>
        <w:t xml:space="preserve">Quelques brevets décrivent des mécanismes d'adaptation par retour terrain :</w:t>
      </w:r>
    </w:p>
    <w:p>
      <w:pPr>
        <w:pStyle w:val="ListParagraph"/>
        <w:numPr>
          <w:ilvl w:val="0"/>
          <w:numId w:val="3"/>
        </w:numPr>
        <w:spacing w:after="30" w:before="30"/>
        <w:jc w:val="both"/>
      </w:pPr>
      <w:r>
        <w:t xml:space="preserve">US-2021/0118548 (C3.ai) — Adaptive machine learning models for predictive maintenance : adaptation par ré-entraînement de modèle ML, sans mise à jour locale et incrémentale de poids structurés ;</w:t>
      </w:r>
    </w:p>
    <w:p>
      <w:pPr>
        <w:pStyle w:val="ListParagraph"/>
        <w:numPr>
          <w:ilvl w:val="0"/>
          <w:numId w:val="3"/>
        </w:numPr>
        <w:spacing w:after="30" w:before="30"/>
        <w:jc w:val="both"/>
      </w:pPr>
      <w:r>
        <w:t xml:space="preserve">US-11,449,805 (IBM) — Federated learning for equipment maintenance : apprentissage fédéré, couvert principalement par le Brevet n° 3 v3 ;</w:t>
      </w:r>
    </w:p>
    <w:p>
      <w:pPr>
        <w:pStyle w:val="ListParagraph"/>
        <w:numPr>
          <w:ilvl w:val="0"/>
          <w:numId w:val="3"/>
        </w:numPr>
        <w:spacing w:after="30" w:before="30"/>
        <w:jc w:val="both"/>
      </w:pPr>
      <w:r>
        <w:t xml:space="preserve">WO-2020/261049 (Hitachi) — Self-learning industrial monitoring system : auto-apprentissage par recalibration statistique, sans graphe causal multi-typé.</w:t>
      </w:r>
    </w:p>
    <w:p>
      <w:pPr>
        <w:spacing w:after="60" w:before="60"/>
        <w:jc w:val="both"/>
      </w:pPr>
      <w:r>
        <w:t xml:space="preserve">La règle d'adaptation spécifique du Brevet n° 1 (+0,02/+0,03 succès / −0,05 échec, plafond 1,0, plancher 0,1, mise à jour locale sur arête parcourue) n'est revendiquée par aucune antériorité.</w:t>
      </w:r>
    </w:p>
    <w:p>
      <w:pPr>
        <w:pStyle w:val="Heading2"/>
        <w:spacing w:after="120" w:before="240"/>
      </w:pPr>
      <w:r>
        <w:rPr>
          <w:b/>
          <w:bCs/>
          <w:sz w:val="26"/>
          <w:szCs w:val="26"/>
        </w:rPr>
        <w:t xml:space="preserve">5.5 Tableau récapitulatif des antériorités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872"/>
        <w:gridCol w:w="3744"/>
      </w:tblGrid>
      <w:tr>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Référence</w:t>
            </w:r>
          </w:p>
        </w:tc>
        <w:tc>
          <w:tcPr>
            <w:tcW w:type="dxa" w:w="140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1872"/>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Risque</w:t>
            </w:r>
          </w:p>
        </w:tc>
        <w:tc>
          <w:tcPr>
            <w:tcW w:type="dxa" w:w="374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Différenciation invention</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US-20200057946</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Construction KG vs adaptation continue en supervision</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EP-3,067,777</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2016</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Seuils 1D vs structure causale multi-typée + IMCA</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US-9,069,599</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2015</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Pas de projection T* ni décomposition explicative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US-10,346,758 (SAS)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2019</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Score sans 4 sous-indices structurés + pondération contextuelle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EP-3,553,615 (ABB)</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2019</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Indicateur ML boîte noire, non décomposable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US-10,628,521 (Siemens)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Jumeau de simulation, pas d'IMCA ni adaptation par RI</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US-2021/0118548 (C3.ai)</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2021</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Ré-entraînement ML global vs adaptation locale incrémentale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WO-2020/261049 (Hitachi)</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Recalibration stat, pas de graphe multi-typé ni IMCA</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US-11,449,805 (IBM)</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2022</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Hors champ</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Federated learning, couvert par Brevet 3</w:t>
            </w:r>
          </w:p>
        </w:tc>
      </w:tr>
    </w:tbl>
    <w:p>
      <w:pPr>
        <w:pStyle w:val="Heading1"/>
        <w:pageBreakBefore/>
        <w:spacing w:after="160" w:before="320"/>
      </w:pPr>
      <w:r>
        <w:rPr>
          <w:b/>
          <w:bCs/>
          <w:sz w:val="32"/>
          <w:szCs w:val="32"/>
        </w:rPr>
        <w:t xml:space="preserve">6. ÉTAT DE L'ART NORMATIF</w:t>
      </w:r>
    </w:p>
    <w:p>
      <w:pPr>
        <w:pStyle w:val="Heading2"/>
        <w:spacing w:after="120" w:before="240"/>
      </w:pPr>
      <w:r>
        <w:rPr>
          <w:b/>
          <w:bCs/>
          <w:sz w:val="26"/>
          <w:szCs w:val="26"/>
        </w:rPr>
        <w:t xml:space="preserve">6.1 Normes ISO/IEC de supervision industrielle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Norme</w:t>
            </w:r>
          </w:p>
        </w:tc>
        <w:tc>
          <w:tcPr>
            <w:tcW w:type="dxa" w:w="6552"/>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Objet et lien avec le brevet</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ISO 13374</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Surveillance d'état et diagnostic des machines — Traitement des données. Définit les six étapes : DA (Data Acquisition), DM (Data Manipulation), SD (State Detection), HA (Health Assessment), PA (Prognostics Assessment), AG (Advisory Generation). L'invention couvre les six étapes.</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ISO 17359</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Lignes directrices générales pour la surveillance d'état des machines. Pyramide de la surveillance, choix des techniques. Cadre dans lequel s'inscrit l'IMCA.</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ISO 14224</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Industries du pétrole, du gaz naturel et pétrochimiques — Collecte et échange de données de fiabilité et de maintenance pour équipements. Référentiel de typologie de modes de défaillance qui inspire les nœuds 'cause' du graphe.</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ISO 281</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Roulements — Charges dynamiques de base et durées nominales. Modèle physique intégré au jumeau comportemental.</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ISO 55000-55002</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Gestion d'actifs — Vue d'ensemble, principes et terminologie. Cadre stratégique de la gestion d'actifs industriels. L'IMCA fournit la mesure technique de l'état des actifs requise par cette norme.</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IEC 60812</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Techniques d'analyse de la fiabilité du système — AMDEC (Failure Mode Effects Analysis). Méthodologie supportée par le module RCA enrichissant le graphe causal (revendication 17).</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IEC 62264 / ISA-95</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Intégration des systèmes de contrôle d'entreprise. Définit les cinq niveaux de la pyramide d'automatisation industrielle dans lesquels s'inscrit l'invention.</w:t>
            </w:r>
          </w:p>
        </w:tc>
      </w:tr>
      <w:tr>
        <w:tc>
          <w:tcPr>
            <w:tcW w:type="dxa" w:w="2808"/>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IEC 62541 / OPC-UA</w:t>
            </w:r>
          </w:p>
        </w:tc>
        <w:tc>
          <w:tcPr>
            <w:tcW w:type="dxa" w:w="655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Communication M2M industrielle sécurisée. Protocole supporté par l'interface matérielle (revendication 1a).</w:t>
            </w:r>
          </w:p>
        </w:tc>
      </w:tr>
    </w:tbl>
    <w:p>
      <w:pPr>
        <w:pStyle w:val="Heading2"/>
        <w:spacing w:after="120" w:before="240"/>
      </w:pPr>
      <w:r>
        <w:rPr>
          <w:b/>
          <w:bCs/>
          <w:sz w:val="26"/>
          <w:szCs w:val="26"/>
        </w:rPr>
        <w:t xml:space="preserve">6.2 Importance normative pour la défensibilité</w:t>
      </w:r>
    </w:p>
    <w:p>
      <w:pPr>
        <w:spacing w:after="60" w:before="60"/>
        <w:jc w:val="both"/>
      </w:pPr>
      <w:r>
        <w:t xml:space="preserve">Inscrire explicitement l'invention dans le cadre des normes ISO 13374, ISO 17359 et ISO 14224 présente un double intérêt stratégique : (i) cela renforce le caractère technique du système (article 52 CBE) en démontrant son ancrage dans des standards industriels reconnus ; (ii) cela ouvre des opportunités commerciales d'« inside compliance » : un client industriel soumis à la norme ISO 55001 (certification gestion d'actifs) peut justifier l'achat de MAINTRIX comme moyen de conformité technique.</w:t>
      </w:r>
    </w:p>
    <w:p>
      <w:pPr>
        <w:pStyle w:val="Heading1"/>
        <w:pageBreakBefore/>
        <w:spacing w:after="160" w:before="320"/>
      </w:pPr>
      <w:r>
        <w:rPr>
          <w:b/>
          <w:bCs/>
          <w:sz w:val="32"/>
          <w:szCs w:val="32"/>
        </w:rPr>
        <w:t xml:space="preserve">7. ANALYSE COMPARATIVE ET POSITIONNEMENT DE L'INVENTION</w:t>
      </w:r>
    </w:p>
    <w:p>
      <w:pPr>
        <w:pStyle w:val="Heading2"/>
        <w:spacing w:after="120" w:before="240"/>
      </w:pPr>
      <w:r>
        <w:rPr>
          <w:b/>
          <w:bCs/>
          <w:sz w:val="26"/>
          <w:szCs w:val="26"/>
        </w:rPr>
        <w:t xml:space="preserve">7.1 Positionnement vs jumeaux numériques commerciaux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Jumeaux numériques commerciaux</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1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Modèle physique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Modèle simulé statique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Modèle dynamique nominal calibré localement</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Représentation causale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Graphe à 5 types nœuds + 7 types arêtes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Indicateur de santé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KPI univariés (température, vibration)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IMCA composite à 4 sous-indices + pondérations contextuelles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Projection RUL</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Simulation Monte-Carlo</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Projection probabiliste IMCA + horizon T* avec IC 95%</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Adaptation par RI</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Absente / manuelle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Mise à jour locale incrémentale des 3 représentations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Génération de signaux de commande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Absente (information seule)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Native vers PLC/SCADA/DCS/GMAO/actionneurs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Explicabilité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Limitée à la simulation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Décomposition explicative par sous-indice et contexte</w:t>
            </w:r>
          </w:p>
        </w:tc>
      </w:tr>
    </w:tbl>
    <w:p>
      <w:pPr>
        <w:pStyle w:val="Heading2"/>
        <w:spacing w:after="120" w:before="240"/>
      </w:pPr>
      <w:r>
        <w:rPr>
          <w:b/>
          <w:bCs/>
          <w:sz w:val="26"/>
          <w:szCs w:val="26"/>
        </w:rPr>
        <w:t xml:space="preserve">7.2 Positionnement vs plateformes de maintenance prédictive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Plateformes ML (C3.ai, SparkCognition)</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1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Modèle de décision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Réseaux de neurones (boîte noire)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Graphe causal explicable + jumeau probabiliste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Mise à jour</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Ré-entraînement global périodique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Mises à jour locales incrémentales par RI</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Données requises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Volumes massifs labellisés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Capitalisation progressive sur retours terrain</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Explicabilité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 (XAI a posteriori)</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Native par construction</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Cascades de défaillance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Non prédites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Prédites par propagation récursive avec probabilités cumulatives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Stabilité de boucle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Risque de dérive lors du ré-entraînement</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Pas locaux bornés assurant la stabilité G05B 13/02</w:t>
            </w:r>
          </w:p>
        </w:tc>
      </w:tr>
    </w:tbl>
    <w:p>
      <w:pPr>
        <w:pStyle w:val="Heading1"/>
        <w:pageBreakBefore/>
        <w:spacing w:after="160" w:before="320"/>
      </w:pPr>
      <w:r>
        <w:rPr>
          <w:b/>
          <w:bCs/>
          <w:sz w:val="32"/>
          <w:szCs w:val="32"/>
        </w:rPr>
        <w:t xml:space="preserve">8. BASES THÉORIQUES ET JUSTIFICATION PAR REVENDICATION</w:t>
      </w:r>
    </w:p>
    <w:p>
      <w:pPr>
        <w:pStyle w:val="Heading2"/>
        <w:spacing w:after="120" w:before="240"/>
      </w:pPr>
      <w:r>
        <w:rPr>
          <w:b/>
          <w:bCs/>
          <w:sz w:val="26"/>
          <w:szCs w:val="26"/>
        </w:rPr>
        <w:t xml:space="preserve">8.1 Revendication 1(a) — Interface matérielle capteurs</w:t>
      </w:r>
    </w:p>
    <w:p>
      <w:pPr>
        <w:spacing w:after="60" w:before="60"/>
        <w:jc w:val="both"/>
      </w:pPr>
      <w:r>
        <w:t xml:space="preserve">Base scientifique : théorie de l'instrumentation industrielle, normes IEC 62541 (OPC-UA), IEC 61158 (Modbus), ISO/IEC 20922 (MQTT). L'interface matérielle est un composant physique tangible (passerelle IoT industrielle, automate dédié, module d'entrées analogiques/numériques) recevant des signaux électriques issus de capteurs physiques et les convertissant en données numériques structurées. Cette caractéristique est l'élément cardinal qui inscrit l'invention dans le champ technique au sens de l'article 52 CBE : sans cet ancrage physique, l'invention pourrait être qualifiée d'abstraite (méthode mentale, mathématique pure). Le CPI doit veiller à ce que cette caractéristique apparaisse dès la revendication principale.</w:t>
      </w:r>
    </w:p>
    <w:p>
      <w:pPr>
        <w:spacing w:after="60" w:before="60"/>
        <w:jc w:val="both"/>
      </w:pPr>
      <w:r>
        <w:t xml:space="preserve">Suggestion de calibration : la liste « MQTT, Modbus, OPC-UA, LoRaWAN » est non limitative — le CPI peut envisager la formulation « au moins un protocole industriel choisi parmi » pour ouvrir aux protocoles futurs. Pour le marché américain, ajouter Profibus, EtherCAT, EtherNet/IP peut être pertinent.</w:t>
      </w:r>
    </w:p>
    <w:p>
      <w:pPr>
        <w:pStyle w:val="Heading2"/>
        <w:spacing w:after="120" w:before="240"/>
      </w:pPr>
      <w:r>
        <w:rPr>
          <w:b/>
          <w:bCs/>
          <w:sz w:val="26"/>
          <w:szCs w:val="26"/>
        </w:rPr>
        <w:t xml:space="preserve">8.2 Revendication 1(b) — Détection de variations anormales par seuils adaptatifs</w:t>
      </w:r>
    </w:p>
    <w:p>
      <w:pPr>
        <w:spacing w:after="60" w:before="60"/>
        <w:jc w:val="both"/>
      </w:pPr>
      <w:r>
        <w:t xml:space="preserve">Base scientifique : théorie statistique de la décision (Wald 1947), tests de rupture de tendance (Page 1954), théorie du contrôle statistique des processus (Shewhart 1931). La typologie à quatre catégories (threshold_breach, trend_deviation, pattern_anomaly, correlation_anomaly) reprend la classification de Chandola, Banerjee &amp; Kumar (2009, ACM Computing Surveys « Anomaly detection : A survey ») adaptée au contexte de la supervision industrielle.</w:t>
      </w:r>
    </w:p>
    <w:p>
      <w:pPr>
        <w:spacing w:after="60" w:before="60"/>
        <w:jc w:val="both"/>
      </w:pPr>
      <w:r>
        <w:t xml:space="preserve">Risque d'examen : un examinateur pourrait considérer la détection par seuils comme banale. Réponse : c'est la nature adaptative des seuils (eux-mêmes ajustés par le module d'adaptation structurée — revendication 12) qui la sort du banal. Cette boucle d'adaptation des seuils par les taux observés de fausse alarme et de non-détection constitue l'application directe de la théorie du contrôle adaptatif G05B 13/02.</w:t>
      </w:r>
    </w:p>
    <w:p>
      <w:pPr>
        <w:pStyle w:val="Heading2"/>
        <w:spacing w:after="120" w:before="240"/>
      </w:pPr>
      <w:r>
        <w:rPr>
          <w:b/>
          <w:bCs/>
          <w:sz w:val="26"/>
          <w:szCs w:val="26"/>
        </w:rPr>
        <w:t xml:space="preserve">8.3 Revendication 1(c) — Modèle comportemental d'actif</w:t>
      </w:r>
    </w:p>
    <w:p>
      <w:pPr>
        <w:spacing w:after="60" w:before="60"/>
        <w:jc w:val="both"/>
      </w:pPr>
      <w:r>
        <w:t xml:space="preserve">Base scientifique : théorie des jumeaux numériques (Grieves 2002, Tao et al. 2018), théorie des systèmes complexes et graphes de dépendances fonctionnelles (Newman 2010), inférence bayésienne pour calibration locale (Gelman et al. 2014 « Bayesian Data Analysis »).</w:t>
      </w:r>
    </w:p>
    <w:p>
      <w:pPr>
        <w:spacing w:after="60" w:before="60"/>
        <w:jc w:val="both"/>
      </w:pPr>
      <w:r>
        <w:t xml:space="preserve">La calibration locale sur 30 jours et la révision par moyenne glissante exponentielle pondérée trouvent leur justification dans la théorie classique des estimateurs récursifs (Ljung 1999, « System Identification : Theory for the User »). Le coefficient typique de moyenne glissante exponentielle λ ∈ [0,01 ; 0,1] correspond à une « mémoire » effective de 10 à 100 observations.</w:t>
      </w:r>
    </w:p>
    <w:p>
      <w:pPr>
        <w:spacing w:after="60" w:before="60"/>
        <w:jc w:val="both"/>
      </w:pPr>
      <w:r>
        <w:t xml:space="preserve">Le graphe de dépendances fonctionnelles s'inspire des analyses RAM (Reliability, Availability, Maintainability) et des diagrammes de fiabilité (block diagrams) de la norme IEC 61078. La nouveauté du Brevet n° 1 est de combiner ce graphe avec un coefficient technique de transmission de défaut entre 0 et 1 (revendication 1c), permettant la propagation probabiliste des anomalies entre composants (revendication 3).</w:t>
      </w:r>
    </w:p>
    <w:p>
      <w:pPr>
        <w:pStyle w:val="Heading2"/>
        <w:spacing w:after="120" w:before="240"/>
      </w:pPr>
      <w:r>
        <w:rPr>
          <w:b/>
          <w:bCs/>
          <w:sz w:val="26"/>
          <w:szCs w:val="26"/>
        </w:rPr>
        <w:t xml:space="preserve">8.4 Revendication 1(d) — Modélisation causale par graphe multi-typé</w:t>
      </w:r>
    </w:p>
    <w:p>
      <w:pPr>
        <w:spacing w:after="60" w:before="60"/>
        <w:jc w:val="both"/>
      </w:pPr>
      <w:r>
        <w:t xml:space="preserve">Base scientifique : théorie des graphes orientés pondérés (Diestel 2017), représentation des connaissances par triplets RDF (Berners-Lee, Hendler &amp; Lassila 2001), graphes de connaissances industriels (Hogan et al. 2021).</w:t>
      </w:r>
    </w:p>
    <w:p>
      <w:pPr>
        <w:spacing w:after="60" w:before="60"/>
        <w:jc w:val="both"/>
      </w:pPr>
      <w:r>
        <w:t xml:space="preserve">La typologie à exactement 5 types de nœuds et 7 types d'arêtes constitue un choix structurant essentiel. Le CPI doit veiller à ce que les revendications n'utilisent pas la formulation « au moins 5 / au moins 7 » qui ouvrirait trop largement la protection mais affaiblirait la nouveauté. La formulation « exactement 5 / exactement 7 » avec énumération exhaustive est préférable pour maximiser la nouveauté.</w:t>
      </w:r>
    </w:p>
    <w:p>
      <w:pPr>
        <w:spacing w:after="60" w:before="60"/>
        <w:jc w:val="both"/>
      </w:pPr>
      <w:r>
        <w:t xml:space="preserve">Alternative à envisager : revendications dépendantes décrivant des variantes ontologiques pour des secteurs spécifiques (par exemple, ajout d'un type de nœud « réglementation » pour secteurs régulés).</w:t>
      </w:r>
    </w:p>
    <w:p>
      <w:pPr>
        <w:pStyle w:val="Heading2"/>
        <w:spacing w:after="120" w:before="240"/>
      </w:pPr>
      <w:r>
        <w:rPr>
          <w:b/>
          <w:bCs/>
          <w:sz w:val="26"/>
          <w:szCs w:val="26"/>
        </w:rPr>
        <w:t xml:space="preserve">8.5 Revendication 1(e) — Algorithmes de raisonnement causal</w:t>
      </w:r>
    </w:p>
    <w:p>
      <w:pPr>
        <w:spacing w:after="60" w:before="60"/>
        <w:jc w:val="both"/>
      </w:pPr>
      <w:r>
        <w:t xml:space="preserve">Base scientifique : algorithmes de parcours de graphes (BFS, DFS — Cormen et al. 2009), théorie de l'inférence bayésienne (Pearl 1988 « Probabilistic Reasoning in Intelligent Systems »), raisonnement abductif (Peirce 1903, formalisé par Josephson &amp; Josephson 1994).</w:t>
      </w:r>
    </w:p>
    <w:p>
      <w:pPr>
        <w:spacing w:after="60" w:before="60"/>
        <w:jc w:val="both"/>
      </w:pPr>
      <w:r>
        <w:t xml:space="preserve">Les trois algorithmes (findCausalPath, findCascadeEffects, reasonFromSymptoms) opèrent sur des principes classiques de la théorie des graphes mais avec des règles techniques spécifiques :</w:t>
      </w:r>
    </w:p>
    <w:p>
      <w:pPr>
        <w:pStyle w:val="ListParagraph"/>
        <w:numPr>
          <w:ilvl w:val="0"/>
          <w:numId w:val="3"/>
        </w:numPr>
        <w:spacing w:after="30" w:before="30"/>
        <w:jc w:val="both"/>
      </w:pPr>
      <w:r>
        <w:t xml:space="preserve">findCausalPath : confiance cumulée par produit des poids — équivaut à une probabilité conjointe sous hypothèse d'indépendance conditionnelle des arêtes ;</w:t>
      </w:r>
    </w:p>
    <w:p>
      <w:pPr>
        <w:pStyle w:val="ListParagraph"/>
        <w:numPr>
          <w:ilvl w:val="0"/>
          <w:numId w:val="3"/>
        </w:numPr>
        <w:spacing w:after="30" w:before="30"/>
        <w:jc w:val="both"/>
      </w:pPr>
      <w:r>
        <w:t xml:space="preserve">findCascadeEffects : probabilité cumulative par produit récursif — équivaut à une chaîne de Markov sur le graphe des causes ;</w:t>
      </w:r>
    </w:p>
    <w:p>
      <w:pPr>
        <w:pStyle w:val="ListParagraph"/>
        <w:numPr>
          <w:ilvl w:val="0"/>
          <w:numId w:val="3"/>
        </w:numPr>
        <w:spacing w:after="30" w:before="30"/>
        <w:jc w:val="both"/>
      </w:pPr>
      <w:r>
        <w:t xml:space="preserve">reasonFromSymptoms : facteur 30 % par symptôme convergent — heuristique reproduisant le raisonnement abductif d'un expert qui gagne en certitude par convergence d'évidences indépendantes.</w:t>
      </w:r>
    </w:p>
    <w:p>
      <w:pPr>
        <w:spacing w:after="60" w:before="60"/>
        <w:jc w:val="both"/>
      </w:pPr>
      <w:r>
        <w:t xml:space="preserve">La règle des 30 % est inspirée des travaux de Tversky &amp; Kahneman sur la mise à jour des croyances en présence d'évidences multiples (1974, Science 185:1124-1131).</w:t>
      </w:r>
    </w:p>
    <w:p>
      <w:pPr>
        <w:pStyle w:val="Heading2"/>
        <w:spacing w:after="120" w:before="240"/>
      </w:pPr>
      <w:r>
        <w:rPr>
          <w:b/>
          <w:bCs/>
          <w:sz w:val="26"/>
          <w:szCs w:val="26"/>
        </w:rPr>
        <w:t xml:space="preserve">8.6 Revendication 1(f) — Module IMCA</w:t>
      </w:r>
    </w:p>
    <w:p>
      <w:pPr>
        <w:spacing w:after="60" w:before="60"/>
        <w:jc w:val="both"/>
      </w:pPr>
      <w:r>
        <w:t xml:space="preserve">Base scientifique : théorie des indicateurs composites (OECD/JRC 2008 « Handbook on Constructing Composite Indicators »), fusion d'information multi-sources (Khaleghi et al. 2013), apprentissage par renforcement pour pondérations (Sutton &amp; Barto 2018).</w:t>
      </w:r>
    </w:p>
    <w:p>
      <w:pPr>
        <w:spacing w:after="60" w:before="60"/>
        <w:jc w:val="both"/>
      </w:pPr>
      <w:r>
        <w:t xml:space="preserve">Les quatre sous-indices sont chacun ancrés dans une discipline distincte :</w:t>
      </w:r>
    </w:p>
    <w:p>
      <w:pPr>
        <w:pStyle w:val="ListParagraph"/>
        <w:numPr>
          <w:ilvl w:val="0"/>
          <w:numId w:val="3"/>
        </w:numPr>
        <w:spacing w:after="30" w:before="30"/>
        <w:jc w:val="both"/>
      </w:pPr>
      <w:r>
        <w:t xml:space="preserve">ISD ← statistiques multivariées (distance de Mahalanobis) ;</w:t>
      </w:r>
    </w:p>
    <w:p>
      <w:pPr>
        <w:pStyle w:val="ListParagraph"/>
        <w:numPr>
          <w:ilvl w:val="0"/>
          <w:numId w:val="3"/>
        </w:numPr>
        <w:spacing w:after="30" w:before="30"/>
        <w:jc w:val="both"/>
      </w:pPr>
      <w:r>
        <w:t xml:space="preserve">IDC ← théorie de l'information (divergence de Kullback-Leibler) ;</w:t>
      </w:r>
    </w:p>
    <w:p>
      <w:pPr>
        <w:pStyle w:val="ListParagraph"/>
        <w:numPr>
          <w:ilvl w:val="0"/>
          <w:numId w:val="3"/>
        </w:numPr>
        <w:spacing w:after="30" w:before="30"/>
        <w:jc w:val="both"/>
      </w:pPr>
      <w:r>
        <w:t xml:space="preserve">ISO ← mécanique de la fatigue et thermodynamique (modèle de Palmgren-Miner pour cumul de dommages) ;</w:t>
      </w:r>
    </w:p>
    <w:p>
      <w:pPr>
        <w:pStyle w:val="ListParagraph"/>
        <w:numPr>
          <w:ilvl w:val="0"/>
          <w:numId w:val="3"/>
        </w:numPr>
        <w:spacing w:after="30" w:before="30"/>
        <w:jc w:val="both"/>
      </w:pPr>
      <w:r>
        <w:t xml:space="preserve">IRS ← théorie de la résilience (Bruneau et al. 2003) appliquée aux systèmes techniques.</w:t>
      </w:r>
    </w:p>
    <w:p>
      <w:pPr>
        <w:spacing w:after="60" w:before="60"/>
        <w:jc w:val="both"/>
      </w:pPr>
      <w:r>
        <w:t xml:space="preserve">La fusion pondérée adaptative IMCA(t) = Σ w_k(C) × Indice_k(t) avec pondérations contextuelles dynamiques constitue une application originale à la supervision industrielle des indicateurs composites contextualisés (Mazziotta &amp; Pareto 2013, Social Indicators Research).</w:t>
      </w:r>
    </w:p>
    <w:p>
      <w:pPr>
        <w:spacing w:after="60" w:before="60"/>
        <w:jc w:val="both"/>
      </w:pPr>
      <w:r>
        <w:t xml:space="preserve">La projection probabiliste de l'IMCA exploite les processus stochastiques de dégradation (Wiener, Gamma, état-espace), permettant d'estimer l'horizon T* de franchissement d'un seuil critique avec un intervalle de confiance bayésien. Cette projection est, à notre connaissance, originale dans son intégration à un système de génération de signaux de commande.</w:t>
      </w:r>
    </w:p>
    <w:p>
      <w:pPr>
        <w:pStyle w:val="Heading2"/>
        <w:spacing w:after="120" w:before="240"/>
      </w:pPr>
      <w:r>
        <w:rPr>
          <w:b/>
          <w:bCs/>
          <w:sz w:val="26"/>
          <w:szCs w:val="26"/>
        </w:rPr>
        <w:t xml:space="preserve">8.7 Revendication 1(g) — Génération de signaux de commande techniques</w:t>
      </w:r>
    </w:p>
    <w:p>
      <w:pPr>
        <w:spacing w:after="60" w:before="60"/>
        <w:jc w:val="both"/>
      </w:pPr>
      <w:r>
        <w:t xml:space="preserve">Base scientifique : automatique industrielle, théorie du contrôle (Ogata 2010 « Modern Control Engineering »). Les exemples de signaux (modification de point de consigne, mode dégradé, ouverture/fermeture d'organe, arrêt sécurisé, cycle de lubrification, création d'OT GMAO) couvrent un spectre représentatif des actions techniques opérables en aval. Le CPI peut envisager des revendications dépendantes ciblant chaque type d'action si une protection plus granulaire est souhaitée.</w:t>
      </w:r>
    </w:p>
    <w:p>
      <w:pPr>
        <w:spacing w:after="60" w:before="60"/>
        <w:jc w:val="both"/>
      </w:pPr>
      <w:r>
        <w:t xml:space="preserve">Point clé : la conditionnalité technique du déclenchement (au moins l'un parmi cinq événements listés) verrouille la cohérence avec le reste du système, évitant les revendications trop larges qui seraient anticipées par les systèmes d'alarme classiques.</w:t>
      </w:r>
    </w:p>
    <w:p>
      <w:pPr>
        <w:pStyle w:val="Heading2"/>
        <w:spacing w:after="120" w:before="240"/>
      </w:pPr>
      <w:r>
        <w:rPr>
          <w:b/>
          <w:bCs/>
          <w:sz w:val="26"/>
          <w:szCs w:val="26"/>
        </w:rPr>
        <w:t xml:space="preserve">8.8 Revendication 1(h) — Adaptation structurée simultanée</w:t>
      </w:r>
    </w:p>
    <w:p>
      <w:pPr>
        <w:spacing w:after="60" w:before="60"/>
        <w:jc w:val="both"/>
      </w:pPr>
      <w:r>
        <w:t xml:space="preserve">Base scientifique : théorie du contrôle adaptatif G05B 13/02 et 13/04 (Åström &amp; Wittenmark 2008), apprentissage par renforcement avec règles d'ajustement bornées (Sutton &amp; Barto 2018), théorie de la stabilité de Lyapunov pour systèmes adaptatifs (Khalil 2002).</w:t>
      </w:r>
    </w:p>
    <w:p>
      <w:pPr>
        <w:spacing w:after="60" w:before="60"/>
        <w:jc w:val="both"/>
      </w:pPr>
      <w:r>
        <w:t xml:space="preserve">La règle d'ajustement spécifique (+0,02/+0,03/−0,05, plafond 1,0, plancher 0,1) constitue un trade-off explicite entre vitesse d'adaptation et stabilité. L'asymétrie succès/échec et le plancher non nul ont une justification théorique précise :</w:t>
      </w:r>
    </w:p>
    <w:p>
      <w:pPr>
        <w:pStyle w:val="ListParagraph"/>
        <w:numPr>
          <w:ilvl w:val="0"/>
          <w:numId w:val="3"/>
        </w:numPr>
        <w:spacing w:after="30" w:before="30"/>
        <w:jc w:val="both"/>
      </w:pPr>
      <w:r>
        <w:t xml:space="preserve">Asymétrie : un échec d'intervention est statistiquement plus informatif qu'un succès (preuve définitive d'inadéquation vs simple cohérence), justifiant un pas négatif plus grand ;</w:t>
      </w:r>
    </w:p>
    <w:p>
      <w:pPr>
        <w:pStyle w:val="ListParagraph"/>
        <w:numPr>
          <w:ilvl w:val="0"/>
          <w:numId w:val="3"/>
        </w:numPr>
        <w:spacing w:after="30" w:before="30"/>
        <w:jc w:val="both"/>
      </w:pPr>
      <w:r>
        <w:t xml:space="preserve">Plancher 0,1 : empêche l'élimination définitive d'hypothèses causales rares (« long tail » statistique) qui peuvent réapparaître ;</w:t>
      </w:r>
    </w:p>
    <w:p>
      <w:pPr>
        <w:pStyle w:val="ListParagraph"/>
        <w:numPr>
          <w:ilvl w:val="0"/>
          <w:numId w:val="3"/>
        </w:numPr>
        <w:spacing w:after="30" w:before="30"/>
        <w:jc w:val="both"/>
      </w:pPr>
      <w:r>
        <w:t xml:space="preserve">Plafond 1,0 : préserve une incertitude résiduelle irréductible, conforme au principe bayésien de non-attribution de probabilité 1 ou 0 à des événements futurs (sauf certitude mathématique).</w:t>
      </w:r>
    </w:p>
    <w:p>
      <w:pPr>
        <w:spacing w:after="60" w:before="60"/>
        <w:jc w:val="both"/>
      </w:pPr>
      <w:r>
        <w:t xml:space="preserve">Les mises à jour locales sur arête parcourue uniquement (revendication 15) garantissent la stabilité de la boucle de contrôle adaptatif au sens des théorèmes de stabilité par Lyapunov, là où un recalcul global créerait des risques d'instabilité oscillatoire.</w:t>
      </w:r>
    </w:p>
    <w:p>
      <w:pPr>
        <w:pStyle w:val="Heading1"/>
        <w:pageBreakBefore/>
        <w:spacing w:after="160" w:before="320"/>
      </w:pPr>
      <w:r>
        <w:rPr>
          <w:b/>
          <w:bCs/>
          <w:sz w:val="32"/>
          <w:szCs w:val="32"/>
        </w:rPr>
        <w:t xml:space="preserve">9. DÉMONSTRATION DE L'ACTIVITÉ INVENTIVE</w:t>
      </w:r>
    </w:p>
    <w:p>
      <w:pPr>
        <w:pStyle w:val="Heading2"/>
        <w:spacing w:after="120" w:before="240"/>
      </w:pPr>
      <w:r>
        <w:rPr>
          <w:b/>
          <w:bCs/>
          <w:sz w:val="26"/>
          <w:szCs w:val="26"/>
        </w:rPr>
        <w:t xml:space="preserve">9.1 Approche problème-solution OEB</w:t>
      </w:r>
    </w:p>
    <w:p>
      <w:pPr>
        <w:spacing w:after="60" w:before="60"/>
        <w:jc w:val="both"/>
      </w:pPr>
      <w:r>
        <w:t xml:space="preserve">La doctrine de l'OEB (Examination Guidelines, partie G, ch. VII) recommande l'approche problème-solution pour évaluer l'activité inventive : (i) identifier l'antériorité la plus proche (« closest prior art ») ; (ii) identifier la différence technique objective ; (iii) formuler le problème technique objectivement résolu ; (iv) évaluer si l'homme du métier serait arrivé à la solution de manière évidente.</w:t>
      </w:r>
    </w:p>
    <w:p>
      <w:pPr>
        <w:pStyle w:val="Heading2"/>
        <w:spacing w:after="120" w:before="240"/>
      </w:pPr>
      <w:r>
        <w:rPr>
          <w:b/>
          <w:bCs/>
          <w:sz w:val="26"/>
          <w:szCs w:val="26"/>
        </w:rPr>
        <w:t xml:space="preserve">9.2 Antériorité la plus proche</w:t>
      </w:r>
    </w:p>
    <w:p>
      <w:pPr>
        <w:spacing w:after="60" w:before="60"/>
        <w:jc w:val="both"/>
      </w:pPr>
      <w:r>
        <w:t xml:space="preserve">L'antériorité la plus proche identifiée est probablement la combinaison de :</w:t>
      </w:r>
    </w:p>
    <w:p>
      <w:pPr>
        <w:pStyle w:val="ListParagraph"/>
        <w:numPr>
          <w:ilvl w:val="0"/>
          <w:numId w:val="3"/>
        </w:numPr>
        <w:spacing w:after="30" w:before="30"/>
        <w:jc w:val="both"/>
      </w:pPr>
      <w:r>
        <w:t xml:space="preserve">Un système de surveillance d'état avec seuils adaptatifs (type EP-3,067,777) ;</w:t>
      </w:r>
    </w:p>
    <w:p>
      <w:pPr>
        <w:pStyle w:val="ListParagraph"/>
        <w:numPr>
          <w:ilvl w:val="0"/>
          <w:numId w:val="3"/>
        </w:numPr>
        <w:spacing w:after="30" w:before="30"/>
        <w:jc w:val="both"/>
      </w:pPr>
      <w:r>
        <w:t xml:space="preserve">Un indicateur composite de santé d'actif (type US-10,346,758 SAS Asset Health Scoring) ;</w:t>
      </w:r>
    </w:p>
    <w:p>
      <w:pPr>
        <w:pStyle w:val="ListParagraph"/>
        <w:numPr>
          <w:ilvl w:val="0"/>
          <w:numId w:val="3"/>
        </w:numPr>
        <w:spacing w:after="30" w:before="30"/>
        <w:jc w:val="both"/>
      </w:pPr>
      <w:r>
        <w:t xml:space="preserve">Un graphe de connaissances de maintenance (type Liu et al. 2025 ScienceDirect — publication académique).</w:t>
      </w:r>
    </w:p>
    <w:p>
      <w:pPr>
        <w:spacing w:after="60" w:before="60"/>
        <w:jc w:val="both"/>
      </w:pPr>
      <w:r>
        <w:t xml:space="preserve">La combinaison de ces trois antériorités n'est elle-même pas publiée, mais l'examinateur pourra arguer qu'un homme du métier les combinerait évidemment.</w:t>
      </w:r>
    </w:p>
    <w:p>
      <w:pPr>
        <w:pStyle w:val="Heading2"/>
        <w:spacing w:after="120" w:before="240"/>
      </w:pPr>
      <w:r>
        <w:rPr>
          <w:b/>
          <w:bCs/>
          <w:sz w:val="26"/>
          <w:szCs w:val="26"/>
        </w:rPr>
        <w:t xml:space="preserve">9.3 Différences techniques objectives</w:t>
      </w:r>
    </w:p>
    <w:p>
      <w:pPr>
        <w:spacing w:after="60" w:before="60"/>
        <w:jc w:val="both"/>
      </w:pPr>
      <w:r>
        <w:t xml:space="preserve">L'invention se distingue de cette combinaison hypothétique par au moins six différences techniques objectives :</w:t>
      </w:r>
    </w:p>
    <w:p>
      <w:pPr>
        <w:pStyle w:val="ListParagraph"/>
        <w:numPr>
          <w:ilvl w:val="0"/>
          <w:numId w:val="2"/>
        </w:numPr>
        <w:spacing w:after="30" w:before="30"/>
        <w:jc w:val="both"/>
      </w:pPr>
      <w:r>
        <w:t xml:space="preserve">Génération de signaux de commande techniques destinés à modifier le fonctionnement opérationnel des équipements industriels, alors que les antériorités se limitent à émettre des alertes ou des recommandations passives ;</w:t>
      </w:r>
    </w:p>
    <w:p>
      <w:pPr>
        <w:pStyle w:val="ListParagraph"/>
        <w:numPr>
          <w:ilvl w:val="0"/>
          <w:numId w:val="2"/>
        </w:numPr>
        <w:spacing w:after="30" w:before="30"/>
        <w:jc w:val="both"/>
      </w:pPr>
      <w:r>
        <w:t xml:space="preserve">Adaptation structurée simultanée de trois représentations internes distinctes (modèle comportemental, modélisation causale, pondérations IMCA) par retour d'intervention, sans recalcul global ;</w:t>
      </w:r>
    </w:p>
    <w:p>
      <w:pPr>
        <w:pStyle w:val="ListParagraph"/>
        <w:numPr>
          <w:ilvl w:val="0"/>
          <w:numId w:val="2"/>
        </w:numPr>
        <w:spacing w:after="30" w:before="30"/>
        <w:jc w:val="both"/>
      </w:pPr>
      <w:r>
        <w:t xml:space="preserve">Quatre sous-indices techniques spécifiques (ISD, IDC, ISO, IRS) avec formules respectives définies, et pondérations contextuelles dynamiques selon vecteur C (type d'actif, criticité, historique, environnement) ;</w:t>
      </w:r>
    </w:p>
    <w:p>
      <w:pPr>
        <w:pStyle w:val="ListParagraph"/>
        <w:numPr>
          <w:ilvl w:val="0"/>
          <w:numId w:val="2"/>
        </w:numPr>
        <w:spacing w:after="30" w:before="30"/>
        <w:jc w:val="both"/>
      </w:pPr>
      <w:r>
        <w:t xml:space="preserve">Projection probabiliste de l'IMCA avec horizon T* de franchissement de seuil critique et intervalle de confiance, intégrée à la décision d'émission de signaux de commande ;</w:t>
      </w:r>
    </w:p>
    <w:p>
      <w:pPr>
        <w:pStyle w:val="ListParagraph"/>
        <w:numPr>
          <w:ilvl w:val="0"/>
          <w:numId w:val="2"/>
        </w:numPr>
        <w:spacing w:after="30" w:before="30"/>
        <w:jc w:val="both"/>
      </w:pPr>
      <w:r>
        <w:t xml:space="preserve">Graphe de dépendances fonctionnelles inter-composants avec coefficient technique de transmission de défaut, exploité pour la propagation préventive de surveillances ;</w:t>
      </w:r>
    </w:p>
    <w:p>
      <w:pPr>
        <w:pStyle w:val="ListParagraph"/>
        <w:numPr>
          <w:ilvl w:val="0"/>
          <w:numId w:val="2"/>
        </w:numPr>
        <w:spacing w:after="30" w:before="30"/>
        <w:jc w:val="both"/>
      </w:pPr>
      <w:r>
        <w:t xml:space="preserve">Cohérence systémique des trois représentations adaptées de manière coordonnée et stable au sens G05B 13/02.</w:t>
      </w:r>
    </w:p>
    <w:p>
      <w:pPr>
        <w:pStyle w:val="Heading2"/>
        <w:spacing w:after="120" w:before="240"/>
      </w:pPr>
      <w:r>
        <w:rPr>
          <w:b/>
          <w:bCs/>
          <w:sz w:val="26"/>
          <w:szCs w:val="26"/>
        </w:rPr>
        <w:t xml:space="preserve">9.4 Problème technique objectivement résolu</w:t>
      </w:r>
    </w:p>
    <w:p>
      <w:pPr>
        <w:spacing w:after="60" w:before="60"/>
        <w:jc w:val="both"/>
      </w:pPr>
      <w:r>
        <w:t xml:space="preserve">Le problème technique objectivement résolu par ces différences est : comment concevoir un système de supervision et de contrôle d'équipements industriels physiques qui anticipe les défaillances avec un horizon temporel quantifié, qui génère automatiquement les actions correctives physiques, qui adapte progressivement et stablement ses représentations internes par retour d'expérience opérationnel, et qui fournit une évaluation synthétique multi-dimensionnelle interprétable de l'état de santé de chaque actif ?</w:t>
      </w:r>
    </w:p>
    <w:p>
      <w:pPr>
        <w:pStyle w:val="Heading2"/>
        <w:spacing w:after="120" w:before="240"/>
      </w:pPr>
      <w:r>
        <w:rPr>
          <w:b/>
          <w:bCs/>
          <w:sz w:val="26"/>
          <w:szCs w:val="26"/>
        </w:rPr>
        <w:t xml:space="preserve">9.5 Démonstration de la non-évidence</w:t>
      </w:r>
    </w:p>
    <w:p>
      <w:pPr>
        <w:spacing w:after="60" w:before="60"/>
        <w:jc w:val="both"/>
      </w:pPr>
      <w:r>
        <w:t xml:space="preserve">Un homme du métier, partant de la combinaison d'antériorités identifiée et confronté au problème technique objectivement formulé, n'aurait pas d'évidence à arriver à la solution revendiquée, pour les raisons suivantes :</w:t>
      </w:r>
    </w:p>
    <w:p>
      <w:pPr>
        <w:pStyle w:val="ListParagraph"/>
        <w:numPr>
          <w:ilvl w:val="0"/>
          <w:numId w:val="2"/>
        </w:numPr>
        <w:spacing w:after="30" w:before="30"/>
        <w:jc w:val="both"/>
      </w:pPr>
      <w:r>
        <w:t xml:space="preserve">Aucune publication ni brevet n'enseigne la fusion pondérée adaptative IMCA des quatre sous-indices spécifiques. Les indicateurs composites existants utilisent des pondérations fixes ou des fusions par apprentissage profond opaque. La combinaison spécifique ISD/IDC/ISO/IRS avec leurs formules respectives constitue une construction technique originale.</w:t>
      </w:r>
    </w:p>
    <w:p>
      <w:pPr>
        <w:pStyle w:val="ListParagraph"/>
        <w:numPr>
          <w:ilvl w:val="0"/>
          <w:numId w:val="2"/>
        </w:numPr>
        <w:spacing w:after="30" w:before="30"/>
        <w:jc w:val="both"/>
      </w:pPr>
      <w:r>
        <w:t xml:space="preserve">La projection probabiliste de l'IMCA avec horizon T* exploité pour le déclenchement de signaux de commande n'est enseignée par aucune antériorité — les projections de RUL existantes sont produites comme information, non comme déclencheur d'action automatisée.</w:t>
      </w:r>
    </w:p>
    <w:p>
      <w:pPr>
        <w:pStyle w:val="ListParagraph"/>
        <w:numPr>
          <w:ilvl w:val="0"/>
          <w:numId w:val="2"/>
        </w:numPr>
        <w:spacing w:after="30" w:before="30"/>
        <w:jc w:val="both"/>
      </w:pPr>
      <w:r>
        <w:t xml:space="preserve">L'adaptation simultanée des trois représentations (modèle comportemental, modélisation causale, pondérations IMCA) selon des règles bornées garantissant la stabilité de boucle est techniquement non-évidente : un homme du métier serait naturellement enclin à proposer un ré-entraînement global, qui poserait des problèmes de stabilité reconnus dans la littérature G05B 13/02.</w:t>
      </w:r>
    </w:p>
    <w:p>
      <w:pPr>
        <w:pStyle w:val="ListParagraph"/>
        <w:numPr>
          <w:ilvl w:val="0"/>
          <w:numId w:val="2"/>
        </w:numPr>
        <w:spacing w:after="30" w:before="30"/>
        <w:jc w:val="both"/>
      </w:pPr>
      <w:r>
        <w:t xml:space="preserve">La règle d'ajustement asymétrique (+0,02/+0,03/−0,05) avec bornes physiquement justifiées constitue une heuristique technique spécifique, non triviale, dont la cohérence avec la théorie bayésienne de la robustesse n'est pas évidente sans analyse approfondie.</w:t>
      </w:r>
    </w:p>
    <w:p>
      <w:pPr>
        <w:pStyle w:val="ListParagraph"/>
        <w:numPr>
          <w:ilvl w:val="0"/>
          <w:numId w:val="2"/>
        </w:numPr>
        <w:spacing w:after="30" w:before="30"/>
        <w:jc w:val="both"/>
      </w:pPr>
      <w:r>
        <w:t xml:space="preserve">L'effet technique synergique global — limitation des dérives, réduction des cascades, anticipation par projection IMCA, stabilisation du parc — n'est obtenu par aucune combinaison évidente des antériorités prises séparément.</w:t>
      </w:r>
    </w:p>
    <w:p>
      <w:pPr>
        <w:pStyle w:val="Heading2"/>
        <w:spacing w:after="120" w:before="240"/>
      </w:pPr>
      <w:r>
        <w:rPr>
          <w:b/>
          <w:bCs/>
          <w:sz w:val="26"/>
          <w:szCs w:val="26"/>
        </w:rPr>
        <w:t xml:space="preserve">9.6 Test Alice/Mayo (pour l'USPTO)</w:t>
      </w:r>
    </w:p>
    <w:p>
      <w:pPr>
        <w:spacing w:after="60" w:before="60"/>
        <w:jc w:val="both"/>
      </w:pPr>
      <w:r>
        <w:t xml:space="preserve">Pour le dépôt USPTO, le test Alice/Mayo en deux étapes doit être passé : (i) la revendication vise-t-elle une matière éligible par exclusion ? (ii) si la revendication est jugée abstraite, comporte-t-elle une « inventive concept » la transformant en application brevetable ?</w:t>
      </w:r>
    </w:p>
    <w:p>
      <w:pPr>
        <w:spacing w:after="60" w:before="60"/>
        <w:jc w:val="both"/>
      </w:pPr>
      <w:r>
        <w:t xml:space="preserve">Étape 1 : la revendication 1, par sa structure (interface matérielle de capteurs + module de traitement + génération de signaux de commande vers équipements physiques), vise une amélioration concrète d'un système de supervision et contrôle d'équipements industriels physiques, et non une simple méthode abstraite ou un algorithme mathématique. Elle devrait passer l'étape 1.</w:t>
      </w:r>
    </w:p>
    <w:p>
      <w:pPr>
        <w:spacing w:after="60" w:before="60"/>
        <w:jc w:val="both"/>
      </w:pPr>
      <w:r>
        <w:t xml:space="preserve">Étape 2 : si néanmoins l'examinateur considère que certains éléments (graphe causal, IMCA, sous-indices) sont mathématiques par nature, leur intégration spécifique dans un système technique produisant un effet physique (modification du fonctionnement opérationnel d'équipements industriels) constitue l'« inventive concept » au sens d'Alice (Mayo Collaborative Services v. Prometheus Laboratories, 2012 ; Alice Corp. v. CLS Bank International, 2014). La référence à G05B 13/02 et la démonstration de l'effet technique sur les équipements physiques sont les arguments-clés.</w:t>
      </w:r>
    </w:p>
    <w:p>
      <w:pPr>
        <w:pStyle w:val="Heading1"/>
        <w:pageBreakBefore/>
        <w:spacing w:after="160" w:before="320"/>
      </w:pPr>
      <w:r>
        <w:rPr>
          <w:b/>
          <w:bCs/>
          <w:sz w:val="32"/>
          <w:szCs w:val="32"/>
        </w:rPr>
        <w:t xml:space="preserve">10. SUGGESTIONS DE STRATÉGIE DE REVENDICATIONS POUR LE CPI</w:t>
      </w:r>
    </w:p>
    <w:p>
      <w:pPr>
        <w:pStyle w:val="Heading2"/>
        <w:spacing w:after="120" w:before="240"/>
      </w:pPr>
      <w:r>
        <w:rPr>
          <w:b/>
          <w:bCs/>
          <w:sz w:val="26"/>
          <w:szCs w:val="26"/>
        </w:rPr>
        <w:t xml:space="preserve">10.1 Architecture proposée</w:t>
      </w:r>
    </w:p>
    <w:p>
      <w:pPr>
        <w:spacing w:after="60" w:before="60"/>
        <w:jc w:val="both"/>
      </w:pPr>
      <w:r>
        <w:t xml:space="preserve">Le projet de brevet v3 propose 20 revendications structurées. Le CPI peut envisager une architecture optimisée selon trois principes :</w:t>
      </w:r>
    </w:p>
    <w:p>
      <w:pPr>
        <w:pStyle w:val="ListParagraph"/>
        <w:numPr>
          <w:ilvl w:val="0"/>
          <w:numId w:val="2"/>
        </w:numPr>
        <w:spacing w:after="30" w:before="30"/>
        <w:jc w:val="both"/>
      </w:pPr>
      <w:r>
        <w:t xml:space="preserve">Revendication 1 principale large et défensive, couvrant la combinaison des 8 modules (a-h) avec formulation systémique. Cette revendication est défensive en ce qu'elle protège l'invention globale ; toute reformulation de revendications dépendantes lors d'office action n'affaiblira pas la portée principale.</w:t>
      </w:r>
    </w:p>
    <w:p>
      <w:pPr>
        <w:pStyle w:val="ListParagraph"/>
        <w:numPr>
          <w:ilvl w:val="0"/>
          <w:numId w:val="2"/>
        </w:numPr>
        <w:spacing w:after="30" w:before="30"/>
        <w:jc w:val="both"/>
      </w:pPr>
      <w:r>
        <w:t xml:space="preserve">Revendications dépendantes étagées par groupes thématiques : (i) interface matérielle et signaux ; (ii) modèle comportemental ; (iii) modélisation causale ; (iv) IMCA et sous-indices ; (v) génération de commande ; (vi) adaptation structurée. Chaque groupe doit avoir 2-4 revendications dépendantes.</w:t>
      </w:r>
    </w:p>
    <w:p>
      <w:pPr>
        <w:pStyle w:val="ListParagraph"/>
        <w:numPr>
          <w:ilvl w:val="0"/>
          <w:numId w:val="2"/>
        </w:numPr>
        <w:spacing w:after="30" w:before="30"/>
        <w:jc w:val="both"/>
      </w:pPr>
      <w:r>
        <w:t xml:space="preserve">Revendications de procédé (revendication 18) et de produit programme (revendication 19) en complément, conformément aux usages OEB.</w:t>
      </w:r>
    </w:p>
    <w:p>
      <w:pPr>
        <w:pStyle w:val="Heading2"/>
        <w:spacing w:after="120" w:before="240"/>
      </w:pPr>
      <w:r>
        <w:rPr>
          <w:b/>
          <w:bCs/>
          <w:sz w:val="26"/>
          <w:szCs w:val="26"/>
        </w:rPr>
        <w:t xml:space="preserve">10.2 Fallback positions identifiées</w:t>
      </w:r>
    </w:p>
    <w:p>
      <w:pPr>
        <w:spacing w:after="60" w:before="60"/>
        <w:jc w:val="both"/>
      </w:pPr>
      <w:r>
        <w:t xml:space="preserve">En cas d'objection sur la revendication 1 principale, le CPI dispose de plusieurs positions de repli identifiées :</w:t>
      </w:r>
    </w:p>
    <w:p>
      <w:pPr>
        <w:pStyle w:val="ListParagraph"/>
        <w:numPr>
          <w:ilvl w:val="0"/>
          <w:numId w:val="3"/>
        </w:numPr>
        <w:spacing w:after="30" w:before="30"/>
        <w:jc w:val="both"/>
      </w:pPr>
      <w:r>
        <w:t xml:space="preserve">Position de repli n° 1 : retirer le module IMCA et reformuler une revendication 1' centrée sur le triptyque [modèle comportemental + modélisation causale + adaptation structurée] avec génération de signaux de commande. Couverture toujours forte.</w:t>
      </w:r>
    </w:p>
    <w:p>
      <w:pPr>
        <w:pStyle w:val="ListParagraph"/>
        <w:numPr>
          <w:ilvl w:val="0"/>
          <w:numId w:val="3"/>
        </w:numPr>
        <w:spacing w:after="30" w:before="30"/>
        <w:jc w:val="both"/>
      </w:pPr>
      <w:r>
        <w:t xml:space="preserve">Position de repli n° 2 : retirer le modèle comportemental et reformuler centrée sur [modélisation causale + IMCA + adaptation]. Préserve les éléments les plus novateurs.</w:t>
      </w:r>
    </w:p>
    <w:p>
      <w:pPr>
        <w:pStyle w:val="ListParagraph"/>
        <w:numPr>
          <w:ilvl w:val="0"/>
          <w:numId w:val="3"/>
        </w:numPr>
        <w:spacing w:after="30" w:before="30"/>
        <w:jc w:val="both"/>
      </w:pPr>
      <w:r>
        <w:t xml:space="preserve">Position de repli n° 3 : reformulation centrée exclusivement sur l'IMCA et sa projection probabiliste avec déclenchement de signaux de commande — c'est la position de défense ultime en cas de rejet sur les autres éléments.</w:t>
      </w:r>
    </w:p>
    <w:p>
      <w:pPr>
        <w:pStyle w:val="Heading2"/>
        <w:spacing w:after="120" w:before="240"/>
      </w:pPr>
      <w:r>
        <w:rPr>
          <w:b/>
          <w:bCs/>
          <w:sz w:val="26"/>
          <w:szCs w:val="26"/>
        </w:rPr>
        <w:t xml:space="preserve">10.3 Suggestions de revendications complémentaires</w:t>
      </w:r>
    </w:p>
    <w:p>
      <w:pPr>
        <w:spacing w:after="60" w:before="60"/>
        <w:jc w:val="both"/>
      </w:pPr>
      <w:r>
        <w:t xml:space="preserve">Le CPI peut envisager d'ajouter les revendications dépendantes suivantes pour renforcer la défensibilité :</w:t>
      </w:r>
    </w:p>
    <w:p>
      <w:pPr>
        <w:pStyle w:val="ListParagraph"/>
        <w:numPr>
          <w:ilvl w:val="0"/>
          <w:numId w:val="3"/>
        </w:numPr>
        <w:spacing w:after="30" w:before="30"/>
        <w:jc w:val="both"/>
      </w:pPr>
      <w:r>
        <w:t xml:space="preserve">Revendication sur la sélection automatique du processus stochastique de projection IMCA (Wiener vs Gamma vs état-espace) par critère AIC ou BIC sur les données historiques ;</w:t>
      </w:r>
    </w:p>
    <w:p>
      <w:pPr>
        <w:pStyle w:val="ListParagraph"/>
        <w:numPr>
          <w:ilvl w:val="0"/>
          <w:numId w:val="3"/>
        </w:numPr>
        <w:spacing w:after="30" w:before="30"/>
        <w:jc w:val="both"/>
      </w:pPr>
      <w:r>
        <w:t xml:space="preserve">Revendication sur l'exposition des valeurs courantes d'IMCA via une interface technique normalisée permettant la consommation par d'autres systèmes (préfiguration de l'usage transverse avec le Brevet 2) ;</w:t>
      </w:r>
    </w:p>
    <w:p>
      <w:pPr>
        <w:pStyle w:val="ListParagraph"/>
        <w:numPr>
          <w:ilvl w:val="0"/>
          <w:numId w:val="3"/>
        </w:numPr>
        <w:spacing w:after="30" w:before="30"/>
        <w:jc w:val="both"/>
      </w:pPr>
      <w:r>
        <w:t xml:space="preserve">Revendication sur le format d'échange standardisé de la décomposition explicative (par exemple JSON-LD avec ontologie spécifique) ;</w:t>
      </w:r>
    </w:p>
    <w:p>
      <w:pPr>
        <w:pStyle w:val="ListParagraph"/>
        <w:numPr>
          <w:ilvl w:val="0"/>
          <w:numId w:val="3"/>
        </w:numPr>
        <w:spacing w:after="30" w:before="30"/>
        <w:jc w:val="both"/>
      </w:pPr>
      <w:r>
        <w:t xml:space="preserve">Revendication sur l'intégration possible avec un système GMAO tiers via API standardisée.</w:t>
      </w:r>
    </w:p>
    <w:p>
      <w:pPr>
        <w:pStyle w:val="Heading2"/>
        <w:spacing w:after="120" w:before="240"/>
      </w:pPr>
      <w:r>
        <w:rPr>
          <w:b/>
          <w:bCs/>
          <w:sz w:val="26"/>
          <w:szCs w:val="26"/>
        </w:rPr>
        <w:t xml:space="preserve">10.4 Pièges à éviter dans la rédaction</w:t>
      </w:r>
    </w:p>
    <w:p>
      <w:pPr>
        <w:pStyle w:val="ListParagraph"/>
        <w:numPr>
          <w:ilvl w:val="0"/>
          <w:numId w:val="3"/>
        </w:numPr>
        <w:spacing w:after="30" w:before="30"/>
        <w:jc w:val="both"/>
      </w:pPr>
      <w:r>
        <w:t xml:space="preserve">Éviter les formulations purement mathématiques sans ancrage technique (« calcul de... ») ; préférer « module configuré pour calculer... » qui ancre le calcul dans un dispositif physique ;</w:t>
      </w:r>
    </w:p>
    <w:p>
      <w:pPr>
        <w:pStyle w:val="ListParagraph"/>
        <w:numPr>
          <w:ilvl w:val="0"/>
          <w:numId w:val="3"/>
        </w:numPr>
        <w:spacing w:after="30" w:before="30"/>
        <w:jc w:val="both"/>
      </w:pPr>
      <w:r>
        <w:t xml:space="preserve">Éviter de revendiquer comme caractéristique essentielle une formule numérique précise dans la revendication principale ; mettre les formules précises en revendications dépendantes, et laisser la revendication principale au niveau structurel ;</w:t>
      </w:r>
    </w:p>
    <w:p>
      <w:pPr>
        <w:pStyle w:val="ListParagraph"/>
        <w:numPr>
          <w:ilvl w:val="0"/>
          <w:numId w:val="3"/>
        </w:numPr>
        <w:spacing w:after="30" w:before="30"/>
        <w:jc w:val="both"/>
      </w:pPr>
      <w:r>
        <w:t xml:space="preserve">Éviter le vocabulaire d'« intelligence artificielle » : préférer « modélisation causale dynamique », « adaptation structurée », « module de structuration en langage technique » qui évacuent les risques d'objection sur l'éligibilité ;</w:t>
      </w:r>
    </w:p>
    <w:p>
      <w:pPr>
        <w:pStyle w:val="ListParagraph"/>
        <w:numPr>
          <w:ilvl w:val="0"/>
          <w:numId w:val="3"/>
        </w:numPr>
        <w:spacing w:after="30" w:before="30"/>
        <w:jc w:val="both"/>
      </w:pPr>
      <w:r>
        <w:t xml:space="preserve">Éviter les revendications de produit programme d'ordinateur isolées de la revendication système : toujours les rattacher au procédé selon revendication 1 ;</w:t>
      </w:r>
    </w:p>
    <w:p>
      <w:pPr>
        <w:pStyle w:val="ListParagraph"/>
        <w:numPr>
          <w:ilvl w:val="0"/>
          <w:numId w:val="3"/>
        </w:numPr>
        <w:spacing w:after="30" w:before="30"/>
        <w:jc w:val="both"/>
      </w:pPr>
      <w:r>
        <w:t xml:space="preserve">Éviter d'utiliser « comprend essentiellement » qui restreint techniquement ; préférer « comprend » qui est ouvert.</w:t>
      </w:r>
    </w:p>
    <w:p>
      <w:pPr>
        <w:pStyle w:val="Heading1"/>
        <w:pageBreakBefore/>
        <w:spacing w:after="160" w:before="320"/>
      </w:pPr>
      <w:r>
        <w:rPr>
          <w:b/>
          <w:bCs/>
          <w:sz w:val="32"/>
          <w:szCs w:val="32"/>
        </w:rPr>
        <w:t xml:space="preserve">11. RISQUES D'EXAMEN ET STRATÉGIES DE RÉPONSE</w:t>
      </w:r>
    </w:p>
    <w:p>
      <w:pPr>
        <w:pStyle w:val="Heading2"/>
        <w:spacing w:after="120" w:before="240"/>
      </w:pPr>
      <w:r>
        <w:rPr>
          <w:b/>
          <w:bCs/>
          <w:sz w:val="26"/>
          <w:szCs w:val="26"/>
        </w:rPr>
        <w:t xml:space="preserve">11.1 Risque n° 1 — Objection d'éligibilité (Alice/Mayo USPTO ; article 52 CBE)</w:t>
      </w:r>
    </w:p>
    <w:p>
      <w:pPr>
        <w:spacing w:after="60" w:before="60"/>
        <w:jc w:val="both"/>
      </w:pPr>
      <w:r>
        <w:t xml:space="preserve">Risque : l'examinateur peut considérer que le brevet revendique essentiellement un algorithme mathématique ou une méthode mentale habillée d'éléments techniques.</w:t>
      </w:r>
    </w:p>
    <w:p>
      <w:pPr>
        <w:spacing w:after="60" w:before="60"/>
        <w:jc w:val="both"/>
      </w:pPr>
      <w:r>
        <w:t xml:space="preserve">Stratégie de réponse : mettre en avant les éléments matériels (interface capteurs, génération de signaux de commande vers PLC/SCADA, effet sur le fonctionnement opérationnel d'équipements industriels physiques), citer la jurisprudence COMVIK (T 0641/00) et G 1/19 sur les méthodes assistées par ordinateur produisant un effet technique. Pour l'USPTO, invoquer Diamond v. Diehr (1981) qui établit que l'intégration d'algorithmes mathématiques dans des processus physiques est brevetable.</w:t>
      </w:r>
    </w:p>
    <w:p>
      <w:pPr>
        <w:pStyle w:val="Heading2"/>
        <w:spacing w:after="120" w:before="240"/>
      </w:pPr>
      <w:r>
        <w:rPr>
          <w:b/>
          <w:bCs/>
          <w:sz w:val="26"/>
          <w:szCs w:val="26"/>
        </w:rPr>
        <w:t xml:space="preserve">11.2 Risque n° 2 — Objection de manque d'activité inventive</w:t>
      </w:r>
    </w:p>
    <w:p>
      <w:pPr>
        <w:spacing w:after="60" w:before="60"/>
        <w:jc w:val="both"/>
      </w:pPr>
      <w:r>
        <w:t xml:space="preserve">Risque : l'examinateur peut considérer que les composantes individuelles existent dans la littérature et que leur combinaison est évidente.</w:t>
      </w:r>
    </w:p>
    <w:p>
      <w:pPr>
        <w:spacing w:after="60" w:before="60"/>
        <w:jc w:val="both"/>
      </w:pPr>
      <w:r>
        <w:t xml:space="preserve">Stratégie de réponse : suivre l'approche problème-solution OEB (section 9 ci-dessus), démontrer qu'aucune antériorité ne combine les six différences techniques objectives identifiées, et que la combinaison produit un effet technique synergique non évident (stabilité de boucle adaptive + anticipation projetée + cohérence systémique des trois adaptations).</w:t>
      </w:r>
    </w:p>
    <w:p>
      <w:pPr>
        <w:pStyle w:val="Heading2"/>
        <w:spacing w:after="120" w:before="240"/>
      </w:pPr>
      <w:r>
        <w:rPr>
          <w:b/>
          <w:bCs/>
          <w:sz w:val="26"/>
          <w:szCs w:val="26"/>
        </w:rPr>
        <w:t xml:space="preserve">11.3 Risque n° 3 — Objection de manque de clarté sur les paramètres numériques</w:t>
      </w:r>
    </w:p>
    <w:p>
      <w:pPr>
        <w:spacing w:after="60" w:before="60"/>
        <w:jc w:val="both"/>
      </w:pPr>
      <w:r>
        <w:t xml:space="preserve">Risque : l'examinateur peut considérer que les valeurs précises (+0,02/+0,03/−0,05, 30%, T=30-90 jours, etc.) sont arbitraires et insuffisamment justifiées.</w:t>
      </w:r>
    </w:p>
    <w:p>
      <w:pPr>
        <w:spacing w:after="60" w:before="60"/>
        <w:jc w:val="both"/>
      </w:pPr>
      <w:r>
        <w:t xml:space="preserve">Stratégie de réponse : produire la justification théorique de chaque paramètre (rapport asymétrie succès/échec ; bornes plafond/plancher) en se référant à la théorie bayésienne et au principe de prudence, et fournir si possible des données expérimentales démontrant le caractère optimal des paramètres choisis. Alternativement, reformuler en revendications dépendantes les valeurs précises et garder dans la principale des fourchettes (par exemple +0,01-0,05 et −0,03-0,1).</w:t>
      </w:r>
    </w:p>
    <w:p>
      <w:pPr>
        <w:pStyle w:val="Heading2"/>
        <w:spacing w:after="120" w:before="240"/>
      </w:pPr>
      <w:r>
        <w:rPr>
          <w:b/>
          <w:bCs/>
          <w:sz w:val="26"/>
          <w:szCs w:val="26"/>
        </w:rPr>
        <w:t xml:space="preserve">11.4 Risque n° 4 — Objection de manque de support dans la description</w:t>
      </w:r>
    </w:p>
    <w:p>
      <w:pPr>
        <w:spacing w:after="60" w:before="60"/>
        <w:jc w:val="both"/>
      </w:pPr>
      <w:r>
        <w:t xml:space="preserve">Risque : l'examinateur peut considérer que certaines revendications ne sont pas suffisamment décrites dans le corps du brevet.</w:t>
      </w:r>
    </w:p>
    <w:p>
      <w:pPr>
        <w:spacing w:after="60" w:before="60"/>
        <w:jc w:val="both"/>
      </w:pPr>
      <w:r>
        <w:t xml:space="preserve">Stratégie de réponse : enrichir la description avec des exemples détaillés (le projet v3 en comporte déjà quatre), des formules mathématiques explicites, et des schémas fonctionnels. Le présent dossier scientifique peut être incorporé partiellement dans la description du brevet par voie d'amendement, si nécessaire.</w:t>
      </w:r>
    </w:p>
    <w:p>
      <w:pPr>
        <w:pStyle w:val="Heading2"/>
        <w:spacing w:after="120" w:before="240"/>
      </w:pPr>
      <w:r>
        <w:rPr>
          <w:b/>
          <w:bCs/>
          <w:sz w:val="26"/>
          <w:szCs w:val="26"/>
        </w:rPr>
        <w:t xml:space="preserve">11.5 Plan de prosecution recommandé</w:t>
      </w:r>
    </w:p>
    <w:p>
      <w:pPr>
        <w:spacing w:after="60" w:before="60"/>
        <w:jc w:val="both"/>
      </w:pPr>
      <w:r>
        <w:t xml:space="preserve">Le plan de prosecution recommandé est le suivant :</w:t>
      </w:r>
    </w:p>
    <w:p>
      <w:pPr>
        <w:pStyle w:val="ListParagraph"/>
        <w:numPr>
          <w:ilvl w:val="0"/>
          <w:numId w:val="2"/>
        </w:numPr>
        <w:spacing w:after="30" w:before="30"/>
        <w:jc w:val="both"/>
      </w:pPr>
      <w:r>
        <w:t xml:space="preserve">Dépôt initial en France (INPI) : procédure rapide, examen moins strict, premier brevet français accordé en 18-24 mois servant de présomption de validité ;</w:t>
      </w:r>
    </w:p>
    <w:p>
      <w:pPr>
        <w:pStyle w:val="ListParagraph"/>
        <w:numPr>
          <w:ilvl w:val="0"/>
          <w:numId w:val="2"/>
        </w:numPr>
        <w:spacing w:after="30" w:before="30"/>
        <w:jc w:val="both"/>
      </w:pPr>
      <w:r>
        <w:t xml:space="preserve">Extension PCT dans les 12 mois suivant le dépôt INPI : préserve la priorité internationale et donne 30 mois pour préparer les phases nationales ;</w:t>
      </w:r>
    </w:p>
    <w:p>
      <w:pPr>
        <w:pStyle w:val="ListParagraph"/>
        <w:numPr>
          <w:ilvl w:val="0"/>
          <w:numId w:val="2"/>
        </w:numPr>
        <w:spacing w:after="30" w:before="30"/>
        <w:jc w:val="both"/>
      </w:pPr>
      <w:r>
        <w:t xml:space="preserve">Phase nationale OEB (Munich) : préparer une réponse robuste à la première office action attendue ; le présent dossier fournit le matériel nécessaire ;</w:t>
      </w:r>
    </w:p>
    <w:p>
      <w:pPr>
        <w:pStyle w:val="ListParagraph"/>
        <w:numPr>
          <w:ilvl w:val="0"/>
          <w:numId w:val="2"/>
        </w:numPr>
        <w:spacing w:after="30" w:before="30"/>
        <w:jc w:val="both"/>
      </w:pPr>
      <w:r>
        <w:t xml:space="preserve">Phase nationale USPTO : adaptation des revendications au style US (méthode + système + medium), réponse spécifique au test Alice/Mayo ;</w:t>
      </w:r>
    </w:p>
    <w:p>
      <w:pPr>
        <w:pStyle w:val="ListParagraph"/>
        <w:numPr>
          <w:ilvl w:val="0"/>
          <w:numId w:val="2"/>
        </w:numPr>
        <w:spacing w:after="30" w:before="30"/>
        <w:jc w:val="both"/>
      </w:pPr>
      <w:r>
        <w:t xml:space="preserve">Phase nationale OAPI : pour les marchés africains, en s'appuyant sur l'examen OEB.</w:t>
      </w:r>
    </w:p>
    <w:p>
      <w:pPr>
        <w:pStyle w:val="Heading1"/>
        <w:pageBreakBefore/>
        <w:spacing w:after="160" w:before="320"/>
      </w:pPr>
      <w:r>
        <w:rPr>
          <w:b/>
          <w:bCs/>
          <w:sz w:val="32"/>
          <w:szCs w:val="32"/>
        </w:rPr>
        <w:t xml:space="preserve">12. ANNEXE — BIBLIOGRAPHIE COMPLÈTE</w:t>
      </w:r>
    </w:p>
    <w:p>
      <w:pPr>
        <w:pStyle w:val="Heading2"/>
        <w:spacing w:after="120" w:before="240"/>
      </w:pPr>
      <w:r>
        <w:rPr>
          <w:b/>
          <w:bCs/>
          <w:sz w:val="26"/>
          <w:szCs w:val="26"/>
        </w:rPr>
        <w:t xml:space="preserve">12.1 Ouvrages de référence</w:t>
      </w:r>
    </w:p>
    <w:p>
      <w:pPr>
        <w:spacing w:after="30" w:before="30"/>
        <w:ind w:left="360" w:hanging="360"/>
        <w:jc w:val="both"/>
      </w:pPr>
      <w:r>
        <w:rPr>
          <w:sz w:val="20"/>
          <w:szCs w:val="20"/>
        </w:rPr>
        <w:t xml:space="preserve">Åström K. J., Wittenmark B. (2008). Adaptive Control, 2nd edition. Dover Publications. ISBN 978-0486462783.</w:t>
      </w:r>
    </w:p>
    <w:p>
      <w:pPr>
        <w:spacing w:after="30" w:before="30"/>
        <w:ind w:left="360" w:hanging="360"/>
        <w:jc w:val="both"/>
      </w:pPr>
      <w:r>
        <w:rPr>
          <w:sz w:val="20"/>
          <w:szCs w:val="20"/>
        </w:rPr>
        <w:t xml:space="preserve">Bishop C. M. (2006). Pattern Recognition and Machine Learning. Springer. ISBN 978-0387310732.</w:t>
      </w:r>
    </w:p>
    <w:p>
      <w:pPr>
        <w:spacing w:after="30" w:before="30"/>
        <w:ind w:left="360" w:hanging="360"/>
        <w:jc w:val="both"/>
      </w:pPr>
      <w:r>
        <w:rPr>
          <w:sz w:val="20"/>
          <w:szCs w:val="20"/>
        </w:rPr>
        <w:t xml:space="preserve">Cormen T. H., Leiserson C. E., Rivest R. L., Stein C. (2009). Introduction to Algorithms, 3rd edition. MIT Press.</w:t>
      </w:r>
    </w:p>
    <w:p>
      <w:pPr>
        <w:spacing w:after="30" w:before="30"/>
        <w:ind w:left="360" w:hanging="360"/>
        <w:jc w:val="both"/>
      </w:pPr>
      <w:r>
        <w:rPr>
          <w:sz w:val="20"/>
          <w:szCs w:val="20"/>
        </w:rPr>
        <w:t xml:space="preserve">Diestel R. (2017). Graph Theory, 5th edition. Springer-Verlag. ISBN 978-3662536216.</w:t>
      </w:r>
    </w:p>
    <w:p>
      <w:pPr>
        <w:spacing w:after="30" w:before="30"/>
        <w:ind w:left="360" w:hanging="360"/>
        <w:jc w:val="both"/>
      </w:pPr>
      <w:r>
        <w:rPr>
          <w:sz w:val="20"/>
          <w:szCs w:val="20"/>
        </w:rPr>
        <w:t xml:space="preserve">Gelman A. et al. (2014). Bayesian Data Analysis, 3rd edition. CRC Press.</w:t>
      </w:r>
    </w:p>
    <w:p>
      <w:pPr>
        <w:spacing w:after="30" w:before="30"/>
        <w:ind w:left="360" w:hanging="360"/>
        <w:jc w:val="both"/>
      </w:pPr>
      <w:r>
        <w:rPr>
          <w:sz w:val="20"/>
          <w:szCs w:val="20"/>
        </w:rPr>
        <w:t xml:space="preserve">Ioannou P. A., Sun J. (2012). Robust Adaptive Control. Dover Publications. ISBN 978-0486498171.</w:t>
      </w:r>
    </w:p>
    <w:p>
      <w:pPr>
        <w:spacing w:after="30" w:before="30"/>
        <w:ind w:left="360" w:hanging="360"/>
        <w:jc w:val="both"/>
      </w:pPr>
      <w:r>
        <w:rPr>
          <w:sz w:val="20"/>
          <w:szCs w:val="20"/>
        </w:rPr>
        <w:t xml:space="preserve">Khalil H. K. (2002). Nonlinear Systems, 3rd edition. Prentice Hall.</w:t>
      </w:r>
    </w:p>
    <w:p>
      <w:pPr>
        <w:spacing w:after="30" w:before="30"/>
        <w:ind w:left="360" w:hanging="360"/>
        <w:jc w:val="both"/>
      </w:pPr>
      <w:r>
        <w:rPr>
          <w:sz w:val="20"/>
          <w:szCs w:val="20"/>
        </w:rPr>
        <w:t xml:space="preserve">Ljung L. (1999). System Identification: Theory for the User, 2nd edition. Prentice Hall.</w:t>
      </w:r>
    </w:p>
    <w:p>
      <w:pPr>
        <w:spacing w:after="30" w:before="30"/>
        <w:ind w:left="360" w:hanging="360"/>
        <w:jc w:val="both"/>
      </w:pPr>
      <w:r>
        <w:rPr>
          <w:sz w:val="20"/>
          <w:szCs w:val="20"/>
        </w:rPr>
        <w:t xml:space="preserve">Newman M. E. J. (2010). Networks: An Introduction. Oxford University Press.</w:t>
      </w:r>
    </w:p>
    <w:p>
      <w:pPr>
        <w:spacing w:after="30" w:before="30"/>
        <w:ind w:left="360" w:hanging="360"/>
        <w:jc w:val="both"/>
      </w:pPr>
      <w:r>
        <w:rPr>
          <w:sz w:val="20"/>
          <w:szCs w:val="20"/>
        </w:rPr>
        <w:t xml:space="preserve">Ogata K. (2010). Modern Control Engineering, 5th edition. Prentice Hall.</w:t>
      </w:r>
    </w:p>
    <w:p>
      <w:pPr>
        <w:spacing w:after="30" w:before="30"/>
        <w:ind w:left="360" w:hanging="360"/>
        <w:jc w:val="both"/>
      </w:pPr>
      <w:r>
        <w:rPr>
          <w:sz w:val="20"/>
          <w:szCs w:val="20"/>
        </w:rPr>
        <w:t xml:space="preserve">Pearl J. (1988). Probabilistic Reasoning in Intelligent Systems. Morgan Kaufmann.</w:t>
      </w:r>
    </w:p>
    <w:p>
      <w:pPr>
        <w:spacing w:after="30" w:before="30"/>
        <w:ind w:left="360" w:hanging="360"/>
        <w:jc w:val="both"/>
      </w:pPr>
      <w:r>
        <w:rPr>
          <w:sz w:val="20"/>
          <w:szCs w:val="20"/>
        </w:rPr>
        <w:t xml:space="preserve">Sutton R. S., Barto A. G. (2018). Reinforcement Learning: An Introduction, 2nd edition. MIT Press.</w:t>
      </w:r>
    </w:p>
    <w:p>
      <w:pPr>
        <w:pStyle w:val="Heading2"/>
        <w:spacing w:after="120" w:before="240"/>
      </w:pPr>
      <w:r>
        <w:rPr>
          <w:b/>
          <w:bCs/>
          <w:sz w:val="26"/>
          <w:szCs w:val="26"/>
        </w:rPr>
        <w:t xml:space="preserve">12.2 Articles de revue à comité de lecture</w:t>
      </w:r>
    </w:p>
    <w:p>
      <w:pPr>
        <w:spacing w:after="30" w:before="30"/>
        <w:ind w:left="360" w:hanging="360"/>
        <w:jc w:val="both"/>
      </w:pPr>
      <w:r>
        <w:rPr>
          <w:sz w:val="20"/>
          <w:szCs w:val="20"/>
        </w:rPr>
        <w:t xml:space="preserve">Aivaliotis P., Georgoulias K., Chryssolouris G. (2019). The use of Digital Twin for predictive maintenance in manufacturing. International Journal of Computer Integrated Manufacturing, 32(11):1067-1080.</w:t>
      </w:r>
    </w:p>
    <w:p>
      <w:pPr>
        <w:spacing w:after="30" w:before="30"/>
        <w:ind w:left="360" w:hanging="360"/>
        <w:jc w:val="both"/>
      </w:pPr>
      <w:r>
        <w:rPr>
          <w:sz w:val="20"/>
          <w:szCs w:val="20"/>
        </w:rPr>
        <w:t xml:space="preserve">Bhuiyan M. et al. (2024). Constructing explainable health indicators for aircraft engines by developing an interpretable neural network with discretized weights. Applied Intelligence, Springer.</w:t>
      </w:r>
    </w:p>
    <w:p>
      <w:pPr>
        <w:spacing w:after="30" w:before="30"/>
        <w:ind w:left="360" w:hanging="360"/>
        <w:jc w:val="both"/>
      </w:pPr>
      <w:r>
        <w:rPr>
          <w:sz w:val="20"/>
          <w:szCs w:val="20"/>
        </w:rPr>
        <w:t xml:space="preserve">Bruneau M. et al. (2003). A framework to quantitatively assess and enhance the seismic resilience of communities. Earthquake Spectra, 19(4):733-752.</w:t>
      </w:r>
    </w:p>
    <w:p>
      <w:pPr>
        <w:spacing w:after="30" w:before="30"/>
        <w:ind w:left="360" w:hanging="360"/>
        <w:jc w:val="both"/>
      </w:pPr>
      <w:r>
        <w:rPr>
          <w:sz w:val="20"/>
          <w:szCs w:val="20"/>
        </w:rPr>
        <w:t xml:space="preserve">Cao Y. et al. (2023). Maintenance planning recommendation of complex industrial equipment based on knowledge graph and graph neural network. Reliability Engineering &amp; System Safety.</w:t>
      </w:r>
    </w:p>
    <w:p>
      <w:pPr>
        <w:spacing w:after="30" w:before="30"/>
        <w:ind w:left="360" w:hanging="360"/>
        <w:jc w:val="both"/>
      </w:pPr>
      <w:r>
        <w:rPr>
          <w:sz w:val="20"/>
          <w:szCs w:val="20"/>
        </w:rPr>
        <w:t xml:space="preserve">Chandola V., Banerjee A., Kumar V. (2009). Anomaly detection: A survey. ACM Computing Surveys, 41(3):1-58.</w:t>
      </w:r>
    </w:p>
    <w:p>
      <w:pPr>
        <w:spacing w:after="30" w:before="30"/>
        <w:ind w:left="360" w:hanging="360"/>
        <w:jc w:val="both"/>
      </w:pPr>
      <w:r>
        <w:rPr>
          <w:sz w:val="20"/>
          <w:szCs w:val="20"/>
        </w:rPr>
        <w:t xml:space="preserve">Coble J., Hines J. W. (2009). Identifying optimal prognostic parameters from data: a genetic algorithms approach. Annual Conference of the Prognostics and Health Management Society.</w:t>
      </w:r>
    </w:p>
    <w:p>
      <w:pPr>
        <w:spacing w:after="30" w:before="30"/>
        <w:ind w:left="360" w:hanging="360"/>
        <w:jc w:val="both"/>
      </w:pPr>
      <w:r>
        <w:rPr>
          <w:sz w:val="20"/>
          <w:szCs w:val="20"/>
        </w:rPr>
        <w:t xml:space="preserve">Grieves M. (2002). Conceptual ideal for PLM. SME Technical Paper TP02PUB36.</w:t>
      </w:r>
    </w:p>
    <w:p>
      <w:pPr>
        <w:spacing w:after="30" w:before="30"/>
        <w:ind w:left="360" w:hanging="360"/>
        <w:jc w:val="both"/>
      </w:pPr>
      <w:r>
        <w:rPr>
          <w:sz w:val="20"/>
          <w:szCs w:val="20"/>
        </w:rPr>
        <w:t xml:space="preserve">Hao H. et al. (2024). Degradation and life prediction of mechanical equipment based on multivariate stochastic process. Frontiers in Mechanical Engineering, 10:1418137.</w:t>
      </w:r>
    </w:p>
    <w:p>
      <w:pPr>
        <w:spacing w:after="30" w:before="30"/>
        <w:ind w:left="360" w:hanging="360"/>
        <w:jc w:val="both"/>
      </w:pPr>
      <w:r>
        <w:rPr>
          <w:sz w:val="20"/>
          <w:szCs w:val="20"/>
        </w:rPr>
        <w:t xml:space="preserve">Hogan A. et al. (2021). Knowledge graphs. ACM Computing Surveys, 54(4):1-37.</w:t>
      </w:r>
    </w:p>
    <w:p>
      <w:pPr>
        <w:spacing w:after="30" w:before="30"/>
        <w:ind w:left="360" w:hanging="360"/>
        <w:jc w:val="both"/>
      </w:pPr>
      <w:r>
        <w:rPr>
          <w:sz w:val="20"/>
          <w:szCs w:val="20"/>
        </w:rPr>
        <w:t xml:space="preserve">Hosseini &amp; Rai (2025). A novel global health index framework for asset prognostics and health management in the oil and gas industry. Scientific Reports, 15.</w:t>
      </w:r>
    </w:p>
    <w:p>
      <w:pPr>
        <w:spacing w:after="30" w:before="30"/>
        <w:ind w:left="360" w:hanging="360"/>
        <w:jc w:val="both"/>
      </w:pPr>
      <w:r>
        <w:rPr>
          <w:sz w:val="20"/>
          <w:szCs w:val="20"/>
        </w:rPr>
        <w:t xml:space="preserve">Khaleghi B., Khamis A., Karray F. O., Razavi S. N. (2013). Multisensor data fusion: A review of the state-of-the-art. Information Fusion, 14(1):28-44.</w:t>
      </w:r>
    </w:p>
    <w:p>
      <w:pPr>
        <w:spacing w:after="30" w:before="30"/>
        <w:ind w:left="360" w:hanging="360"/>
        <w:jc w:val="both"/>
      </w:pPr>
      <w:r>
        <w:rPr>
          <w:sz w:val="20"/>
          <w:szCs w:val="20"/>
        </w:rPr>
        <w:t xml:space="preserve">Kullback S., Leibler R. A. (1951). On information and sufficiency. Annals of Mathematical Statistics, 22(1):79-86.</w:t>
      </w:r>
    </w:p>
    <w:p>
      <w:pPr>
        <w:spacing w:after="30" w:before="30"/>
        <w:ind w:left="360" w:hanging="360"/>
        <w:jc w:val="both"/>
      </w:pPr>
      <w:r>
        <w:rPr>
          <w:sz w:val="20"/>
          <w:szCs w:val="20"/>
        </w:rPr>
        <w:t xml:space="preserve">Le Son K., Fouladirad M., Barros A., Levrat E., Iung B. (2013). Remaining useful life estimation based on stochastic deterioration models: A comparative study. Reliability Engineering &amp; System Safety, 112:165-175.</w:t>
      </w:r>
    </w:p>
    <w:p>
      <w:pPr>
        <w:spacing w:after="30" w:before="30"/>
        <w:ind w:left="360" w:hanging="360"/>
        <w:jc w:val="both"/>
      </w:pPr>
      <w:r>
        <w:rPr>
          <w:sz w:val="20"/>
          <w:szCs w:val="20"/>
        </w:rPr>
        <w:t xml:space="preserve">Liu et al. (2024). Learning Informative Health Indicators Through Unsupervised Contrastive Learning. arXiv 2208.13288v3.</w:t>
      </w:r>
    </w:p>
    <w:p>
      <w:pPr>
        <w:spacing w:after="30" w:before="30"/>
        <w:ind w:left="360" w:hanging="360"/>
        <w:jc w:val="both"/>
      </w:pPr>
      <w:r>
        <w:rPr>
          <w:sz w:val="20"/>
          <w:szCs w:val="20"/>
        </w:rPr>
        <w:t xml:space="preserve">Liu et al. (2025). Knowledge graphs for operational decision-making in industrial maintenance: A systematic review. ScienceDirect.</w:t>
      </w:r>
    </w:p>
    <w:p>
      <w:pPr>
        <w:spacing w:after="30" w:before="30"/>
        <w:ind w:left="360" w:hanging="360"/>
        <w:jc w:val="both"/>
      </w:pPr>
      <w:r>
        <w:rPr>
          <w:sz w:val="20"/>
          <w:szCs w:val="20"/>
        </w:rPr>
        <w:t xml:space="preserve">Mahalanobis P. C. (1936). On the generalized distance in statistics. Proceedings of the National Institute of Sciences of India, 2(1):49-55.</w:t>
      </w:r>
    </w:p>
    <w:p>
      <w:pPr>
        <w:spacing w:after="30" w:before="30"/>
        <w:ind w:left="360" w:hanging="360"/>
        <w:jc w:val="both"/>
      </w:pPr>
      <w:r>
        <w:rPr>
          <w:sz w:val="20"/>
          <w:szCs w:val="20"/>
        </w:rPr>
        <w:t xml:space="preserve">Maire et al. (2022). Knowledge graph construction and maintenance process: Design challenges for industrial maintenance support. CEUR Workshop Proceedings, Vol. 3223.</w:t>
      </w:r>
    </w:p>
    <w:p>
      <w:pPr>
        <w:spacing w:after="30" w:before="30"/>
        <w:ind w:left="360" w:hanging="360"/>
        <w:jc w:val="both"/>
      </w:pPr>
      <w:r>
        <w:rPr>
          <w:sz w:val="20"/>
          <w:szCs w:val="20"/>
        </w:rPr>
        <w:t xml:space="preserve">Mazziotta M., Pareto A. (2013). Methods for constructing composite indices: One for all or all for one? Social Indicators Research, 113(3):1163-1183.</w:t>
      </w:r>
    </w:p>
    <w:p>
      <w:pPr>
        <w:spacing w:after="30" w:before="30"/>
        <w:ind w:left="360" w:hanging="360"/>
        <w:jc w:val="both"/>
      </w:pPr>
      <w:r>
        <w:rPr>
          <w:sz w:val="20"/>
          <w:szCs w:val="20"/>
        </w:rPr>
        <w:t xml:space="preserve">Page E. S. (1954). Continuous inspection schemes. Biometrika, 41(1):100-115.</w:t>
      </w:r>
    </w:p>
    <w:p>
      <w:pPr>
        <w:spacing w:after="30" w:before="30"/>
        <w:ind w:left="360" w:hanging="360"/>
        <w:jc w:val="both"/>
      </w:pPr>
      <w:r>
        <w:rPr>
          <w:sz w:val="20"/>
          <w:szCs w:val="20"/>
        </w:rPr>
        <w:t xml:space="preserve">Si X. S. et al. (2024). Adaptive Wiener process–based remaining useful life prediction method considering multi-source variability. PMC.</w:t>
      </w:r>
    </w:p>
    <w:p>
      <w:pPr>
        <w:spacing w:after="30" w:before="30"/>
        <w:ind w:left="360" w:hanging="360"/>
        <w:jc w:val="both"/>
      </w:pPr>
      <w:r>
        <w:rPr>
          <w:sz w:val="20"/>
          <w:szCs w:val="20"/>
        </w:rPr>
        <w:t xml:space="preserve">Sun et al. (2026). Multi-granularity learning-based intelligent decision-making method for equipment operation and maintenance on large-scale knowledge graphs. Reliability Engineering &amp; System Safety.</w:t>
      </w:r>
    </w:p>
    <w:p>
      <w:pPr>
        <w:spacing w:after="30" w:before="30"/>
        <w:ind w:left="360" w:hanging="360"/>
        <w:jc w:val="both"/>
      </w:pPr>
      <w:r>
        <w:rPr>
          <w:sz w:val="20"/>
          <w:szCs w:val="20"/>
        </w:rPr>
        <w:t xml:space="preserve">Tan J. et al. (2021). A Comprehensive Health Indicator Integrated by the Dynamic Risk Profile from Condition Monitoring Data and the Function of Financial Losses. MDPI Energies, 14(1):28.</w:t>
      </w:r>
    </w:p>
    <w:p>
      <w:pPr>
        <w:spacing w:after="30" w:before="30"/>
        <w:ind w:left="360" w:hanging="360"/>
        <w:jc w:val="both"/>
      </w:pPr>
      <w:r>
        <w:rPr>
          <w:sz w:val="20"/>
          <w:szCs w:val="20"/>
        </w:rPr>
        <w:t xml:space="preserve">Tao F. et al. (2018). Digital twin in industry: State-of-the-art. IEEE Transactions on Industrial Informatics, 15(4):2405-2415.</w:t>
      </w:r>
    </w:p>
    <w:p>
      <w:pPr>
        <w:spacing w:after="30" w:before="30"/>
        <w:ind w:left="360" w:hanging="360"/>
        <w:jc w:val="both"/>
      </w:pPr>
      <w:r>
        <w:rPr>
          <w:sz w:val="20"/>
          <w:szCs w:val="20"/>
        </w:rPr>
        <w:t xml:space="preserve">Tversky A., Kahneman D. (1974). Judgment under uncertainty: Heuristics and biases. Science, 185(4157):1124-1131.</w:t>
      </w:r>
    </w:p>
    <w:p>
      <w:pPr>
        <w:spacing w:after="30" w:before="30"/>
        <w:ind w:left="360" w:hanging="360"/>
        <w:jc w:val="both"/>
      </w:pPr>
      <w:r>
        <w:rPr>
          <w:sz w:val="20"/>
          <w:szCs w:val="20"/>
        </w:rPr>
        <w:t xml:space="preserve">Wang B. et al. (2024). A systematic overview of health indicator construction methods for rotating machinery. Engineering Applications of Artificial Intelligence, vol. 138, 109356.</w:t>
      </w:r>
    </w:p>
    <w:p>
      <w:pPr>
        <w:spacing w:after="30" w:before="30"/>
        <w:ind w:left="360" w:hanging="360"/>
        <w:jc w:val="both"/>
      </w:pPr>
      <w:r>
        <w:rPr>
          <w:sz w:val="20"/>
          <w:szCs w:val="20"/>
        </w:rPr>
        <w:t xml:space="preserve">Wang Y. et al. (2017). Mahalanobis distance-based fault detection on hybrid systems with parametric uncertainties. ISA Transactions, 67:264-271.</w:t>
      </w:r>
    </w:p>
    <w:p>
      <w:pPr>
        <w:spacing w:after="30" w:before="30"/>
        <w:ind w:left="360" w:hanging="360"/>
        <w:jc w:val="both"/>
      </w:pPr>
      <w:r>
        <w:rPr>
          <w:sz w:val="20"/>
          <w:szCs w:val="20"/>
        </w:rPr>
        <w:t xml:space="preserve">Wang Z. et al. (2024). Research on knowledge graph-driven equipment fault diagnosis method for intelligent manufacturing. International Journal of Advanced Manufacturing Technology.</w:t>
      </w:r>
    </w:p>
    <w:p>
      <w:pPr>
        <w:spacing w:after="30" w:before="30"/>
        <w:ind w:left="360" w:hanging="360"/>
        <w:jc w:val="both"/>
      </w:pPr>
      <w:r>
        <w:rPr>
          <w:sz w:val="20"/>
          <w:szCs w:val="20"/>
        </w:rPr>
        <w:t xml:space="preserve">Wickens C. D. et al. (2010). Stages and Levels of Automation: An Integrated Meta-analysis. Sage Publications.</w:t>
      </w:r>
    </w:p>
    <w:p>
      <w:pPr>
        <w:spacing w:after="30" w:before="30"/>
        <w:ind w:left="360" w:hanging="360"/>
        <w:jc w:val="both"/>
      </w:pPr>
      <w:r>
        <w:rPr>
          <w:sz w:val="20"/>
          <w:szCs w:val="20"/>
        </w:rPr>
        <w:t xml:space="preserve">Xu Y. et al. (2025). Degradation modeling and remaining useful life prediction for electronic device under multiple stress influences. Scientific Reports.</w:t>
      </w:r>
    </w:p>
    <w:p>
      <w:pPr>
        <w:spacing w:after="30" w:before="30"/>
        <w:ind w:left="360" w:hanging="360"/>
        <w:jc w:val="both"/>
      </w:pPr>
      <w:r>
        <w:rPr>
          <w:sz w:val="20"/>
          <w:szCs w:val="20"/>
        </w:rPr>
        <w:t xml:space="preserve">Ye Z. S., Xie M. (2015). Stochastic modelling and analysis of degradation for highly reliable products. Applied Stochastic Models in Business and Industry, 31(1):16-32.</w:t>
      </w:r>
    </w:p>
    <w:p>
      <w:pPr>
        <w:spacing w:after="30" w:before="30"/>
        <w:ind w:left="360" w:hanging="360"/>
        <w:jc w:val="both"/>
      </w:pPr>
      <w:r>
        <w:rPr>
          <w:sz w:val="20"/>
          <w:szCs w:val="20"/>
        </w:rPr>
        <w:t xml:space="preserve">Zhang Z. et al. (2018). Degradation data analysis and remaining useful life estimation: A review on Wiener-process-based methods. European Journal of Operational Research, 271(3):775-796.</w:t>
      </w:r>
    </w:p>
    <w:p>
      <w:pPr>
        <w:spacing w:after="30" w:before="30"/>
        <w:ind w:left="360" w:hanging="360"/>
        <w:jc w:val="both"/>
      </w:pPr>
      <w:r>
        <w:rPr>
          <w:sz w:val="20"/>
          <w:szCs w:val="20"/>
        </w:rPr>
        <w:t xml:space="preserve">Zhang J. et al. (2025). A knowledge graphs construction method enhanced by multimodal large language model for industrial equipment operation and maintenance. Advanced Engineering Informatics.</w:t>
      </w:r>
    </w:p>
    <w:p>
      <w:pPr>
        <w:pStyle w:val="Heading2"/>
        <w:spacing w:after="120" w:before="240"/>
      </w:pPr>
      <w:r>
        <w:rPr>
          <w:b/>
          <w:bCs/>
          <w:sz w:val="26"/>
          <w:szCs w:val="26"/>
        </w:rPr>
        <w:t xml:space="preserve">12.3 Brevets antérieurs cités</w:t>
      </w:r>
    </w:p>
    <w:p>
      <w:pPr>
        <w:spacing w:after="30" w:before="30"/>
        <w:ind w:left="360" w:hanging="360"/>
        <w:jc w:val="both"/>
      </w:pPr>
      <w:r>
        <w:rPr>
          <w:sz w:val="20"/>
          <w:szCs w:val="20"/>
        </w:rPr>
        <w:t xml:space="preserve">US-20200057946-A1. Techniques for Building a Knowledge Graph in Limited Knowledge Domains.</w:t>
      </w:r>
    </w:p>
    <w:p>
      <w:pPr>
        <w:spacing w:after="30" w:before="30"/>
        <w:ind w:left="360" w:hanging="360"/>
        <w:jc w:val="both"/>
      </w:pPr>
      <w:r>
        <w:rPr>
          <w:sz w:val="20"/>
          <w:szCs w:val="20"/>
        </w:rPr>
        <w:t xml:space="preserve">US-9,069,599. Cognitive automation system.</w:t>
      </w:r>
    </w:p>
    <w:p>
      <w:pPr>
        <w:spacing w:after="30" w:before="30"/>
        <w:ind w:left="360" w:hanging="360"/>
        <w:jc w:val="both"/>
      </w:pPr>
      <w:r>
        <w:rPr>
          <w:sz w:val="20"/>
          <w:szCs w:val="20"/>
        </w:rPr>
        <w:t xml:space="preserve">US-10,346,758 (SAS Institute). System and method for asset health scoring.</w:t>
      </w:r>
    </w:p>
    <w:p>
      <w:pPr>
        <w:spacing w:after="30" w:before="30"/>
        <w:ind w:left="360" w:hanging="360"/>
        <w:jc w:val="both"/>
      </w:pPr>
      <w:r>
        <w:rPr>
          <w:sz w:val="20"/>
          <w:szCs w:val="20"/>
        </w:rPr>
        <w:t xml:space="preserve">EP-3,553,615 (ABB). Methods and systems for monitoring industrial equipment health.</w:t>
      </w:r>
    </w:p>
    <w:p>
      <w:pPr>
        <w:spacing w:after="30" w:before="30"/>
        <w:ind w:left="360" w:hanging="360"/>
        <w:jc w:val="both"/>
      </w:pPr>
      <w:r>
        <w:rPr>
          <w:sz w:val="20"/>
          <w:szCs w:val="20"/>
        </w:rPr>
        <w:t xml:space="preserve">US-10,628,521 (Siemens). System and method for digital twin-based predictive maintenance.</w:t>
      </w:r>
    </w:p>
    <w:p>
      <w:pPr>
        <w:spacing w:after="30" w:before="30"/>
        <w:ind w:left="360" w:hanging="360"/>
        <w:jc w:val="both"/>
      </w:pPr>
      <w:r>
        <w:rPr>
          <w:sz w:val="20"/>
          <w:szCs w:val="20"/>
        </w:rPr>
        <w:t xml:space="preserve">EP-3,690,769 (Siemens). Methods and systems for predictive maintenance using digital twins.</w:t>
      </w:r>
    </w:p>
    <w:p>
      <w:pPr>
        <w:spacing w:after="30" w:before="30"/>
        <w:ind w:left="360" w:hanging="360"/>
        <w:jc w:val="both"/>
      </w:pPr>
      <w:r>
        <w:rPr>
          <w:sz w:val="20"/>
          <w:szCs w:val="20"/>
        </w:rPr>
        <w:t xml:space="preserve">US-10,719,777 (GE). Methods and systems for industrial equipment health prognostics.</w:t>
      </w:r>
    </w:p>
    <w:p>
      <w:pPr>
        <w:spacing w:after="30" w:before="30"/>
        <w:ind w:left="360" w:hanging="360"/>
        <w:jc w:val="both"/>
      </w:pPr>
      <w:r>
        <w:rPr>
          <w:sz w:val="20"/>
          <w:szCs w:val="20"/>
        </w:rPr>
        <w:t xml:space="preserve">US-11,222,150 (GE). Digital twin asset health management.</w:t>
      </w:r>
    </w:p>
    <w:p>
      <w:pPr>
        <w:spacing w:after="30" w:before="30"/>
        <w:ind w:left="360" w:hanging="360"/>
        <w:jc w:val="both"/>
      </w:pPr>
      <w:r>
        <w:rPr>
          <w:sz w:val="20"/>
          <w:szCs w:val="20"/>
        </w:rPr>
        <w:t xml:space="preserve">EP-3,067,777. Système de surveillance avec seuils adaptatifs.</w:t>
      </w:r>
    </w:p>
    <w:p>
      <w:pPr>
        <w:spacing w:after="30" w:before="30"/>
        <w:ind w:left="360" w:hanging="360"/>
        <w:jc w:val="both"/>
      </w:pPr>
      <w:r>
        <w:rPr>
          <w:sz w:val="20"/>
          <w:szCs w:val="20"/>
        </w:rPr>
        <w:t xml:space="preserve">US-2021/0118548 (C3.ai). Adaptive machine learning models for predictive maintenance.</w:t>
      </w:r>
    </w:p>
    <w:p>
      <w:pPr>
        <w:spacing w:after="30" w:before="30"/>
        <w:ind w:left="360" w:hanging="360"/>
        <w:jc w:val="both"/>
      </w:pPr>
      <w:r>
        <w:rPr>
          <w:sz w:val="20"/>
          <w:szCs w:val="20"/>
        </w:rPr>
        <w:t xml:space="preserve">US-11,449,805 (IBM). Federated learning for equipment maintenance.</w:t>
      </w:r>
    </w:p>
    <w:p>
      <w:pPr>
        <w:spacing w:after="30" w:before="30"/>
        <w:ind w:left="360" w:hanging="360"/>
        <w:jc w:val="both"/>
      </w:pPr>
      <w:r>
        <w:rPr>
          <w:sz w:val="20"/>
          <w:szCs w:val="20"/>
        </w:rPr>
        <w:t xml:space="preserve">WO-2020/261049 (Hitachi). Self-learning industrial monitoring system.</w:t>
      </w:r>
    </w:p>
    <w:p>
      <w:pPr>
        <w:pStyle w:val="Heading2"/>
        <w:spacing w:after="120" w:before="240"/>
      </w:pPr>
      <w:r>
        <w:rPr>
          <w:b/>
          <w:bCs/>
          <w:sz w:val="26"/>
          <w:szCs w:val="26"/>
        </w:rPr>
        <w:t xml:space="preserve">12.4 Normes citées</w:t>
      </w:r>
    </w:p>
    <w:p>
      <w:pPr>
        <w:spacing w:after="30" w:before="30"/>
        <w:ind w:left="360" w:hanging="360"/>
        <w:jc w:val="both"/>
      </w:pPr>
      <w:r>
        <w:rPr>
          <w:sz w:val="20"/>
          <w:szCs w:val="20"/>
        </w:rPr>
        <w:t xml:space="preserve">ISO 13374-1:2003. Surveillance et diagnostic de l'état des machines — Traitement des données, communication et présentation — Partie 1 : Directives générales.</w:t>
      </w:r>
    </w:p>
    <w:p>
      <w:pPr>
        <w:spacing w:after="30" w:before="30"/>
        <w:ind w:left="360" w:hanging="360"/>
        <w:jc w:val="both"/>
      </w:pPr>
      <w:r>
        <w:rPr>
          <w:sz w:val="20"/>
          <w:szCs w:val="20"/>
        </w:rPr>
        <w:t xml:space="preserve">ISO 17359:2018. Surveillance de l'état et diagnostic des machines — Lignes directrices générales.</w:t>
      </w:r>
    </w:p>
    <w:p>
      <w:pPr>
        <w:spacing w:after="30" w:before="30"/>
        <w:ind w:left="360" w:hanging="360"/>
        <w:jc w:val="both"/>
      </w:pPr>
      <w:r>
        <w:rPr>
          <w:sz w:val="20"/>
          <w:szCs w:val="20"/>
        </w:rPr>
        <w:t xml:space="preserve">ISO 14224:2016. Industries du pétrole, du gaz naturel et pétrochimiques — Collecte et échange de données de fiabilité et de maintenance.</w:t>
      </w:r>
    </w:p>
    <w:p>
      <w:pPr>
        <w:spacing w:after="30" w:before="30"/>
        <w:ind w:left="360" w:hanging="360"/>
        <w:jc w:val="both"/>
      </w:pPr>
      <w:r>
        <w:rPr>
          <w:sz w:val="20"/>
          <w:szCs w:val="20"/>
        </w:rPr>
        <w:t xml:space="preserve">ISO 281:2007. Roulements — Charges dynamiques de base et durées nominales.</w:t>
      </w:r>
    </w:p>
    <w:p>
      <w:pPr>
        <w:spacing w:after="30" w:before="30"/>
        <w:ind w:left="360" w:hanging="360"/>
        <w:jc w:val="both"/>
      </w:pPr>
      <w:r>
        <w:rPr>
          <w:sz w:val="20"/>
          <w:szCs w:val="20"/>
        </w:rPr>
        <w:t xml:space="preserve">ISO 55000:2014, ISO 55001:2014, ISO 55002:2018. Gestion des actifs.</w:t>
      </w:r>
    </w:p>
    <w:p>
      <w:pPr>
        <w:spacing w:after="30" w:before="30"/>
        <w:ind w:left="360" w:hanging="360"/>
        <w:jc w:val="both"/>
      </w:pPr>
      <w:r>
        <w:rPr>
          <w:sz w:val="20"/>
          <w:szCs w:val="20"/>
        </w:rPr>
        <w:t xml:space="preserve">IEC 60812:2018. Failure Modes and Effects Analysis (FMEA and FMECA).</w:t>
      </w:r>
    </w:p>
    <w:p>
      <w:pPr>
        <w:spacing w:after="30" w:before="30"/>
        <w:ind w:left="360" w:hanging="360"/>
        <w:jc w:val="both"/>
      </w:pPr>
      <w:r>
        <w:rPr>
          <w:sz w:val="20"/>
          <w:szCs w:val="20"/>
        </w:rPr>
        <w:t xml:space="preserve">IEC 61078:2016. Reliability block diagrams.</w:t>
      </w:r>
    </w:p>
    <w:p>
      <w:pPr>
        <w:spacing w:after="30" w:before="30"/>
        <w:ind w:left="360" w:hanging="360"/>
        <w:jc w:val="both"/>
      </w:pPr>
      <w:r>
        <w:rPr>
          <w:sz w:val="20"/>
          <w:szCs w:val="20"/>
        </w:rPr>
        <w:t xml:space="preserve">IEC 61158 / IEC 61784. Industrial communication networks — Fieldbus specifications.</w:t>
      </w:r>
    </w:p>
    <w:p>
      <w:pPr>
        <w:spacing w:after="30" w:before="30"/>
        <w:ind w:left="360" w:hanging="360"/>
        <w:jc w:val="both"/>
      </w:pPr>
      <w:r>
        <w:rPr>
          <w:sz w:val="20"/>
          <w:szCs w:val="20"/>
        </w:rPr>
        <w:t xml:space="preserve">IEC 62264 / ANSI-ISA-95. Enterprise-control system integration.</w:t>
      </w:r>
    </w:p>
    <w:p>
      <w:pPr>
        <w:spacing w:after="30" w:before="30"/>
        <w:ind w:left="360" w:hanging="360"/>
        <w:jc w:val="both"/>
      </w:pPr>
      <w:r>
        <w:rPr>
          <w:sz w:val="20"/>
          <w:szCs w:val="20"/>
        </w:rPr>
        <w:t xml:space="preserve">IEC 62541. OPC unified architecture.</w:t>
      </w:r>
    </w:p>
    <w:p>
      <w:pPr>
        <w:spacing w:after="30" w:before="30"/>
        <w:ind w:left="360" w:hanging="360"/>
        <w:jc w:val="both"/>
      </w:pPr>
      <w:r>
        <w:rPr>
          <w:sz w:val="20"/>
          <w:szCs w:val="20"/>
        </w:rPr>
        <w:t xml:space="preserve">ISO/IEC 20922:2016. Information technology — Message Queuing Telemetry Transport (MQTT).</w:t>
      </w:r>
    </w:p>
    <w:p>
      <w:pPr>
        <w:spacing w:after="30" w:before="30"/>
        <w:ind w:left="360" w:hanging="360"/>
        <w:jc w:val="both"/>
      </w:pPr>
      <w:r>
        <w:rPr>
          <w:sz w:val="20"/>
          <w:szCs w:val="20"/>
        </w:rPr>
        <w:t xml:space="preserve">DIN SPEC 91345:2016. Reference Architecture Model Industrie 4.0 (RAMI4.0).</w:t>
      </w:r>
    </w:p>
    <w:p>
      <w:pPr>
        <w:spacing w:after="240" w:before="480"/>
        <w:jc w:val="center"/>
      </w:pPr>
      <w:r>
        <w:rPr>
          <w:b/>
          <w:bCs/>
          <w:i/>
          <w:iCs/>
        </w:rPr>
        <w:t xml:space="preserve">— FIN DU DOSSIER SCIENTIFIQUE BREVET N° 1 —</w:t>
      </w:r>
    </w:p>
    <w:p>
      <w:pPr>
        <w:spacing w:before="120"/>
        <w:jc w:val="center"/>
      </w:pPr>
      <w:r>
        <w:rPr>
          <w:i/>
          <w:iCs/>
          <w:sz w:val="18"/>
          <w:szCs w:val="18"/>
        </w:rPr>
        <w:t xml:space="preserve">Document préparatoire à l'usage exclusif du Conseil en Propriété Industrielle. Toutes les références sont indicatives ; la liste finale d'antériorités à citer dans la demande doit être validée par une recherche FTO (Freedom-to-Operate) professionnelle.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MAINTRIX-T — Dossier scientifique Brevet n° 1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9E"/>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2026-05-16T19:53:40.063Z</dcterms:created>
  <dcterms:modified xsi:type="dcterms:W3CDTF">2026-05-16T19:53:40.064Z</dcterms:modified>
</cp:coreProperties>
</file>

<file path=docProps/custom.xml><?xml version="1.0" encoding="utf-8"?>
<Properties xmlns="http://schemas.openxmlformats.org/officeDocument/2006/custom-properties" xmlns:vt="http://schemas.openxmlformats.org/officeDocument/2006/docPropsVTypes"/>
</file>