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sz w:val="40"/>
          <w:szCs w:val="40"/>
        </w:rPr>
        <w:t xml:space="preserve">DOSSIER SCIENTIFIQUE D'ACCOMPAGNEMENT</w:t>
      </w:r>
    </w:p>
    <w:p>
      <w:pPr>
        <w:spacing w:after="480"/>
        <w:jc w:val="center"/>
      </w:pPr>
      <w:r>
        <w:rPr>
          <w:b/>
          <w:bCs/>
          <w:color w:val="1F3864"/>
          <w:sz w:val="32"/>
          <w:szCs w:val="32"/>
        </w:rPr>
        <w:t xml:space="preserve">BREVET N° 2 — VERSION 3.0</w:t>
      </w:r>
    </w:p>
    <w:p>
      <w:pPr>
        <w:spacing w:after="360"/>
        <w:jc w:val="center"/>
      </w:pPr>
      <w:r>
        <w:rPr>
          <w:i/>
          <w:iCs/>
          <w:sz w:val="28"/>
          <w:szCs w:val="28"/>
        </w:rPr>
        <w:t xml:space="preserve">Système de supervision et de contrôle adaptatif d'équipements industriels à niveaux d'automatisation gradués, arbitrage décisionnel multi-actifs avec simulation prospective et enclave électronique de sécurité par permis de travail</w:t>
      </w:r>
    </w:p>
    <w:p>
      <w:pPr>
        <w:spacing w:after="720"/>
        <w:jc w:val="center"/>
      </w:pPr>
      <w:r>
        <w:rPr>
          <w:i/>
          <w:iCs/>
          <w:color w:val="5A5A5A"/>
          <w:sz w:val="24"/>
          <w:szCs w:val="24"/>
        </w:rPr>
        <w:t xml:space="preserve">(MAINTRIX-SCA-ORC)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Déposant</w:t>
            </w:r>
          </w:p>
        </w:tc>
        <w:tc>
          <w:tcPr>
            <w:tcW w:type="dxa" w:w="62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MAINTRIX-T</w:t>
            </w:r>
          </w:p>
        </w:tc>
      </w:tr>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Objet du dossier</w:t>
            </w:r>
          </w:p>
        </w:tc>
        <w:tc>
          <w:tcPr>
            <w:tcW w:type="dxa" w:w="62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Argumentaire scientifique et technique destiné au Conseil en Propriété Industrielle pour la rédaction définitive des revendications du Brevet n° 2</w:t>
            </w:r>
          </w:p>
        </w:tc>
      </w:tr>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Brevet associé</w:t>
            </w:r>
          </w:p>
        </w:tc>
        <w:tc>
          <w:tcPr>
            <w:tcW w:type="dxa" w:w="62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BREVET_2_v3_Systeme_Supervision_Controle_Adaptatif_Arbitrage_Multi-Actifs.docx</w:t>
            </w:r>
          </w:p>
        </w:tc>
      </w:tr>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Date</w:t>
            </w:r>
          </w:p>
        </w:tc>
        <w:tc>
          <w:tcPr>
            <w:tcW w:type="dxa" w:w="62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Mai 2026 — Version 1.0</w:t>
            </w:r>
          </w:p>
        </w:tc>
      </w:tr>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Classification CIB cible</w:t>
            </w:r>
          </w:p>
        </w:tc>
        <w:tc>
          <w:tcPr>
            <w:tcW w:type="dxa" w:w="62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G05B 23/02 ; G05B 9/02 (Sécurité fonctionnelle) ; G05B 19/418 ; G05B 13/02 (primaires)</w:t>
            </w:r>
          </w:p>
        </w:tc>
      </w:tr>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Normes techniques</w:t>
            </w:r>
          </w:p>
        </w:tc>
        <w:tc>
          <w:tcPr>
            <w:tcW w:type="dxa" w:w="62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IEC 61508, IEC 61511, ISO 13849, ISO 45001, ISO 55000</w:t>
            </w:r>
          </w:p>
        </w:tc>
      </w:tr>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Volume</w:t>
            </w:r>
          </w:p>
        </w:tc>
        <w:tc>
          <w:tcPr>
            <w:tcW w:type="dxa" w:w="62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Environ 30 pages — 45+ références — 20 revendications proposées</w:t>
            </w:r>
          </w:p>
        </w:tc>
      </w:tr>
    </w:tbl>
    <w:p>
      <w:r>
        <w:br w:type="page"/>
      </w:r>
    </w:p>
    <w:p>
      <w:pPr>
        <w:pStyle w:val="Heading1"/>
        <w:spacing w:after="160" w:before="320"/>
      </w:pPr>
      <w:r>
        <w:rPr>
          <w:b/>
          <w:bCs/>
          <w:sz w:val="32"/>
          <w:szCs w:val="32"/>
        </w:rPr>
        <w:t xml:space="preserve">SOMMAIRE</w:t>
      </w:r>
    </w:p>
    <w:p>
      <w:pPr>
        <w:spacing w:after="60" w:before="60"/>
        <w:jc w:val="both"/>
      </w:pPr>
      <w:r>
        <w:t xml:space="preserve">1. PRÉAMBULE ET OBJECTIF DU DOSSIER</w:t>
      </w:r>
    </w:p>
    <w:p>
      <w:pPr>
        <w:spacing w:after="60" w:before="60"/>
        <w:jc w:val="both"/>
      </w:pPr>
      <w:r>
        <w:t xml:space="preserve">2. CONTEXTE TECHNIQUE — SUPERVISION, AUTOMATISATION GRADUÉE ET SÉCURITÉ FONCTIONNELLE</w:t>
      </w:r>
    </w:p>
    <w:p>
      <w:pPr>
        <w:spacing w:after="60" w:before="60"/>
        <w:jc w:val="both"/>
      </w:pPr>
      <w:r>
        <w:t xml:space="preserve">3. FONDEMENTS SCIENTIFIQUES MOBILISÉS</w:t>
      </w:r>
    </w:p>
    <w:p>
      <w:pPr>
        <w:spacing w:after="60" w:before="60"/>
        <w:jc w:val="both"/>
      </w:pPr>
      <w:r>
        <w:t xml:space="preserve">4. ÉTAT DE L'ART ACADÉMIQUE — REVUE DE LITTÉRATURE</w:t>
      </w:r>
    </w:p>
    <w:p>
      <w:pPr>
        <w:spacing w:after="60" w:before="60"/>
        <w:jc w:val="both"/>
      </w:pPr>
      <w:r>
        <w:t xml:space="preserve">5. ÉTAT DE L'ART BREVETS ANTÉRIEURS</w:t>
      </w:r>
    </w:p>
    <w:p>
      <w:pPr>
        <w:spacing w:after="60" w:before="60"/>
        <w:jc w:val="both"/>
      </w:pPr>
      <w:r>
        <w:t xml:space="preserve">6. ÉTAT DE L'ART NORMATIF (IEC 61508, IEC 61511, ISO 13849, ISO 45001, ISO 55000)</w:t>
      </w:r>
    </w:p>
    <w:p>
      <w:pPr>
        <w:spacing w:after="60" w:before="60"/>
        <w:jc w:val="both"/>
      </w:pPr>
      <w:r>
        <w:t xml:space="preserve">7. ANALYSE COMPARATIVE ET POSITIONNEMENT DE L'INVENTION</w:t>
      </w:r>
    </w:p>
    <w:p>
      <w:pPr>
        <w:spacing w:after="60" w:before="60"/>
        <w:jc w:val="both"/>
      </w:pPr>
      <w:r>
        <w:t xml:space="preserve">8. BASES THÉORIQUES ET JUSTIFICATION PAR REVENDICATION</w:t>
      </w:r>
    </w:p>
    <w:p>
      <w:pPr>
        <w:spacing w:after="60" w:before="60"/>
        <w:jc w:val="both"/>
      </w:pPr>
      <w:r>
        <w:t xml:space="preserve">9. DÉMONSTRATION DE L'ACTIVITÉ INVENTIVE</w:t>
      </w:r>
    </w:p>
    <w:p>
      <w:pPr>
        <w:spacing w:after="60" w:before="60"/>
        <w:jc w:val="both"/>
      </w:pPr>
      <w:r>
        <w:t xml:space="preserve">10. SUGGESTIONS DE STRATÉGIE DE REVENDICATIONS POUR LE CPI</w:t>
      </w:r>
    </w:p>
    <w:p>
      <w:pPr>
        <w:spacing w:after="60" w:before="60"/>
        <w:jc w:val="both"/>
      </w:pPr>
      <w:r>
        <w:t xml:space="preserve">11. RISQUES D'EXAMEN ET STRATÉGIES DE RÉPONSE</w:t>
      </w:r>
    </w:p>
    <w:p>
      <w:pPr>
        <w:spacing w:after="60" w:before="60"/>
        <w:jc w:val="both"/>
      </w:pPr>
      <w:r>
        <w:t xml:space="preserve">12. ANNEXE — BIBLIOGRAPHIE COMPLÈTE</w:t>
      </w:r>
    </w:p>
    <w:p>
      <w:pPr>
        <w:pStyle w:val="Heading1"/>
        <w:pageBreakBefore/>
        <w:spacing w:after="160" w:before="320"/>
      </w:pPr>
      <w:r>
        <w:rPr>
          <w:b/>
          <w:bCs/>
          <w:sz w:val="32"/>
          <w:szCs w:val="32"/>
        </w:rPr>
        <w:t xml:space="preserve">1. PRÉAMBULE ET OBJECTIF DU DOSSIER</w:t>
      </w:r>
    </w:p>
    <w:p>
      <w:pPr>
        <w:pStyle w:val="Heading2"/>
        <w:spacing w:after="120" w:before="240"/>
      </w:pPr>
      <w:r>
        <w:rPr>
          <w:b/>
          <w:bCs/>
          <w:sz w:val="26"/>
          <w:szCs w:val="26"/>
        </w:rPr>
        <w:t xml:space="preserve">1.1 Public visé et objectifs</w:t>
      </w:r>
    </w:p>
    <w:p>
      <w:pPr>
        <w:spacing w:after="60" w:before="60"/>
        <w:jc w:val="both"/>
      </w:pPr>
      <w:r>
        <w:t xml:space="preserve">Le présent dossier scientifique d'accompagnement est destiné aux Conseils en Propriété Industrielle (CPI) agréés en charge de la rédaction définitive des revendications du Brevet n° 2 de la famille MAINTRIX. Il vise à fournir l'argumentaire scientifique et technique permettant : (i) de démontrer le caractère technique de l'invention au sens de l'article 52 CBE et de la doctrine Alice/Mayo USPTO ; (ii) de positionner précisément l'invention vis-à-vis de l'état de l'art académique et brevets ; (iii) de proposer une stratégie optimisée de rédaction des revendications principales et dépendantes ; (iv) d'anticiper les objections d'examen probables et de préparer les réponses argumentées.</w:t>
      </w:r>
    </w:p>
    <w:p>
      <w:pPr>
        <w:pStyle w:val="Heading2"/>
        <w:spacing w:after="120" w:before="240"/>
      </w:pPr>
      <w:r>
        <w:rPr>
          <w:b/>
          <w:bCs/>
          <w:sz w:val="26"/>
          <w:szCs w:val="26"/>
        </w:rPr>
        <w:t xml:space="preserve">1.2 Spécificité du Brevet n° 2 dans la famille MAINTRIX</w:t>
      </w:r>
    </w:p>
    <w:p>
      <w:pPr>
        <w:spacing w:after="60" w:before="60"/>
        <w:jc w:val="both"/>
      </w:pPr>
      <w:r>
        <w:t xml:space="preserve">Le Brevet n° 2 protège un système de supervision et de contrôle adaptatif d'équipements industriels caractérisé par l'intégration de quatre mécanismes techniques inédits dans un système unique :</w:t>
      </w:r>
    </w:p>
    <w:p>
      <w:pPr>
        <w:pStyle w:val="ListParagraph"/>
        <w:numPr>
          <w:ilvl w:val="0"/>
          <w:numId w:val="2"/>
        </w:numPr>
        <w:spacing w:after="30" w:before="30"/>
        <w:jc w:val="both"/>
      </w:pPr>
      <w:r>
        <w:t xml:space="preserve">Un moteur de politiques opérationnelles à automatisation graduée sur exactement six niveaux techniques formels (Monitoring à Autonomie Complète), avec arbitrage par priorité et conditions techniques évaluables ;</w:t>
      </w:r>
    </w:p>
    <w:p>
      <w:pPr>
        <w:pStyle w:val="ListParagraph"/>
        <w:numPr>
          <w:ilvl w:val="0"/>
          <w:numId w:val="2"/>
        </w:numPr>
        <w:spacing w:after="30" w:before="30"/>
        <w:jc w:val="both"/>
      </w:pPr>
      <w:r>
        <w:t xml:space="preserve">Un module d'arbitrage décisionnel multi-actifs effectuant une optimisation probabiliste multi-critères intégrant impact économique multi-dimensionnel, interdépendances fonctionnelles, contraintes budgétaires et ressources ;</w:t>
      </w:r>
    </w:p>
    <w:p>
      <w:pPr>
        <w:pStyle w:val="ListParagraph"/>
        <w:numPr>
          <w:ilvl w:val="0"/>
          <w:numId w:val="2"/>
        </w:numPr>
        <w:spacing w:after="30" w:before="30"/>
        <w:jc w:val="both"/>
      </w:pPr>
      <w:r>
        <w:t xml:space="preserve">Un module de simulation prospective comparant techniquement plusieurs scénarios (intervention immédiate, différée, non-intervention) avant émission de signaux de commande ;</w:t>
      </w:r>
    </w:p>
    <w:p>
      <w:pPr>
        <w:pStyle w:val="ListParagraph"/>
        <w:numPr>
          <w:ilvl w:val="0"/>
          <w:numId w:val="2"/>
        </w:numPr>
        <w:spacing w:after="30" w:before="30"/>
        <w:jc w:val="both"/>
      </w:pPr>
      <w:r>
        <w:t xml:space="preserve">Un dispositif d'enclavement électronique de sécurité interposé matériellement en série dans la chaîne de commande sortante, interrompant matériellement toute commande autonome non couverte par un permis de travail valide.</w:t>
      </w:r>
    </w:p>
    <w:p>
      <w:pPr>
        <w:spacing w:after="60" w:before="60"/>
        <w:jc w:val="both"/>
      </w:pPr>
      <w:r>
        <w:t xml:space="preserve">Auquel s'ajoute un cinquième mécanisme transverse : un module d'apprentissage post-action ajustant les paramètres de l'arbitrage selon les résultats observés, créant une boucle d'amélioration continue technique.</w:t>
      </w:r>
    </w:p>
    <w:p>
      <w:pPr>
        <w:pStyle w:val="Heading2"/>
        <w:spacing w:after="120" w:before="240"/>
      </w:pPr>
      <w:r>
        <w:rPr>
          <w:b/>
          <w:bCs/>
          <w:sz w:val="26"/>
          <w:szCs w:val="26"/>
        </w:rPr>
        <w:t xml:space="preserve">1.3 Lien avec les autres brevets de la famille</w:t>
      </w:r>
    </w:p>
    <w:p>
      <w:pPr>
        <w:spacing w:after="60" w:before="60"/>
        <w:jc w:val="both"/>
      </w:pPr>
      <w:r>
        <w:t xml:space="preserve">Le Brevet n° 2 référence et exploite techniquement l'IMCA du Brevet n° 1 (revendication 19 du Brevet n° 2) comme entrée du calcul de probabilité de défaillance et d'impact futur. Il est lui-même référencé par le Brevet n° 3 (architecture distribuée) qui s'appuie sur les politiques décisionnelles graduées du Brevet n° 2 dans son protocole d'orchestration inter-sites. Cette interdépendance crée une cohérence systémique défensive du portefeuille : un concurrent souhaitant contourner doit éviter simultanément les trois revendications principales.</w:t>
      </w:r>
    </w:p>
    <w:p>
      <w:pPr>
        <w:pStyle w:val="Heading1"/>
        <w:pageBreakBefore/>
        <w:spacing w:after="160" w:before="320"/>
      </w:pPr>
      <w:r>
        <w:rPr>
          <w:b/>
          <w:bCs/>
          <w:sz w:val="32"/>
          <w:szCs w:val="32"/>
        </w:rPr>
        <w:t xml:space="preserve">2. CONTEXTE TECHNIQUE — SUPERVISION, AUTOMATISATION GRADUÉE ET SÉCURITÉ FONCTIONNELLE</w:t>
      </w:r>
    </w:p>
    <w:p>
      <w:pPr>
        <w:pStyle w:val="Heading2"/>
        <w:spacing w:after="120" w:before="240"/>
      </w:pPr>
      <w:r>
        <w:rPr>
          <w:b/>
          <w:bCs/>
          <w:sz w:val="26"/>
          <w:szCs w:val="26"/>
        </w:rPr>
        <w:t xml:space="preserve">2.1 Le dilemme historique manuel/automatique en contrôle industriel</w:t>
      </w:r>
    </w:p>
    <w:p>
      <w:pPr>
        <w:spacing w:after="60" w:before="60"/>
        <w:jc w:val="both"/>
      </w:pPr>
      <w:r>
        <w:t xml:space="preserve">Depuis les premiers automates programmables (PLC) industriels développés par Bedford Associates pour General Motors en 1968 (Modicon 084), les systèmes de contrôle industriel ont opéré selon une logique binaire : le mode « manuel » (l'opérateur émet les commandes via une interface IHM) et le mode « automatique » (le système émet les commandes selon des lois prédéterminées de type PID, séquentiel, ou logique à états).</w:t>
      </w:r>
    </w:p>
    <w:p>
      <w:pPr>
        <w:spacing w:after="60" w:before="60"/>
        <w:jc w:val="both"/>
      </w:pPr>
      <w:r>
        <w:t xml:space="preserve">Cette dichotomie présente une limitation technique majeure : la transition entre les deux modes est abrupte, non graduée, et ne tient pas compte de la confiance variable que l'on peut accorder au système autonome selon les conditions de fonctionnement, la complexité des décisions, ou la criticité sécurité. La littérature en facteurs humains et en automatisation industrielle a largement documenté les dangers de cette dichotomie : phénomènes de complacency, automation surprise, ironies de l'automatisation (Bainbridge 1983), perte de situation awareness (Endsley 1995).</w:t>
      </w:r>
    </w:p>
    <w:p>
      <w:pPr>
        <w:pStyle w:val="Heading2"/>
        <w:spacing w:after="120" w:before="240"/>
      </w:pPr>
      <w:r>
        <w:rPr>
          <w:b/>
          <w:bCs/>
          <w:sz w:val="26"/>
          <w:szCs w:val="26"/>
        </w:rPr>
        <w:t xml:space="preserve">2.2 Émergence des taxonomies d'automatisation graduée</w:t>
      </w:r>
    </w:p>
    <w:p>
      <w:pPr>
        <w:spacing w:after="60" w:before="60"/>
        <w:jc w:val="both"/>
      </w:pPr>
      <w:r>
        <w:t xml:space="preserve">Pour répondre à ce problème, plusieurs taxonomies d'automatisation graduée ont été proposées :</w:t>
      </w:r>
    </w:p>
    <w:p>
      <w:pPr>
        <w:pStyle w:val="ListParagraph"/>
        <w:numPr>
          <w:ilvl w:val="0"/>
          <w:numId w:val="3"/>
        </w:numPr>
        <w:spacing w:after="30" w:before="30"/>
        <w:jc w:val="both"/>
      </w:pPr>
      <w:r>
        <w:t xml:space="preserve">Sheridan &amp; Verplank (1978) — Échelle à 10 niveaux dans un rapport pour la US Navy sur la téléopération de robots sous-marins ;</w:t>
      </w:r>
    </w:p>
    <w:p>
      <w:pPr>
        <w:pStyle w:val="ListParagraph"/>
        <w:numPr>
          <w:ilvl w:val="0"/>
          <w:numId w:val="3"/>
        </w:numPr>
        <w:spacing w:after="30" w:before="30"/>
        <w:jc w:val="both"/>
      </w:pPr>
      <w:r>
        <w:t xml:space="preserve">Parasuraman, Sheridan &amp; Wickens (2000) — Modèle à 4 fonctions × 10 niveaux applicable à toute fonction d'information : acquisition, analyse, décision, action ;</w:t>
      </w:r>
    </w:p>
    <w:p>
      <w:pPr>
        <w:pStyle w:val="ListParagraph"/>
        <w:numPr>
          <w:ilvl w:val="0"/>
          <w:numId w:val="3"/>
        </w:numPr>
        <w:spacing w:after="30" w:before="30"/>
        <w:jc w:val="both"/>
      </w:pPr>
      <w:r>
        <w:t xml:space="preserve">Endsley &amp; Kaber (1999) — Échelle adaptée à la commande, à 10 niveaux articulés autour de 4 fonctions : Monitoring, Generating, Selecting, Implementing ;</w:t>
      </w:r>
    </w:p>
    <w:p>
      <w:pPr>
        <w:pStyle w:val="ListParagraph"/>
        <w:numPr>
          <w:ilvl w:val="0"/>
          <w:numId w:val="3"/>
        </w:numPr>
        <w:spacing w:after="30" w:before="30"/>
        <w:jc w:val="both"/>
      </w:pPr>
      <w:r>
        <w:t xml:space="preserve">SAE J3016 (2014, mise à jour 2021) — Échelle à 6 niveaux (0 à 5) spécifique aux véhicules automatisés, devenue référence dans l'industrie automobile et au-delà.</w:t>
      </w:r>
    </w:p>
    <w:p>
      <w:pPr>
        <w:spacing w:after="60" w:before="60"/>
        <w:jc w:val="both"/>
      </w:pPr>
      <w:r>
        <w:t xml:space="preserve">Aucune de ces taxonomies n'a été standardisée pour le secteur de la supervision et du contrôle d'équipements industriels physiques. Le Brevet n° 2 propose une adaptation à six niveaux techniques inspirée par cohérence terminologique de SAE J3016 mais adaptée aux fonctions spécifiques d'un système de supervision industriel (Monitoring, Diagnostic Assisté, Recommandation Automatique, Exécution Supervisée, Autonomie Partielle, Autonomie Complète).</w:t>
      </w:r>
    </w:p>
    <w:p>
      <w:pPr>
        <w:pStyle w:val="Heading2"/>
        <w:spacing w:after="120" w:before="240"/>
      </w:pPr>
      <w:r>
        <w:rPr>
          <w:b/>
          <w:bCs/>
          <w:sz w:val="26"/>
          <w:szCs w:val="26"/>
        </w:rPr>
        <w:t xml:space="preserve">2.3 Le permis de travail (Permit-to-Work) — origine et limites actuelles</w:t>
      </w:r>
    </w:p>
    <w:p>
      <w:pPr>
        <w:spacing w:after="60" w:before="60"/>
        <w:jc w:val="both"/>
      </w:pPr>
      <w:r>
        <w:t xml:space="preserve">Le système de permis de travail (PTW) est une procédure documentaire qui contrôle formellement les opérations à haut risque (travaux à chaud, espaces confinés, isolation électrique, etc.). Son origine historique remonte aux industries chimiques britanniques des années 1950 et il est aujourd'hui un pilier de la sécurité opérationnelle dans les industries SEVESO, ATEX, oil &amp; gas, énergie et chimie.</w:t>
      </w:r>
    </w:p>
    <w:p>
      <w:pPr>
        <w:spacing w:after="60" w:before="60"/>
        <w:jc w:val="both"/>
      </w:pPr>
      <w:r>
        <w:t xml:space="preserve">Les systèmes électroniques de gestion de PTW (Enablon, Intelex, Mango, modules PTW de GMAO) ont émergé dans les années 2000-2010 pour dématérialiser le processus papier. Mais ces solutions restent essentiellement transactionnelles : elles gèrent le workflow administratif (demande → revue → approbation → activation → clôture) sans interface technique avec les chaînes de commande des équipements supervisés. En conséquence, un système de supervision autonome ignore techniquement l'état des permis et peut émettre des commandes sur des équipements ne devant pas être manœuvrés pendant une intervention en cours.</w:t>
      </w:r>
    </w:p>
    <w:p>
      <w:pPr>
        <w:spacing w:after="60" w:before="60"/>
        <w:jc w:val="both"/>
      </w:pPr>
      <w:r>
        <w:t xml:space="preserve">Cette déconnexion sécurité-supervision crée une vulnérabilité technique majeure que le Brevet n° 2 résout par son dispositif d'enclavement électronique interposé matériellement en série dans la chaîne de commande sortante.</w:t>
      </w:r>
    </w:p>
    <w:p>
      <w:pPr>
        <w:pStyle w:val="Heading2"/>
        <w:spacing w:after="120" w:before="240"/>
      </w:pPr>
      <w:r>
        <w:rPr>
          <w:b/>
          <w:bCs/>
          <w:sz w:val="26"/>
          <w:szCs w:val="26"/>
        </w:rPr>
        <w:t xml:space="preserve">2.4 Les enjeux de la sécurité fonctionnelle (IEC 61508/61511)</w:t>
      </w:r>
    </w:p>
    <w:p>
      <w:pPr>
        <w:spacing w:after="60" w:before="60"/>
        <w:jc w:val="both"/>
      </w:pPr>
      <w:r>
        <w:t xml:space="preserve">La norme IEC 61508 (publiée en 1998, révisée en 2010) définit le cadre fondamental de la sécurité fonctionnelle des systèmes électriques, électroniques et électroniques programmables relatifs à la sécurité (E/E/PE). La norme IEC 61511 (publiée en 2003, révisée en 2016) en constitue la déclinaison sectorielle pour les industries de process. Ces normes définissent quatre niveaux d'intégrité de sécurité (SIL 1 à SIL 4) en fonction de la probabilité tolérée de défaillance dangereuse à la demande (PFD). Un dispositif PTW électronique couplé à un moteur décisionnel autonome doit être conçu pour atteindre au minimum SIL 2 dans la plupart des applications industrielles.</w:t>
      </w:r>
    </w:p>
    <w:p>
      <w:pPr>
        <w:spacing w:after="60" w:before="60"/>
        <w:jc w:val="both"/>
      </w:pPr>
      <w:r>
        <w:t xml:space="preserve">Le dispositif d'enclavement électronique du Brevet n° 2 est conçu pour s'inscrire dans cette norme : interposition matérielle en série, contrôle d'intégrité cryptographique du code, exécution dans un domaine d'exécution distinct, append-only logging avec chaînage de hachage. Ces caractéristiques techniques constituent autant d'arguments défensifs face à l'objection d'abstraction.</w:t>
      </w:r>
    </w:p>
    <w:p>
      <w:pPr>
        <w:pStyle w:val="Heading1"/>
        <w:pageBreakBefore/>
        <w:spacing w:after="160" w:before="320"/>
      </w:pPr>
      <w:r>
        <w:rPr>
          <w:b/>
          <w:bCs/>
          <w:sz w:val="32"/>
          <w:szCs w:val="32"/>
        </w:rPr>
        <w:t xml:space="preserve">3. FONDEMENTS SCIENTIFIQUES MOBILISÉS</w:t>
      </w:r>
    </w:p>
    <w:p>
      <w:pPr>
        <w:pStyle w:val="Heading2"/>
        <w:spacing w:after="120" w:before="240"/>
      </w:pPr>
      <w:r>
        <w:rPr>
          <w:b/>
          <w:bCs/>
          <w:sz w:val="26"/>
          <w:szCs w:val="26"/>
        </w:rPr>
        <w:t xml:space="preserve">3.1 Disciplines mobilisées</w:t>
      </w:r>
    </w:p>
    <w:p>
      <w:pPr>
        <w:spacing w:after="60" w:before="60"/>
        <w:jc w:val="both"/>
      </w:pPr>
      <w:r>
        <w:t xml:space="preserve">Le Brevet n° 2 mobilise un faisceau interdisciplinaire de disciplines :</w:t>
      </w:r>
    </w:p>
    <w:p>
      <w:pPr>
        <w:pStyle w:val="ListParagraph"/>
        <w:numPr>
          <w:ilvl w:val="0"/>
          <w:numId w:val="3"/>
        </w:numPr>
        <w:spacing w:after="30" w:before="30"/>
        <w:jc w:val="both"/>
      </w:pPr>
      <w:r>
        <w:t xml:space="preserve">Automatique et systèmes asservis : théorie du contrôle, supervision (G05B 23/02), automatisation graduée ;</w:t>
      </w:r>
    </w:p>
    <w:p>
      <w:pPr>
        <w:pStyle w:val="ListParagraph"/>
        <w:numPr>
          <w:ilvl w:val="0"/>
          <w:numId w:val="3"/>
        </w:numPr>
        <w:spacing w:after="30" w:before="30"/>
        <w:jc w:val="both"/>
      </w:pPr>
      <w:r>
        <w:t xml:space="preserve">Sécurité fonctionnelle : IEC 61508/61511, théorie des barrières de sécurité, LOPA (Layer of Protection Analysis) ;</w:t>
      </w:r>
    </w:p>
    <w:p>
      <w:pPr>
        <w:pStyle w:val="ListParagraph"/>
        <w:numPr>
          <w:ilvl w:val="0"/>
          <w:numId w:val="3"/>
        </w:numPr>
        <w:spacing w:after="30" w:before="30"/>
        <w:jc w:val="both"/>
      </w:pPr>
      <w:r>
        <w:t xml:space="preserve">Recherche opérationnelle : optimisation multi-objectifs sous contraintes, programmation linéaire en nombres entiers, métaheuristiques (recuit simulé, algorithmes génétiques) ;</w:t>
      </w:r>
    </w:p>
    <w:p>
      <w:pPr>
        <w:pStyle w:val="ListParagraph"/>
        <w:numPr>
          <w:ilvl w:val="0"/>
          <w:numId w:val="3"/>
        </w:numPr>
        <w:spacing w:after="30" w:before="30"/>
        <w:jc w:val="both"/>
      </w:pPr>
      <w:r>
        <w:t xml:space="preserve">Théorie de la décision : décision multi-critères, analyse de risque, valeur de l'information ;</w:t>
      </w:r>
    </w:p>
    <w:p>
      <w:pPr>
        <w:pStyle w:val="ListParagraph"/>
        <w:numPr>
          <w:ilvl w:val="0"/>
          <w:numId w:val="3"/>
        </w:numPr>
        <w:spacing w:after="30" w:before="30"/>
        <w:jc w:val="both"/>
      </w:pPr>
      <w:r>
        <w:t xml:space="preserve">Économie de la maintenance : coût total de possession, opportunistic maintenance, dépendances économiques entre composants ;</w:t>
      </w:r>
    </w:p>
    <w:p>
      <w:pPr>
        <w:pStyle w:val="ListParagraph"/>
        <w:numPr>
          <w:ilvl w:val="0"/>
          <w:numId w:val="3"/>
        </w:numPr>
        <w:spacing w:after="30" w:before="30"/>
        <w:jc w:val="both"/>
      </w:pPr>
      <w:r>
        <w:t xml:space="preserve">Simulation à événements discrets : analyse de scénarios prospectifs, simulation Monte-Carlo ;</w:t>
      </w:r>
    </w:p>
    <w:p>
      <w:pPr>
        <w:pStyle w:val="ListParagraph"/>
        <w:numPr>
          <w:ilvl w:val="0"/>
          <w:numId w:val="3"/>
        </w:numPr>
        <w:spacing w:after="30" w:before="30"/>
        <w:jc w:val="both"/>
      </w:pPr>
      <w:r>
        <w:t xml:space="preserve">Apprentissage par renforcement : ajustement de politiques par retour d'expérience, méthodes online ;</w:t>
      </w:r>
    </w:p>
    <w:p>
      <w:pPr>
        <w:pStyle w:val="ListParagraph"/>
        <w:numPr>
          <w:ilvl w:val="0"/>
          <w:numId w:val="3"/>
        </w:numPr>
        <w:spacing w:after="30" w:before="30"/>
        <w:jc w:val="both"/>
      </w:pPr>
      <w:r>
        <w:t xml:space="preserve">Facteurs humains : automatisation graduée, situation awareness, supervision en boucle ;</w:t>
      </w:r>
    </w:p>
    <w:p>
      <w:pPr>
        <w:pStyle w:val="ListParagraph"/>
        <w:numPr>
          <w:ilvl w:val="0"/>
          <w:numId w:val="3"/>
        </w:numPr>
        <w:spacing w:after="30" w:before="30"/>
        <w:jc w:val="both"/>
      </w:pPr>
      <w:r>
        <w:t xml:space="preserve">Cryptographie appliquée : signature, horodatage et chaînage de hachage pour l'intégrité du journal.</w:t>
      </w:r>
    </w:p>
    <w:p>
      <w:pPr>
        <w:pStyle w:val="Heading2"/>
        <w:spacing w:after="120" w:before="240"/>
      </w:pPr>
      <w:r>
        <w:rPr>
          <w:b/>
          <w:bCs/>
          <w:sz w:val="26"/>
          <w:szCs w:val="26"/>
        </w:rPr>
        <w:t xml:space="preserve">3.2 Théorie de l'automatisation graduée</w:t>
      </w:r>
    </w:p>
    <w:p>
      <w:pPr>
        <w:spacing w:after="60" w:before="60"/>
        <w:jc w:val="both"/>
      </w:pPr>
      <w:r>
        <w:t xml:space="preserve">Parasuraman, Sheridan &amp; Wickens (2000, IEEE Trans. on Systems, Man and Cybernetics 30:286-297) proposent un modèle à deux dimensions : types d'automatisation (acquisition, analyse, décision, action) × niveaux d'automatisation (1 à 10). Endsley &amp; Kaber (1999, Ergonomics 42:462-492) proposent un modèle adapté à la commande temps réel à 10 niveaux articulés sur les quatre fonctions M/G/S/I (Monitoring, Generating, Selecting, Implementing).</w:t>
      </w:r>
    </w:p>
    <w:p>
      <w:pPr>
        <w:spacing w:after="60" w:before="60"/>
        <w:jc w:val="both"/>
      </w:pPr>
      <w:r>
        <w:t xml:space="preserve">Le Brevet n° 2 adopte une simplification pragmatique à six niveaux techniques formels, alignée terminologiquement sur SAE J3016 (familière dans l'industrie automobile et progressivement reprise en industrie générale), mais adaptée aux fonctions spécifiques d'un système de supervision et contrôle d'équipements industriels physiques. La justification théorique des 6 niveaux est la suivante : un nombre inférieur (4-5) ne permet pas de différencier suffisamment les régimes intermédiaires (recommandation vs exécution supervisée vs autonomie partielle) ; un nombre supérieur (8-10) crée une complexité cognitive excessive pour les opérateurs et complique l'arbitrage des politiques.</w:t>
      </w:r>
    </w:p>
    <w:p>
      <w:pPr>
        <w:pStyle w:val="Heading2"/>
        <w:spacing w:after="120" w:before="240"/>
      </w:pPr>
      <w:r>
        <w:rPr>
          <w:b/>
          <w:bCs/>
          <w:sz w:val="26"/>
          <w:szCs w:val="26"/>
        </w:rPr>
        <w:t xml:space="preserve">3.3 Théorie de la sécurité fonctionnelle IEC 61508/61511</w:t>
      </w:r>
    </w:p>
    <w:p>
      <w:pPr>
        <w:spacing w:after="60" w:before="60"/>
        <w:jc w:val="both"/>
      </w:pPr>
      <w:r>
        <w:t xml:space="preserve">IEC 61508 définit la sécurité fonctionnelle comme « la partie de la sécurité globale relative à l'équipement sous contrôle (EUC) et à son système de commande, qui dépend du fonctionnement correct des systèmes E/E/PE relatifs à la sécurité ». Quatre niveaux SIL sont définis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4095"/>
        <w:gridCol w:w="4095"/>
      </w:tblGrid>
      <w:tr>
        <w:tc>
          <w:tcPr>
            <w:tcW w:type="dxa" w:w="117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SIL</w:t>
            </w:r>
          </w:p>
        </w:tc>
        <w:tc>
          <w:tcPr>
            <w:tcW w:type="dxa" w:w="4095"/>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PFD (à la demande)</w:t>
            </w:r>
          </w:p>
        </w:tc>
        <w:tc>
          <w:tcPr>
            <w:tcW w:type="dxa" w:w="4095"/>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Application typique</w:t>
            </w:r>
          </w:p>
        </w:tc>
      </w:tr>
      <w:tr>
        <w:tc>
          <w:tcPr>
            <w:tcW w:type="dxa" w:w="117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SIL 1</w:t>
            </w:r>
          </w:p>
        </w:tc>
        <w:tc>
          <w:tcPr>
            <w:tcW w:type="dxa" w:w="4095"/>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 10⁻² &lt; 10⁻¹</w:t>
            </w:r>
          </w:p>
        </w:tc>
        <w:tc>
          <w:tcPr>
            <w:tcW w:type="dxa" w:w="4095"/>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Risques mineurs (production)</w:t>
            </w:r>
          </w:p>
        </w:tc>
      </w:tr>
      <w:tr>
        <w:tc>
          <w:tcPr>
            <w:tcW w:type="dxa" w:w="117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SIL 2</w:t>
            </w:r>
          </w:p>
        </w:tc>
        <w:tc>
          <w:tcPr>
            <w:tcW w:type="dxa" w:w="4095"/>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 10⁻³ &lt; 10⁻²</w:t>
            </w:r>
          </w:p>
        </w:tc>
        <w:tc>
          <w:tcPr>
            <w:tcW w:type="dxa" w:w="4095"/>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Risques modérés (équipements à risque)</w:t>
            </w:r>
          </w:p>
        </w:tc>
      </w:tr>
      <w:tr>
        <w:tc>
          <w:tcPr>
            <w:tcW w:type="dxa" w:w="117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SIL 3</w:t>
            </w:r>
          </w:p>
        </w:tc>
        <w:tc>
          <w:tcPr>
            <w:tcW w:type="dxa" w:w="4095"/>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 10⁻⁴ &lt; 10⁻³</w:t>
            </w:r>
          </w:p>
        </w:tc>
        <w:tc>
          <w:tcPr>
            <w:tcW w:type="dxa" w:w="4095"/>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Risques élevés (chimie, énergie)</w:t>
            </w:r>
          </w:p>
        </w:tc>
      </w:tr>
      <w:tr>
        <w:tc>
          <w:tcPr>
            <w:tcW w:type="dxa" w:w="117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SIL 4</w:t>
            </w:r>
          </w:p>
        </w:tc>
        <w:tc>
          <w:tcPr>
            <w:tcW w:type="dxa" w:w="4095"/>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 10⁻⁵ &lt; 10⁻⁴</w:t>
            </w:r>
          </w:p>
        </w:tc>
        <w:tc>
          <w:tcPr>
            <w:tcW w:type="dxa" w:w="4095"/>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Risques catastrophiques (nucléaire)</w:t>
            </w:r>
          </w:p>
        </w:tc>
      </w:tr>
    </w:tbl>
    <w:p>
      <w:pPr>
        <w:spacing w:after="60" w:before="60"/>
        <w:jc w:val="both"/>
      </w:pPr>
      <w:r>
        <w:t xml:space="preserve">Le dispositif d'enclavement électronique du Brevet n° 2 est conçu pour atteindre au minimum SIL 2 (PFD &lt; 10⁻²) par sa conception en couche dédiée, sa signature cryptographique d'intégrité, son exécution en domaine séparé et son journal append-only. La conception SIL 3 est envisageable pour les applications haut risque (sites SEVESO seuils haut, raffineries, chimie spécialisée) moyennant des dispositions complémentaires (redondance N+1, diagnostics croisés).</w:t>
      </w:r>
    </w:p>
    <w:p>
      <w:pPr>
        <w:pStyle w:val="Heading2"/>
        <w:spacing w:after="120" w:before="240"/>
      </w:pPr>
      <w:r>
        <w:rPr>
          <w:b/>
          <w:bCs/>
          <w:sz w:val="26"/>
          <w:szCs w:val="26"/>
        </w:rPr>
        <w:t xml:space="preserve">3.4 Optimisation multi-objectifs sous contraintes</w:t>
      </w:r>
    </w:p>
    <w:p>
      <w:pPr>
        <w:spacing w:after="60" w:before="60"/>
        <w:jc w:val="both"/>
      </w:pPr>
      <w:r>
        <w:t xml:space="preserve">Le problème de l'arbitrage décisionnel multi-actifs s'exprime mathématiquement comme un problème d'optimisation multi-objectifs sous contraintes :</w:t>
      </w:r>
    </w:p>
    <w:p>
      <w:pPr>
        <w:spacing w:after="80" w:before="80"/>
        <w:jc w:val="center"/>
      </w:pPr>
      <w:r>
        <w:rPr>
          <w:rFonts w:ascii="Consolas" w:cs="Consolas" w:eastAsia="Consolas" w:hAnsi="Consolas"/>
          <w:b/>
          <w:bCs/>
          <w:sz w:val="22"/>
          <w:szCs w:val="22"/>
        </w:rPr>
        <w:t xml:space="preserve">max  Σ_k λ_k × U_k(I_sel)</w:t>
      </w:r>
    </w:p>
    <w:p>
      <w:pPr>
        <w:spacing w:after="80" w:before="80"/>
        <w:jc w:val="center"/>
      </w:pPr>
      <w:r>
        <w:rPr>
          <w:rFonts w:ascii="Consolas" w:cs="Consolas" w:eastAsia="Consolas" w:hAnsi="Consolas"/>
          <w:b/>
          <w:bCs/>
          <w:sz w:val="22"/>
          <w:szCs w:val="22"/>
        </w:rPr>
        <w:t xml:space="preserve">s.c.  Σ_{I∈I_sel} c(I) ≤ B</w:t>
      </w:r>
    </w:p>
    <w:p>
      <w:pPr>
        <w:spacing w:after="80" w:before="80"/>
        <w:jc w:val="center"/>
      </w:pPr>
      <w:r>
        <w:rPr>
          <w:rFonts w:ascii="Consolas" w:cs="Consolas" w:eastAsia="Consolas" w:hAnsi="Consolas"/>
          <w:b/>
          <w:bCs/>
          <w:sz w:val="22"/>
          <w:szCs w:val="22"/>
        </w:rPr>
        <w:t xml:space="preserve">       |R(I_sel)| ≤ R_dispo</w:t>
      </w:r>
    </w:p>
    <w:p>
      <w:pPr>
        <w:spacing w:after="80" w:before="80"/>
        <w:jc w:val="center"/>
      </w:pPr>
      <w:r>
        <w:rPr>
          <w:rFonts w:ascii="Consolas" w:cs="Consolas" w:eastAsia="Consolas" w:hAnsi="Consolas"/>
          <w:b/>
          <w:bCs/>
          <w:sz w:val="22"/>
          <w:szCs w:val="22"/>
        </w:rPr>
        <w:t xml:space="preserve">       I_sel ⊆ I</w:t>
      </w:r>
    </w:p>
    <w:p>
      <w:pPr>
        <w:spacing w:after="60" w:before="60"/>
        <w:jc w:val="both"/>
      </w:pPr>
      <w:r>
        <w:t xml:space="preserve">où I_sel est le plan d'action sélectionné, U_k la fonction d'utilité du k-ième critère (minimisation risque, minimisation coût, maximisation disponibilité), λ_k son poids contextuel, c(I) le coût de l'intervention I, B la contrainte budgétaire, R(I_sel) les ressources mobilisées et R_dispo les ressources disponibles.</w:t>
      </w:r>
    </w:p>
    <w:p>
      <w:pPr>
        <w:spacing w:after="60" w:before="60"/>
        <w:jc w:val="both"/>
      </w:pPr>
      <w:r>
        <w:t xml:space="preserve">Ce problème appartient à la classe des problèmes NP-difficiles (réduction au knapsack multi-dimensionnel). Selon la taille du problème, différents algorithmes sont mobilisés :</w:t>
      </w:r>
    </w:p>
    <w:p>
      <w:pPr>
        <w:pStyle w:val="ListParagraph"/>
        <w:numPr>
          <w:ilvl w:val="0"/>
          <w:numId w:val="3"/>
        </w:numPr>
        <w:spacing w:after="30" w:before="30"/>
        <w:jc w:val="both"/>
      </w:pPr>
      <w:r>
        <w:t xml:space="preserve">Petite taille (&lt; 20 interventions candidates) : programmation linéaire en nombres entiers (CPLEX, Gurobi, GLPK) ;</w:t>
      </w:r>
    </w:p>
    <w:p>
      <w:pPr>
        <w:pStyle w:val="ListParagraph"/>
        <w:numPr>
          <w:ilvl w:val="0"/>
          <w:numId w:val="3"/>
        </w:numPr>
        <w:spacing w:after="30" w:before="30"/>
        <w:jc w:val="both"/>
      </w:pPr>
      <w:r>
        <w:t xml:space="preserve">Moyenne taille (20-100 interventions) : algorithme glouton avec correction par recherche locale ;</w:t>
      </w:r>
    </w:p>
    <w:p>
      <w:pPr>
        <w:pStyle w:val="ListParagraph"/>
        <w:numPr>
          <w:ilvl w:val="0"/>
          <w:numId w:val="3"/>
        </w:numPr>
        <w:spacing w:after="30" w:before="30"/>
        <w:jc w:val="both"/>
      </w:pPr>
      <w:r>
        <w:t xml:space="preserve">Grande taille (&gt; 100 interventions) : métaheuristiques — recuit simulé (Kirkpatrick et al. 1983), algorithmes génétiques (Goldberg 1989), ou Particle Swarm Optimization (Kennedy &amp; Eberhart 1995).</w:t>
      </w:r>
    </w:p>
    <w:p>
      <w:pPr>
        <w:pStyle w:val="Heading2"/>
        <w:spacing w:after="120" w:before="240"/>
      </w:pPr>
      <w:r>
        <w:rPr>
          <w:b/>
          <w:bCs/>
          <w:sz w:val="26"/>
          <w:szCs w:val="26"/>
        </w:rPr>
        <w:t xml:space="preserve">3.5 Théorie économique de la maintenance opportuniste</w:t>
      </w:r>
    </w:p>
    <w:p>
      <w:pPr>
        <w:spacing w:after="60" w:before="60"/>
        <w:jc w:val="both"/>
      </w:pPr>
      <w:r>
        <w:t xml:space="preserve">La maintenance opportuniste (Cho &amp; Parlar 1991, EJOR ; Castanier et al. 2005, Reliability Engineering &amp; System Safety) consiste à regrouper plusieurs interventions de maintenance pour mutualiser les coûts d'arrêt et de mobilisation des ressources. La littérature distingue trois types de dépendances entre composants (Wildeman et al. 1997) :</w:t>
      </w:r>
    </w:p>
    <w:p>
      <w:pPr>
        <w:pStyle w:val="ListParagraph"/>
        <w:numPr>
          <w:ilvl w:val="0"/>
          <w:numId w:val="3"/>
        </w:numPr>
        <w:spacing w:after="30" w:before="30"/>
        <w:jc w:val="both"/>
      </w:pPr>
      <w:r>
        <w:t xml:space="preserve">Dépendance économique : la mutualisation des interventions réduit le coût total (coûts de setup partagés) ;</w:t>
      </w:r>
    </w:p>
    <w:p>
      <w:pPr>
        <w:pStyle w:val="ListParagraph"/>
        <w:numPr>
          <w:ilvl w:val="0"/>
          <w:numId w:val="3"/>
        </w:numPr>
        <w:spacing w:after="30" w:before="30"/>
        <w:jc w:val="both"/>
      </w:pPr>
      <w:r>
        <w:t xml:space="preserve">Dépendance stochastique : la défaillance d'un composant modifie la probabilité de défaillance d'un autre ;</w:t>
      </w:r>
    </w:p>
    <w:p>
      <w:pPr>
        <w:pStyle w:val="ListParagraph"/>
        <w:numPr>
          <w:ilvl w:val="0"/>
          <w:numId w:val="3"/>
        </w:numPr>
        <w:spacing w:after="30" w:before="30"/>
        <w:jc w:val="both"/>
      </w:pPr>
      <w:r>
        <w:t xml:space="preserve">Dépendance structurelle : la défaillance d'un composant rend physiquement nécessaire l'intervention sur un autre.</w:t>
      </w:r>
    </w:p>
    <w:p>
      <w:pPr>
        <w:spacing w:after="60" w:before="60"/>
        <w:jc w:val="both"/>
      </w:pPr>
      <w:r>
        <w:t xml:space="preserve">Le Brevet n° 2 intègre ces trois types de dépendances via son graphe inter-actifs avec coefficients de transmission de défaut, son vecteur d'impact économique multi-dimensionnel, et son module de simulation prospective comparant les scénarios.</w:t>
      </w:r>
    </w:p>
    <w:p>
      <w:pPr>
        <w:pStyle w:val="Heading2"/>
        <w:spacing w:after="120" w:before="240"/>
      </w:pPr>
      <w:r>
        <w:rPr>
          <w:b/>
          <w:bCs/>
          <w:sz w:val="26"/>
          <w:szCs w:val="26"/>
        </w:rPr>
        <w:t xml:space="preserve">3.6 Théorie de la simulation prospective et analyse de scénarios</w:t>
      </w:r>
    </w:p>
    <w:p>
      <w:pPr>
        <w:spacing w:after="60" w:before="60"/>
        <w:jc w:val="both"/>
      </w:pPr>
      <w:r>
        <w:t xml:space="preserve">L'analyse de scénarios prospectifs (scenario analysis) est une technique classique de la prise de décision sous incertitude. Elle consiste à évaluer plusieurs scénarios contrastés (généralement 3 à 5) en estimant pour chacun les conséquences attendues, puis à retenir le scénario optimal selon des critères pondérés. Cette technique est codifiée dans les standards de gestion de risque (ISO 31000:2018) et largement appliquée en planification stratégique (Schwartz 1991), en finance (Brigham &amp; Ehrhardt 2014) et en sûreté de fonctionnement industrielle (Kjellén 2000).</w:t>
      </w:r>
    </w:p>
    <w:p>
      <w:pPr>
        <w:spacing w:after="60" w:before="60"/>
        <w:jc w:val="both"/>
      </w:pPr>
      <w:r>
        <w:t xml:space="preserve">Le Brevet n° 2 applique cette technique au plan opérationnel temps réel d'un système de supervision industriel, comparant systématiquement trois scénarios pour chaque décision : intervention immédiate, intervention différée à un horizon paramétrable, non-intervention. La nouveauté technique consiste en l'intégration temps réel de cette analyse dans la boucle décisionnelle d'un système autonome de génération de signaux de commande, là où l'analyse de scénarios classique reste un exercice de planification stratégique humaine.</w:t>
      </w:r>
    </w:p>
    <w:p>
      <w:pPr>
        <w:pStyle w:val="Heading2"/>
        <w:spacing w:after="120" w:before="240"/>
      </w:pPr>
      <w:r>
        <w:rPr>
          <w:b/>
          <w:bCs/>
          <w:sz w:val="26"/>
          <w:szCs w:val="26"/>
        </w:rPr>
        <w:t xml:space="preserve">3.7 Apprentissage par renforcement post-action</w:t>
      </w:r>
    </w:p>
    <w:p>
      <w:pPr>
        <w:spacing w:after="60" w:before="60"/>
        <w:jc w:val="both"/>
      </w:pPr>
      <w:r>
        <w:t xml:space="preserve">L'apprentissage par renforcement (Sutton &amp; Barto 2018) modélise un agent qui prend des décisions et reçoit une récompense, ajustant sa politique pour maximiser la récompense cumulée. Le Brevet n° 2 exploite une forme spécifique d'apprentissage par renforcement post-action :</w:t>
      </w:r>
    </w:p>
    <w:p>
      <w:pPr>
        <w:pStyle w:val="ListParagraph"/>
        <w:numPr>
          <w:ilvl w:val="0"/>
          <w:numId w:val="3"/>
        </w:numPr>
        <w:spacing w:after="30" w:before="30"/>
        <w:jc w:val="both"/>
      </w:pPr>
      <w:r>
        <w:t xml:space="preserve">Action : émission d'un signal de commande issu de l'arbitrage multi-actifs ;</w:t>
      </w:r>
    </w:p>
    <w:p>
      <w:pPr>
        <w:pStyle w:val="ListParagraph"/>
        <w:numPr>
          <w:ilvl w:val="0"/>
          <w:numId w:val="3"/>
        </w:numPr>
        <w:spacing w:after="30" w:before="30"/>
        <w:jc w:val="both"/>
      </w:pPr>
      <w:r>
        <w:t xml:space="preserve">Observation post-action : résultat technique (succès/partiel/échec), coût réel vs projeté, durée réelle vs projetée, impact réel sur IMCA et actifs liés ;</w:t>
      </w:r>
    </w:p>
    <w:p>
      <w:pPr>
        <w:pStyle w:val="ListParagraph"/>
        <w:numPr>
          <w:ilvl w:val="0"/>
          <w:numId w:val="3"/>
        </w:numPr>
        <w:spacing w:after="30" w:before="30"/>
        <w:jc w:val="both"/>
      </w:pPr>
      <w:r>
        <w:t xml:space="preserve">Ajustement de politique : modification des pondérations λ_k des critères d'optimisation, des coefficients ω_j d'impact économique, des intervalles de confiance des projections.</w:t>
      </w:r>
    </w:p>
    <w:p>
      <w:pPr>
        <w:spacing w:after="60" w:before="60"/>
        <w:jc w:val="both"/>
      </w:pPr>
      <w:r>
        <w:t xml:space="preserve">Cette approche relève de la famille des algorithmes online à actualisation par lots (mini-batch online learning), avec l'avantage d'une amélioration progressive sans phase d'entraînement coûteuse.</w:t>
      </w:r>
    </w:p>
    <w:p>
      <w:pPr>
        <w:pStyle w:val="Heading2"/>
        <w:spacing w:after="120" w:before="240"/>
      </w:pPr>
      <w:r>
        <w:rPr>
          <w:b/>
          <w:bCs/>
          <w:sz w:val="26"/>
          <w:szCs w:val="26"/>
        </w:rPr>
        <w:t xml:space="preserve">3.8 Cryptographie appliquée pour la traçabilité</w:t>
      </w:r>
    </w:p>
    <w:p>
      <w:pPr>
        <w:spacing w:after="60" w:before="60"/>
        <w:jc w:val="both"/>
      </w:pPr>
      <w:r>
        <w:t xml:space="preserve">Le journal technique append-only à chaînage de hachage exploite des primitives cryptographiques classiques :</w:t>
      </w:r>
    </w:p>
    <w:p>
      <w:pPr>
        <w:pStyle w:val="ListParagraph"/>
        <w:numPr>
          <w:ilvl w:val="0"/>
          <w:numId w:val="3"/>
        </w:numPr>
        <w:spacing w:after="30" w:before="30"/>
        <w:jc w:val="both"/>
      </w:pPr>
      <w:r>
        <w:t xml:space="preserve">Fonction de hachage sécurisée (SHA-256 ou SHA-3) pour chaîner les entrées ;</w:t>
      </w:r>
    </w:p>
    <w:p>
      <w:pPr>
        <w:pStyle w:val="ListParagraph"/>
        <w:numPr>
          <w:ilvl w:val="0"/>
          <w:numId w:val="3"/>
        </w:numPr>
        <w:spacing w:after="30" w:before="30"/>
        <w:jc w:val="both"/>
      </w:pPr>
      <w:r>
        <w:t xml:space="preserve">Signature numérique (ECDSA ou Ed25519) pour l'authentification des décisions du système ;</w:t>
      </w:r>
    </w:p>
    <w:p>
      <w:pPr>
        <w:pStyle w:val="ListParagraph"/>
        <w:numPr>
          <w:ilvl w:val="0"/>
          <w:numId w:val="3"/>
        </w:numPr>
        <w:spacing w:after="30" w:before="30"/>
        <w:jc w:val="both"/>
      </w:pPr>
      <w:r>
        <w:t xml:space="preserve">Horodatage signé (TSA conforme RFC 3161) pour la non-répudiation temporelle.</w:t>
      </w:r>
    </w:p>
    <w:p>
      <w:pPr>
        <w:spacing w:after="60" w:before="60"/>
        <w:jc w:val="both"/>
      </w:pPr>
      <w:r>
        <w:t xml:space="preserve">Cette construction est inspirée des techniques de l'audit blockchain et des registres immuables (Merkle tree, Ralph Merkle 1979), et confère au journal une force probatoire technique conforme aux exigences IEC 61511 et ISO 55000.</w:t>
      </w:r>
    </w:p>
    <w:p>
      <w:pPr>
        <w:pStyle w:val="Heading1"/>
        <w:pageBreakBefore/>
        <w:spacing w:after="160" w:before="320"/>
      </w:pPr>
      <w:r>
        <w:rPr>
          <w:b/>
          <w:bCs/>
          <w:sz w:val="32"/>
          <w:szCs w:val="32"/>
        </w:rPr>
        <w:t xml:space="preserve">4. ÉTAT DE L'ART ACADÉMIQUE — REVUE DE LITTÉRATURE</w:t>
      </w:r>
    </w:p>
    <w:p>
      <w:pPr>
        <w:pStyle w:val="Heading2"/>
        <w:spacing w:after="120" w:before="240"/>
      </w:pPr>
      <w:r>
        <w:rPr>
          <w:b/>
          <w:bCs/>
          <w:sz w:val="26"/>
          <w:szCs w:val="26"/>
        </w:rPr>
        <w:t xml:space="preserve">4.1 Automatisation graduée en supervision industrielle</w:t>
      </w:r>
    </w:p>
    <w:p>
      <w:pPr>
        <w:spacing w:after="60" w:before="60"/>
        <w:jc w:val="both"/>
      </w:pPr>
      <w:r>
        <w:t xml:space="preserve">Frohm et al. (2008, Levels of Automation in Manufacturing) ont conduit une étude empirique sur les niveaux d'automatisation dans 23 entreprises manufacturières suédoises, démontrant que la distribution réelle des niveaux d'automatisation suit une courbe en U : peu d'entreprises utilisent les niveaux intermédiaires (3-7), la majorité étant soit pleinement manuelles, soit pleinement automatisées. Cette observation révèle un gap technologique que le Brevet n° 2 vise à combler en formalisant explicitement les niveaux intermédiaires.</w:t>
      </w:r>
    </w:p>
    <w:p>
      <w:pPr>
        <w:spacing w:after="60" w:before="60"/>
        <w:jc w:val="both"/>
      </w:pPr>
      <w:r>
        <w:t xml:space="preserve">Save et al. (2014, Human Factors and Ergonomics Society Europe) ont proposé une nouvelle taxonomie d'automatisation centrée sur la coopération homme-machine, avec dimensions cognitives. Cette approche enrichit mais ne supplante pas les taxonomies classiques de Sheridan/Parasuraman/Endsley sur lesquelles s'appuie le Brevet n° 2.</w:t>
      </w:r>
    </w:p>
    <w:p>
      <w:pPr>
        <w:spacing w:after="60" w:before="60"/>
        <w:jc w:val="both"/>
      </w:pPr>
      <w:r>
        <w:t xml:space="preserve">Wickens et al. (2010, Sage Publications) ont conduit une méta-analyse de 18 études expérimentales sur l'impact des stages et niveaux d'automatisation sur la performance humaine, confirmant le théorème des « ironies de l'automatisation » de Bainbridge (1983) : plus le niveau d'automatisation est élevé, plus la perte de situation awareness lors des reprises manuelles est sévère. La graduation à six niveaux du Brevet n° 2 répond à ce constat en assurant une montée en autonomie progressive.</w:t>
      </w:r>
    </w:p>
    <w:p>
      <w:pPr>
        <w:pStyle w:val="Heading2"/>
        <w:spacing w:after="120" w:before="240"/>
      </w:pPr>
      <w:r>
        <w:rPr>
          <w:b/>
          <w:bCs/>
          <w:sz w:val="26"/>
          <w:szCs w:val="26"/>
        </w:rPr>
        <w:t xml:space="preserve">4.2 Sécurité fonctionnelle et permits-to-work</w:t>
      </w:r>
    </w:p>
    <w:p>
      <w:pPr>
        <w:spacing w:after="60" w:before="60"/>
        <w:jc w:val="both"/>
      </w:pPr>
      <w:r>
        <w:t xml:space="preserve">La littérature sur l'intégration technique des PTW dans les systèmes de contrôle est étonnamment peu développée. Iddir (2020, Loss Prevention Bulletin) a documenté plusieurs accidents industriels (BP Texas City 2005, Buncefield 2005, Esso Longford 1998) où la déconnexion PTW-supervision a contribué à l'événement. Pasquini et al. (2015, Safety Science) ont proposé une intégration conceptuelle PTW-SCADA pour les sites pétrochimiques mais sans implémentation technique formalisée.</w:t>
      </w:r>
    </w:p>
    <w:p>
      <w:pPr>
        <w:spacing w:after="60" w:before="60"/>
        <w:jc w:val="both"/>
      </w:pPr>
      <w:r>
        <w:t xml:space="preserve">La norme IEC 61511-1:2016 (chapitre 11 « Operation and Maintenance ») recommande explicitement l'intégration des procédures de PTW avec les Safety Instrumented Systems, sans spécifier comment cette intégration doit être technique. Le Brevet n° 2 propose précisément cette spécification technique sous forme du dispositif d'enclavement électronique interposé matériellement en série dans la chaîne de commande sortante.</w:t>
      </w:r>
    </w:p>
    <w:p>
      <w:pPr>
        <w:pStyle w:val="Heading2"/>
        <w:spacing w:after="120" w:before="240"/>
      </w:pPr>
      <w:r>
        <w:rPr>
          <w:b/>
          <w:bCs/>
          <w:sz w:val="26"/>
          <w:szCs w:val="26"/>
        </w:rPr>
        <w:t xml:space="preserve">4.3 Optimisation multi-actifs et maintenance opportuniste</w:t>
      </w:r>
    </w:p>
    <w:p>
      <w:pPr>
        <w:spacing w:after="60" w:before="60"/>
        <w:jc w:val="both"/>
      </w:pPr>
      <w:r>
        <w:t xml:space="preserve">La littérature sur l'optimisation multi-actifs est abondante. Wildeman et al. (1997, IIE Transactions) ont posé le cadre de référence pour l'optimisation rolling-horizon de la maintenance multi-composants. Castanier et al. (2005, Reliability Engineering &amp; System Safety) ont étendu ces travaux aux dépendances stochastiques.</w:t>
      </w:r>
    </w:p>
    <w:p>
      <w:pPr>
        <w:spacing w:after="60" w:before="60"/>
        <w:jc w:val="both"/>
      </w:pPr>
      <w:r>
        <w:t xml:space="preserve">Nguyen et al. (2024, ScienceDirect — Reliability Engineering &amp; System Safety) ont publié une étude récente sur le modèle de décision de maintenance opportuniste proactive basé sur la fiabilité dans les systèmes ferroviaires, démontrant une réduction de coût total de 31,68 % sur la ligne Guiyang-Kunming. Cette étude confirme l'intérêt économique massif de l'approche multi-actifs avec dépendances.</w:t>
      </w:r>
    </w:p>
    <w:p>
      <w:pPr>
        <w:spacing w:after="60" w:before="60"/>
        <w:jc w:val="both"/>
      </w:pPr>
      <w:r>
        <w:t xml:space="preserve">Zhang et al. (2024, ScienceDirect — Computers &amp; Operations Research) ont publié un cadre d'optimisation pour la planification opportuniste des activités de maintenance préventive avec dépendances économiques. Leur approche par programmation linéaire en nombres entiers correspond à l'une des trois méthodes mentionnées en revendication dépendante 6 du Brevet n° 2.</w:t>
      </w:r>
    </w:p>
    <w:p>
      <w:pPr>
        <w:spacing w:after="60" w:before="60"/>
        <w:jc w:val="both"/>
      </w:pPr>
      <w:r>
        <w:t xml:space="preserve">Liu et al. (2024, ScienceDirect — Reliability Engineering &amp; System Safety) ont étendu ces travaux à la maintenance prédictive opportuniste à plusieurs niveaux pour systèmes multi-composants avec dépendance économique et impact d'assemblage/désassemblage.</w:t>
      </w:r>
    </w:p>
    <w:p>
      <w:pPr>
        <w:spacing w:after="60" w:before="60"/>
        <w:jc w:val="both"/>
      </w:pPr>
      <w:r>
        <w:t xml:space="preserve">Sun et al. (2024, ScienceDirect — Computers in Industry) ont publié une optimisation conjointe de la planification de production et de la maintenance sous regroupement opportuniste, alignée avec le concept de simulation prospective du Brevet n° 2.</w:t>
      </w:r>
    </w:p>
    <w:p>
      <w:pPr>
        <w:spacing w:after="60" w:before="60"/>
        <w:jc w:val="both"/>
      </w:pPr>
      <w:r>
        <w:t xml:space="preserve">Petrillo et al. (2023, EJOR vol. 311) ont proposé une approche bi-objectif pour la planification de maintenance sur un système en réseau avec ressources limitées. Cette dimension de réseau correspond au graphe inter-actifs avec interdépendances fonctionnelles du Brevet n° 2 (revendication 4).</w:t>
      </w:r>
    </w:p>
    <w:p>
      <w:pPr>
        <w:spacing w:after="60" w:before="60"/>
        <w:jc w:val="both"/>
      </w:pPr>
      <w:r>
        <w:t xml:space="preserve">Yang et al. (2024, ScienceDirect) ont publié sur l'optimisation de la stratégie de maintenance opportuniste sous maintenance imparfaite avec stratégie hybride au niveau unité. Cette dimension d'imperfection des interventions est gérée dans le Brevet n° 2 par le module d'apprentissage post-action (revendication 1g).</w:t>
      </w:r>
    </w:p>
    <w:p>
      <w:pPr>
        <w:pStyle w:val="Heading2"/>
        <w:spacing w:after="120" w:before="240"/>
      </w:pPr>
      <w:r>
        <w:rPr>
          <w:b/>
          <w:bCs/>
          <w:sz w:val="26"/>
          <w:szCs w:val="26"/>
        </w:rPr>
        <w:t xml:space="preserve">4.4 Apprentissage par renforcement pour la planification de maintenance</w:t>
      </w:r>
    </w:p>
    <w:p>
      <w:pPr>
        <w:spacing w:after="60" w:before="60"/>
        <w:jc w:val="both"/>
      </w:pPr>
      <w:r>
        <w:t xml:space="preserve">Khorasgani et al. (2023, arXiv 2307.03860) ont publié une revue exhaustive des solutions basées sur l'apprentissage par renforcement et l'apprentissage par renforcement profond pour la planification de maintenance. Cette revue confirme la pertinence du paradigme RL pour la décision de maintenance, mais met en évidence la quasi-absence d'études intégrant RL post-action avec arbitrage multi-actifs et simulation prospective, ce qui constitue le positionnement original du Brevet n° 2.</w:t>
      </w:r>
    </w:p>
    <w:p>
      <w:pPr>
        <w:spacing w:after="60" w:before="60"/>
        <w:jc w:val="both"/>
      </w:pPr>
      <w:r>
        <w:t xml:space="preserve">Notable est l'absence dans la littérature de mécanismes spécifiques d'ajustement des pondérations λ_k de critères d'optimisation par observation post-action : la plupart des approches RL en maintenance ajustent une politique de décision globale (Q-learning, policy gradient) plutôt que des pondérations interprétables comme dans le Brevet n° 2. Cette interprétabilité native est un avantage distinctif important pour la défensibilité de l'invention face aux objections d'explicabilité.</w:t>
      </w:r>
    </w:p>
    <w:p>
      <w:pPr>
        <w:pStyle w:val="Heading2"/>
        <w:spacing w:after="120" w:before="240"/>
      </w:pPr>
      <w:r>
        <w:rPr>
          <w:b/>
          <w:bCs/>
          <w:sz w:val="26"/>
          <w:szCs w:val="26"/>
        </w:rPr>
        <w:t xml:space="preserve">4.5 Synthèse de la revue de littérature</w:t>
      </w:r>
    </w:p>
    <w:p>
      <w:pPr>
        <w:spacing w:after="60" w:before="60"/>
        <w:jc w:val="both"/>
      </w:pPr>
      <w:r>
        <w:t xml:space="preserve">La revue de littérature révèle que chacune des composantes du Brevet n° 2 (automatisation graduée, sécurité fonctionnelle, optimisation multi-actifs, simulation prospective, RL post-action) fait l'objet de travaux académiques actifs, mais que leur intégration cohérente dans un système technique unique générant des signaux de commande automatisés vers des équipements industriels physiques, avec garantie de sécurité par enclavement électronique conditionné PTW, n'est documentée par aucune publication ni brevet identifié à ce jour. Cette intégration synergique constitue le cœur de l'activité inventive du Brevet n° 2.</w:t>
      </w:r>
    </w:p>
    <w:p>
      <w:pPr>
        <w:pStyle w:val="Heading1"/>
        <w:pageBreakBefore/>
        <w:spacing w:after="160" w:before="320"/>
      </w:pPr>
      <w:r>
        <w:rPr>
          <w:b/>
          <w:bCs/>
          <w:sz w:val="32"/>
          <w:szCs w:val="32"/>
        </w:rPr>
        <w:t xml:space="preserve">5. ÉTAT DE L'ART BREVETS ANTÉRIEURS</w:t>
      </w:r>
    </w:p>
    <w:p>
      <w:pPr>
        <w:pStyle w:val="Heading2"/>
        <w:spacing w:after="120" w:before="240"/>
      </w:pPr>
      <w:r>
        <w:rPr>
          <w:b/>
          <w:bCs/>
          <w:sz w:val="26"/>
          <w:szCs w:val="26"/>
        </w:rPr>
        <w:t xml:space="preserve">5.1 Antériorités relatives à l'automatisation graduée</w:t>
      </w:r>
    </w:p>
    <w:p>
      <w:pPr>
        <w:pStyle w:val="Heading3"/>
        <w:spacing w:after="100" w:before="180"/>
      </w:pPr>
      <w:r>
        <w:rPr>
          <w:b/>
          <w:bCs/>
          <w:i/>
          <w:iCs/>
          <w:sz w:val="24"/>
          <w:szCs w:val="24"/>
        </w:rPr>
        <w:t xml:space="preserve">5.1.1 Brevets liés à SAE J3016 (véhicules automatisés)</w:t>
      </w:r>
    </w:p>
    <w:p>
      <w:pPr>
        <w:spacing w:after="60" w:before="60"/>
        <w:jc w:val="both"/>
      </w:pPr>
      <w:r>
        <w:t xml:space="preserve">De nombreux brevets de constructeurs automobiles (Tesla, Waymo, Toyota, BMW) couvrent l'automatisation graduée des véhicules selon SAE J3016. Ces brevets sont hors champ pour le Brevet n° 2 qui concerne la supervision industrielle d'équipements stationnaires, mais constituent une analogie utile pour démontrer la pertinence du concept d'automatisation graduée.</w:t>
      </w:r>
    </w:p>
    <w:p>
      <w:pPr>
        <w:pStyle w:val="Heading3"/>
        <w:spacing w:after="100" w:before="180"/>
      </w:pPr>
      <w:r>
        <w:rPr>
          <w:b/>
          <w:bCs/>
          <w:i/>
          <w:iCs/>
          <w:sz w:val="24"/>
          <w:szCs w:val="24"/>
        </w:rPr>
        <w:t xml:space="preserve">5.1.2 US-9,069,599 — Cognitive automation system</w:t>
      </w:r>
    </w:p>
    <w:p>
      <w:pPr>
        <w:spacing w:after="60" w:before="60"/>
        <w:jc w:val="both"/>
      </w:pPr>
      <w:r>
        <w:t xml:space="preserve">Système d'automatisation cognitive ; mentionné déjà au Brevet n° 1. N'opère pas de graduation formelle de l'autonomie sur 6 niveaux techniques distincts. Risque d'antériorité : faible.</w:t>
      </w:r>
    </w:p>
    <w:p>
      <w:pPr>
        <w:pStyle w:val="Heading2"/>
        <w:spacing w:after="120" w:before="240"/>
      </w:pPr>
      <w:r>
        <w:rPr>
          <w:b/>
          <w:bCs/>
          <w:sz w:val="26"/>
          <w:szCs w:val="26"/>
        </w:rPr>
        <w:t xml:space="preserve">5.2 Antériorités relatives aux systèmes de permits-to-work électroniques</w:t>
      </w:r>
    </w:p>
    <w:p>
      <w:pPr>
        <w:pStyle w:val="Heading3"/>
        <w:spacing w:after="100" w:before="180"/>
      </w:pPr>
      <w:r>
        <w:rPr>
          <w:b/>
          <w:bCs/>
          <w:i/>
          <w:iCs/>
          <w:sz w:val="24"/>
          <w:szCs w:val="24"/>
        </w:rPr>
        <w:t xml:space="preserve">5.2.1 US-10,719,348 — Permit-to-work system</w:t>
      </w:r>
    </w:p>
    <w:p>
      <w:pPr>
        <w:spacing w:after="60" w:before="60"/>
        <w:jc w:val="both"/>
      </w:pPr>
      <w:r>
        <w:t xml:space="preserve">Système électronique de gestion de permis de travail. Ce brevet décrit principalement le workflow administratif (création, revue, approbation, clôture). Il ne décrit aucune interface technique avec un système de commande autonome ni dispositif d'enclavement matériel. Risque d'antériorité pour le Brevet n° 2 : modéré sur la composante PTW seule, mais nul sur la combinaison PTW + arbitrage multi-actifs + simulation prospective.</w:t>
      </w:r>
    </w:p>
    <w:p>
      <w:pPr>
        <w:pStyle w:val="Heading3"/>
        <w:spacing w:after="100" w:before="180"/>
      </w:pPr>
      <w:r>
        <w:rPr>
          <w:b/>
          <w:bCs/>
          <w:i/>
          <w:iCs/>
          <w:sz w:val="24"/>
          <w:szCs w:val="24"/>
        </w:rPr>
        <w:t xml:space="preserve">5.2.2 Brevets Enablon, Intelex, Mango</w:t>
      </w:r>
    </w:p>
    <w:p>
      <w:pPr>
        <w:spacing w:after="60" w:before="60"/>
        <w:jc w:val="both"/>
      </w:pPr>
      <w:r>
        <w:t xml:space="preserve">Les principaux éditeurs de solutions EHS commerciales (Enablon — Wolters Kluwer ; Intelex — Mitratech ; Mango — Mango Limited) ont déposé plusieurs brevets sur les workflows PTW dématérialisés. Aucun ne décrit l'enclavement électronique en série avec la chaîne de commande d'un système de supervision autonome. Risque d'antériorité : faible.</w:t>
      </w:r>
    </w:p>
    <w:p>
      <w:pPr>
        <w:pStyle w:val="Heading2"/>
        <w:spacing w:after="120" w:before="240"/>
      </w:pPr>
      <w:r>
        <w:rPr>
          <w:b/>
          <w:bCs/>
          <w:sz w:val="26"/>
          <w:szCs w:val="26"/>
        </w:rPr>
        <w:t xml:space="preserve">5.3 Antériorités relatives à l'optimisation multi-actifs</w:t>
      </w:r>
    </w:p>
    <w:p>
      <w:pPr>
        <w:spacing w:after="60" w:before="60"/>
        <w:jc w:val="both"/>
      </w:pPr>
      <w:r>
        <w:t xml:space="preserve">Plusieurs brevets de grands éditeurs ERP/GMAO couvrent l'optimisation de planning maintenance :</w:t>
      </w:r>
    </w:p>
    <w:p>
      <w:pPr>
        <w:pStyle w:val="ListParagraph"/>
        <w:numPr>
          <w:ilvl w:val="0"/>
          <w:numId w:val="3"/>
        </w:numPr>
        <w:spacing w:after="30" w:before="30"/>
        <w:jc w:val="both"/>
      </w:pPr>
      <w:r>
        <w:t xml:space="preserve">US-10,558,927 (SAP) — Maintenance task scheduling : optimisation de planning par programmation linéaire, sans interdépendances fonctionnelles ni simulation prospective ;</w:t>
      </w:r>
    </w:p>
    <w:p>
      <w:pPr>
        <w:pStyle w:val="ListParagraph"/>
        <w:numPr>
          <w:ilvl w:val="0"/>
          <w:numId w:val="3"/>
        </w:numPr>
        <w:spacing w:after="30" w:before="30"/>
        <w:jc w:val="both"/>
      </w:pPr>
      <w:r>
        <w:t xml:space="preserve">US-11,164,128 (IBM Maximo) — Predictive maintenance work order optimization : optimisation à actif unique, sans vecteur d'impact économique multi-dimensionnel ;</w:t>
      </w:r>
    </w:p>
    <w:p>
      <w:pPr>
        <w:pStyle w:val="ListParagraph"/>
        <w:numPr>
          <w:ilvl w:val="0"/>
          <w:numId w:val="3"/>
        </w:numPr>
        <w:spacing w:after="30" w:before="30"/>
        <w:jc w:val="both"/>
      </w:pPr>
      <w:r>
        <w:t xml:space="preserve">US-10,803,536 (Oracle EAM) — Asset maintenance prioritization : priorisation par scores statiques, sans optimisation multi-objectifs sous contraintes.</w:t>
      </w:r>
    </w:p>
    <w:p>
      <w:pPr>
        <w:spacing w:after="60" w:before="60"/>
        <w:jc w:val="both"/>
      </w:pPr>
      <w:r>
        <w:t xml:space="preserve">Aucun ne combine l'optimisation multi-actifs avec interdépendances fonctionnelles ET simulation prospective ET apprentissage post-action ET enclave électronique PTW. Le risque d'antériorité est donc modéré sur la composante optimisation seule, mais nul sur l'ensemble revendiqué.</w:t>
      </w:r>
    </w:p>
    <w:p>
      <w:pPr>
        <w:pStyle w:val="Heading2"/>
        <w:spacing w:after="120" w:before="240"/>
      </w:pPr>
      <w:r>
        <w:rPr>
          <w:b/>
          <w:bCs/>
          <w:sz w:val="26"/>
          <w:szCs w:val="26"/>
        </w:rPr>
        <w:t xml:space="preserve">5.4 Antériorités relatives à la simulation prospective</w:t>
      </w:r>
    </w:p>
    <w:p>
      <w:pPr>
        <w:spacing w:after="60" w:before="60"/>
        <w:jc w:val="both"/>
      </w:pPr>
      <w:r>
        <w:t xml:space="preserve">La simulation prospective de scénarios est couverte par des brevets dans des domaines voisins (gestion de portefeuille financier, planification d'entreprise) mais pas spécifiquement en supervision industrielle :</w:t>
      </w:r>
    </w:p>
    <w:p>
      <w:pPr>
        <w:pStyle w:val="ListParagraph"/>
        <w:numPr>
          <w:ilvl w:val="0"/>
          <w:numId w:val="3"/>
        </w:numPr>
        <w:spacing w:after="30" w:before="30"/>
        <w:jc w:val="both"/>
      </w:pPr>
      <w:r>
        <w:t xml:space="preserve">US-10,963,810 (SAS) — Scenario simulation for predictive maintenance planning : simulation Monte-Carlo de scénarios, sans intégration à un système de génération automatique de signaux de commande.</w:t>
      </w:r>
    </w:p>
    <w:p>
      <w:pPr>
        <w:spacing w:after="60" w:before="60"/>
        <w:jc w:val="both"/>
      </w:pPr>
      <w:r>
        <w:t xml:space="preserve">Le positionnement spécifique du Brevet n° 2 — comparaison technique de trois scénarios formels (immédiat, différé, non-intervention) intégrée dans la boucle décisionnelle temps réel avant émission de signaux de commande — n'est revendiqué par aucune antériorité.</w:t>
      </w:r>
    </w:p>
    <w:p>
      <w:pPr>
        <w:pStyle w:val="Heading2"/>
        <w:spacing w:after="120" w:before="240"/>
      </w:pPr>
      <w:r>
        <w:rPr>
          <w:b/>
          <w:bCs/>
          <w:sz w:val="26"/>
          <w:szCs w:val="26"/>
        </w:rPr>
        <w:t xml:space="preserve">5.5 Tableau récapitulatif des antériorités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872"/>
        <w:gridCol w:w="3744"/>
      </w:tblGrid>
      <w:tr>
        <w:tc>
          <w:tcPr>
            <w:tcW w:type="dxa" w:w="234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Référence</w:t>
            </w:r>
          </w:p>
        </w:tc>
        <w:tc>
          <w:tcPr>
            <w:tcW w:type="dxa" w:w="1404"/>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Date</w:t>
            </w:r>
          </w:p>
        </w:tc>
        <w:tc>
          <w:tcPr>
            <w:tcW w:type="dxa" w:w="1872"/>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Risque</w:t>
            </w:r>
          </w:p>
        </w:tc>
        <w:tc>
          <w:tcPr>
            <w:tcW w:type="dxa" w:w="3744"/>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Différenciation invention</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US-9,069,599</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2015</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Faible</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Pas de 6 niveaux gradués ni enclave PTW</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US-10,719,348</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2020</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Modéré (PTW)</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Workflow administratif sans enclave matériel</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US-10,558,927 (SAP)</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2020</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Faible</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Optimisation sans simulation prospective ni RL</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US-11,164,128 (IBM)</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2021</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Faible</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Mono-actif vs multi-actifs avec interdépendances</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US-10,803,536 (Oracle)</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2020</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Faible</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Scores statiques vs optimisation dynamique</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US-10,963,810 (SAS)</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2021</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Faible</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Sim Monte-Carlo isolée, pas d'intégration boucle décisionnelle</w:t>
            </w:r>
          </w:p>
        </w:tc>
      </w:tr>
    </w:tbl>
    <w:p>
      <w:pPr>
        <w:pStyle w:val="Heading1"/>
        <w:pageBreakBefore/>
        <w:spacing w:after="160" w:before="320"/>
      </w:pPr>
      <w:r>
        <w:rPr>
          <w:b/>
          <w:bCs/>
          <w:sz w:val="32"/>
          <w:szCs w:val="32"/>
        </w:rPr>
        <w:t xml:space="preserve">6. ÉTAT DE L'ART NORMATIF (IEC 61508, IEC 61511, ISO 13849, ISO 45001, ISO 55000)</w:t>
      </w:r>
    </w:p>
    <w:p>
      <w:pPr>
        <w:pStyle w:val="Heading2"/>
        <w:spacing w:after="120" w:before="240"/>
      </w:pPr>
      <w:r>
        <w:rPr>
          <w:b/>
          <w:bCs/>
          <w:sz w:val="26"/>
          <w:szCs w:val="26"/>
        </w:rPr>
        <w:t xml:space="preserve">6.1 IEC 61508 — Sécurité fonctionnelle des E/E/PE</w:t>
      </w:r>
    </w:p>
    <w:p>
      <w:pPr>
        <w:spacing w:after="60" w:before="60"/>
        <w:jc w:val="both"/>
      </w:pPr>
      <w:r>
        <w:t xml:space="preserve">Publiée en 1998 (révisée en 2010, parties 1-7), IEC 61508 est la norme cadre internationale pour la sécurité fonctionnelle. Elle s'applique aux systèmes électriques, électroniques et électroniques programmables. Le Brevet n° 2 s'inscrit dans ce cadre par son dispositif d'enclavement électronique conçu pour atteindre au minimum SIL 2. Les caractéristiques techniques requises pour SIL 2 (PFD &lt; 10⁻², tolérance aux fautes matérielles de 1, gestion des défaillances systématiques par capacité systématique SC 2) sont couvertes par les revendications 1f, 5, 6 et 7 du Brevet n° 2.</w:t>
      </w:r>
    </w:p>
    <w:p>
      <w:pPr>
        <w:pStyle w:val="Heading2"/>
        <w:spacing w:after="120" w:before="240"/>
      </w:pPr>
      <w:r>
        <w:rPr>
          <w:b/>
          <w:bCs/>
          <w:sz w:val="26"/>
          <w:szCs w:val="26"/>
        </w:rPr>
        <w:t xml:space="preserve">6.2 IEC 61511 — Sécurité fonctionnelle pour l'industrie de process</w:t>
      </w:r>
    </w:p>
    <w:p>
      <w:pPr>
        <w:spacing w:after="60" w:before="60"/>
        <w:jc w:val="both"/>
      </w:pPr>
      <w:r>
        <w:t xml:space="preserve">Publiée en 2003 (révisée en 2016), IEC 61511 est la déclinaison sectorielle d'IEC 61508 pour les industries de process. Elle introduit les notions de Safety Instrumented System (SIS) et Safety Instrumented Function (SIF). L'enclave PTW du Brevet n° 2 peut être considérée comme une SIF technique au sens de cette norme.</w:t>
      </w:r>
    </w:p>
    <w:p>
      <w:pPr>
        <w:pStyle w:val="Heading2"/>
        <w:spacing w:after="120" w:before="240"/>
      </w:pPr>
      <w:r>
        <w:rPr>
          <w:b/>
          <w:bCs/>
          <w:sz w:val="26"/>
          <w:szCs w:val="26"/>
        </w:rPr>
        <w:t xml:space="preserve">6.3 ISO 13849 — Sécurité des machines, parties relatives à la sécurité des systèmes de commande</w:t>
      </w:r>
    </w:p>
    <w:p>
      <w:pPr>
        <w:spacing w:after="60" w:before="60"/>
        <w:jc w:val="both"/>
      </w:pPr>
      <w:r>
        <w:t xml:space="preserve">ISO 13849-1:2015 définit les Performance Level (PL a à e) requis pour les fonctions de sécurité des systèmes de commande de machine. Le dispositif d'enclavement du Brevet n° 2 vise généralement PL d ou PL e selon la criticité de l'équipement supervisé.</w:t>
      </w:r>
    </w:p>
    <w:p>
      <w:pPr>
        <w:pStyle w:val="Heading2"/>
        <w:spacing w:after="120" w:before="240"/>
      </w:pPr>
      <w:r>
        <w:rPr>
          <w:b/>
          <w:bCs/>
          <w:sz w:val="26"/>
          <w:szCs w:val="26"/>
        </w:rPr>
        <w:t xml:space="preserve">6.4 ISO 45001 — Systèmes de management de la santé et de la sécurité au travail</w:t>
      </w:r>
    </w:p>
    <w:p>
      <w:pPr>
        <w:spacing w:after="60" w:before="60"/>
        <w:jc w:val="both"/>
      </w:pPr>
      <w:r>
        <w:t xml:space="preserve">ISO 45001:2018 définit les exigences pour un système de management OHS. Le permit-to-work est explicitement reconnu comme un contrôle opérationnel relevant de cette norme (clause 8.1.3). L'intégration technique du PTW à la chaîne de commande proposée par le Brevet n° 2 constitue un moyen de mise en conformité avec ISO 45001 pour les industriels certifiés.</w:t>
      </w:r>
    </w:p>
    <w:p>
      <w:pPr>
        <w:pStyle w:val="Heading2"/>
        <w:spacing w:after="120" w:before="240"/>
      </w:pPr>
      <w:r>
        <w:rPr>
          <w:b/>
          <w:bCs/>
          <w:sz w:val="26"/>
          <w:szCs w:val="26"/>
        </w:rPr>
        <w:t xml:space="preserve">6.5 ISO 55000-55002 — Gestion d'actifs</w:t>
      </w:r>
    </w:p>
    <w:p>
      <w:pPr>
        <w:spacing w:after="60" w:before="60"/>
        <w:jc w:val="both"/>
      </w:pPr>
      <w:r>
        <w:t xml:space="preserve">Cadre stratégique pour la gestion d'actifs industriels. Le journal d'audit normalisé à treize champs du Brevet n° 2 (revendication 1h) correspond aux exigences de traçabilité de la norme ISO 55001 pour l'enregistrement des décisions sur les actifs.</w:t>
      </w:r>
    </w:p>
    <w:p>
      <w:pPr>
        <w:pStyle w:val="Heading2"/>
        <w:spacing w:after="120" w:before="240"/>
      </w:pPr>
      <w:r>
        <w:rPr>
          <w:b/>
          <w:bCs/>
          <w:sz w:val="26"/>
          <w:szCs w:val="26"/>
        </w:rPr>
        <w:t xml:space="preserve">6.6 IEC 60812 — AMDEC</w:t>
      </w:r>
    </w:p>
    <w:p>
      <w:pPr>
        <w:spacing w:after="60" w:before="60"/>
        <w:jc w:val="both"/>
      </w:pPr>
      <w:r>
        <w:t xml:space="preserve">La classification technique des équipements en classes de risque (revendication 12 du Brevet n° 2) est dérivée d'une analyse AMDEC calculant l'IPR = Gravité × Occurrence × Détection. Cette dérivation est conforme à la méthodologie standard IEC 60812:2018.</w:t>
      </w:r>
    </w:p>
    <w:p>
      <w:pPr>
        <w:pStyle w:val="Heading1"/>
        <w:pageBreakBefore/>
        <w:spacing w:after="160" w:before="320"/>
      </w:pPr>
      <w:r>
        <w:rPr>
          <w:b/>
          <w:bCs/>
          <w:sz w:val="32"/>
          <w:szCs w:val="32"/>
        </w:rPr>
        <w:t xml:space="preserve">7. ANALYSE COMPARATIVE ET POSITIONNEMENT DE L'INVENTION</w:t>
      </w:r>
    </w:p>
    <w:p>
      <w:pPr>
        <w:pStyle w:val="Heading2"/>
        <w:spacing w:after="120" w:before="240"/>
      </w:pPr>
      <w:r>
        <w:rPr>
          <w:b/>
          <w:bCs/>
          <w:sz w:val="26"/>
          <w:szCs w:val="26"/>
        </w:rPr>
        <w:t xml:space="preserve">7.1 Positionnement vs systèmes de contrôle industriel classiques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Critère</w:t>
            </w:r>
          </w:p>
        </w:tc>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DCS/PLC classiques</w:t>
            </w:r>
          </w:p>
        </w:tc>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Brevet n° 2 MAINTRIX</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Modes opérationnels</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Manuel ou automatique (binaire)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6 niveaux gradués formels</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Diagnostic</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Alarmes par seuils statiques</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Fusion technique de 4 sources avec chaîne d'évidence typée</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Arbitrage multi-actifs</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Absent (décisions locales)</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Optimisation multi-objectifs sous contraintes</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Simulation prospective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Absente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Comparaison de 3 scénarios formels</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Couplage PTW</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Absent (PTW papier ou logiciel séparé)</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Enclave électronique en série dans la chaîne</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Apprentissage post-action</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Absent</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Ajustement λ_k, ω_j, intervalles</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Audit décisionnel</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Logs basiques</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Journal append-only à 13 champs + chaînage hash</w:t>
            </w:r>
          </w:p>
        </w:tc>
      </w:tr>
    </w:tbl>
    <w:p>
      <w:pPr>
        <w:pStyle w:val="Heading2"/>
        <w:spacing w:after="120" w:before="240"/>
      </w:pPr>
      <w:r>
        <w:rPr>
          <w:b/>
          <w:bCs/>
          <w:sz w:val="26"/>
          <w:szCs w:val="26"/>
        </w:rPr>
        <w:t xml:space="preserve">7.2 Positionnement vs solutions GMAO/EAM commerciales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Critère</w:t>
            </w:r>
          </w:p>
        </w:tc>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GMAO/EAM (SAP PM, Maximo, Infor)</w:t>
            </w:r>
          </w:p>
        </w:tc>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Brevet n° 2 MAINTRIX</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Nature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Transactionnel</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Cognitif et probabiliste</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Décisions</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Humaines uniquement</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Graduées 0-5 avec garde-fous</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Optimisation</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Heuristiques simples (FIFO, priorité)</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Multi-objectifs sous contraintes avec impact économique multi-dimensionnel</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Apprentissage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Aucun</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Continu post-action</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Audit</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Workflow standard</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Cryptographique append-only conforme IEC 61511</w:t>
            </w:r>
          </w:p>
        </w:tc>
      </w:tr>
    </w:tbl>
    <w:p>
      <w:pPr>
        <w:pStyle w:val="Heading1"/>
        <w:pageBreakBefore/>
        <w:spacing w:after="160" w:before="320"/>
      </w:pPr>
      <w:r>
        <w:rPr>
          <w:b/>
          <w:bCs/>
          <w:sz w:val="32"/>
          <w:szCs w:val="32"/>
        </w:rPr>
        <w:t xml:space="preserve">8. BASES THÉORIQUES ET JUSTIFICATION PAR REVENDICATION</w:t>
      </w:r>
    </w:p>
    <w:p>
      <w:pPr>
        <w:pStyle w:val="Heading2"/>
        <w:spacing w:after="120" w:before="240"/>
      </w:pPr>
      <w:r>
        <w:rPr>
          <w:b/>
          <w:bCs/>
          <w:sz w:val="26"/>
          <w:szCs w:val="26"/>
        </w:rPr>
        <w:t xml:space="preserve">8.1 Revendication 1(a) — Interface matérielle</w:t>
      </w:r>
    </w:p>
    <w:p>
      <w:pPr>
        <w:spacing w:after="60" w:before="60"/>
        <w:jc w:val="both"/>
      </w:pPr>
      <w:r>
        <w:t xml:space="preserve">Identique au Brevet n° 1 : ancrage technique cardinal au sens article 52 CBE. Le CPI doit garantir que cette caractéristique apparaisse dès la revendication principale.</w:t>
      </w:r>
    </w:p>
    <w:p>
      <w:pPr>
        <w:pStyle w:val="Heading2"/>
        <w:spacing w:after="120" w:before="240"/>
      </w:pPr>
      <w:r>
        <w:rPr>
          <w:b/>
          <w:bCs/>
          <w:sz w:val="26"/>
          <w:szCs w:val="26"/>
        </w:rPr>
        <w:t xml:space="preserve">8.2 Revendication 1(b) — Module de diagnostic par fusion de 4 sources</w:t>
      </w:r>
    </w:p>
    <w:p>
      <w:pPr>
        <w:spacing w:after="60" w:before="60"/>
        <w:jc w:val="both"/>
      </w:pPr>
      <w:r>
        <w:t xml:space="preserve">Base scientifique : théorie de la fusion d'information multi-sources (Khaleghi et al. 2013, Information Fusion 14:28-44 ; Hall &amp; Llinas 1997, Proceedings of the IEEE). La fusion technique de quatre sources (règles, similarité historique, mémoire de défaillances, structuration en langage technique) avec chaîne d'évidence typée selon 6 catégories constitue une architecture de fusion explicite et auditable, contrairement aux approches par apprentissage profond où la fusion est implicite et opaque.</w:t>
      </w:r>
    </w:p>
    <w:p>
      <w:pPr>
        <w:spacing w:after="60" w:before="60"/>
        <w:jc w:val="both"/>
      </w:pPr>
      <w:r>
        <w:t xml:space="preserve">Suggestion CPI : conserver la formule de confiance ajustée confiance(r) = c_base × (0,7 + 0,3 × couverture) dans une revendication dépendante (revendication 14 actuelle) plutôt qu'en revendication principale, pour ne pas restreindre la portée de la principale.</w:t>
      </w:r>
    </w:p>
    <w:p>
      <w:pPr>
        <w:pStyle w:val="Heading2"/>
        <w:spacing w:after="120" w:before="240"/>
      </w:pPr>
      <w:r>
        <w:rPr>
          <w:b/>
          <w:bCs/>
          <w:sz w:val="26"/>
          <w:szCs w:val="26"/>
        </w:rPr>
        <w:t xml:space="preserve">8.3 Revendication 1(c) — Moteur de politiques à automatisation graduée</w:t>
      </w:r>
    </w:p>
    <w:p>
      <w:pPr>
        <w:spacing w:after="60" w:before="60"/>
        <w:jc w:val="both"/>
      </w:pPr>
      <w:r>
        <w:t xml:space="preserve">Base scientifique : taxonomies d'automatisation graduée (Sheridan &amp; Verplank 1978 ; Parasuraman, Sheridan &amp; Wickens 2000 ; Endsley &amp; Kaber 1999 ; SAE J3016) — voir section 3.2. Théorie des systèmes de règles d'évaluation (rule engines) — Forgy (1982) Rete algorithm.</w:t>
      </w:r>
    </w:p>
    <w:p>
      <w:pPr>
        <w:spacing w:after="60" w:before="60"/>
        <w:jc w:val="both"/>
      </w:pPr>
      <w:r>
        <w:t xml:space="preserve">Les six niveaux du Brevet n° 2 constituent une adaptation technique du modèle générique à la supervision industrielle. Le CPI doit défendre que cette adaptation n'est pas évidente : aucune publication ni brevet n'a proposé spécifiquement ces six niveaux pour la supervision industrielle avec les fonctions associées (Monitoring 0, Diagnostic Assisté 1, Recommandation Automatique 2, Exécution Supervisée 3, Autonomie Partielle 4, Autonomie Complète 5).</w:t>
      </w:r>
    </w:p>
    <w:p>
      <w:pPr>
        <w:spacing w:after="60" w:before="60"/>
        <w:jc w:val="both"/>
      </w:pPr>
      <w:r>
        <w:t xml:space="preserve">La structure formelle d'une politique (priorité, conditions, maxAutonomyLevel, requiresApproval) et les huit opérateurs (eq, neq, gt, lt, gte, lte, contains, in) constituent un langage d'évaluation technique précis, inspiré des moteurs de règles industriels (CLIPS, Drools) mais adapté au domaine spécifique de la supervision.</w:t>
      </w:r>
    </w:p>
    <w:p>
      <w:pPr>
        <w:pStyle w:val="Heading2"/>
        <w:spacing w:after="120" w:before="240"/>
      </w:pPr>
      <w:r>
        <w:rPr>
          <w:b/>
          <w:bCs/>
          <w:sz w:val="26"/>
          <w:szCs w:val="26"/>
        </w:rPr>
        <w:t xml:space="preserve">8.4 Revendication 1(d) — Module d'arbitrage multi-actifs</w:t>
      </w:r>
    </w:p>
    <w:p>
      <w:pPr>
        <w:spacing w:after="60" w:before="60"/>
        <w:jc w:val="both"/>
      </w:pPr>
      <w:r>
        <w:t xml:space="preserve">Base scientifique : optimisation multi-objectifs sous contraintes (voir section 3.4) ; économie de la maintenance opportuniste (voir section 3.5) ; théorie de la décision multi-critères (Keeney &amp; Raiffa 1976).</w:t>
      </w:r>
    </w:p>
    <w:p>
      <w:pPr>
        <w:spacing w:after="60" w:before="60"/>
        <w:jc w:val="both"/>
      </w:pPr>
      <w:r>
        <w:t xml:space="preserve">Le vecteur d'impact économique à six dimensions (coût d'arrêt, maintenance, sécurité, logistique, énergétique, image) constitue une généralisation du Cost-of-Failure classique. Cette généralisation est inspirée des standards de Total Cost of Ownership (TCO) en gestion d'actifs (Ellram 1995, International Journal of Physical Distribution) et adaptée au contexte de la décision opérationnelle temps réel.</w:t>
      </w:r>
    </w:p>
    <w:p>
      <w:pPr>
        <w:spacing w:after="60" w:before="60"/>
        <w:jc w:val="both"/>
      </w:pPr>
      <w:r>
        <w:t xml:space="preserve">Le graphe inter-actifs avec coefficients de transmission de défaut est une innovation technique du Brevet n° 2 : la représentation explicite des interdépendances fonctionnelles inter-actifs (et non seulement intra-actif comme dans le jumeau comportemental du Brevet n° 1) permet une optimisation systémique du parc, là où les approches classiques optimisent actif par actif.</w:t>
      </w:r>
    </w:p>
    <w:p>
      <w:pPr>
        <w:spacing w:after="60" w:before="60"/>
        <w:jc w:val="both"/>
      </w:pPr>
      <w:r>
        <w:t xml:space="preserve">Suggestion CPI : ajouter une revendication dépendante précisant que le graphe inter-actifs peut être appris automatiquement à partir des corrélations observées entre événements sur différents actifs (machine learning sur historique d'incidents). Cela renforce la défensibilité face aux objections de manque de support.</w:t>
      </w:r>
    </w:p>
    <w:p>
      <w:pPr>
        <w:pStyle w:val="Heading2"/>
        <w:spacing w:after="120" w:before="240"/>
      </w:pPr>
      <w:r>
        <w:rPr>
          <w:b/>
          <w:bCs/>
          <w:sz w:val="26"/>
          <w:szCs w:val="26"/>
        </w:rPr>
        <w:t xml:space="preserve">8.5 Revendication 1(e) — Module de simulation prospective</w:t>
      </w:r>
    </w:p>
    <w:p>
      <w:pPr>
        <w:spacing w:after="60" w:before="60"/>
        <w:jc w:val="both"/>
      </w:pPr>
      <w:r>
        <w:t xml:space="preserve">Base scientifique : analyse de scénarios (Schwartz 1991), simulation à événements discrets (Banks et al. 2010), théorie de la valeur de l'information (Howard 1966).</w:t>
      </w:r>
    </w:p>
    <w:p>
      <w:pPr>
        <w:spacing w:after="60" w:before="60"/>
        <w:jc w:val="both"/>
      </w:pPr>
      <w:r>
        <w:t xml:space="preserve">Les trois scénarios formels (immédiat, différé, non-intervention) constituent une trichotomie pragmatique inspirée de la théorie de la décision médicale (Eddy 1990 « Anatomy of a decision », JAMA) et de la planification stratégique militaire (« act now vs delay vs do nothing »). Cette trichotomie présente l'avantage d'être à la fois minimale (couvre l'espace décisionnel élémentaire) et exploitable (3 scénarios sont calculables en temps réel).</w:t>
      </w:r>
    </w:p>
    <w:p>
      <w:pPr>
        <w:spacing w:after="60" w:before="60"/>
        <w:jc w:val="both"/>
      </w:pPr>
      <w:r>
        <w:t xml:space="preserve">Suggestion CPI : la revendication dépendante 15 propose une extension à 4+ scénarios temporels (1 jour, 7 jours, 30 jours, prochaine fenêtre d'arrêt planifié) — cette extension peut être renforcée par mention explicite des « rolling-horizon dynamic scheduling » (Wildeman et al. 1997).</w:t>
      </w:r>
    </w:p>
    <w:p>
      <w:pPr>
        <w:pStyle w:val="Heading2"/>
        <w:spacing w:after="120" w:before="240"/>
      </w:pPr>
      <w:r>
        <w:rPr>
          <w:b/>
          <w:bCs/>
          <w:sz w:val="26"/>
          <w:szCs w:val="26"/>
        </w:rPr>
        <w:t xml:space="preserve">8.6 Revendication 1(f) — Dispositif d'enclavement électronique</w:t>
      </w:r>
    </w:p>
    <w:p>
      <w:pPr>
        <w:spacing w:after="60" w:before="60"/>
        <w:jc w:val="both"/>
      </w:pPr>
      <w:r>
        <w:t xml:space="preserve">Base scientifique : sécurité fonctionnelle IEC 61508/61511 (voir section 3.3) ; théorie des barrières de sécurité LOPA (Layer of Protection Analysis ; Crowl 2002) ; cryptographie pour l'intégrité (signature, hachage, exécution sandboxed).</w:t>
      </w:r>
    </w:p>
    <w:p>
      <w:pPr>
        <w:spacing w:after="60" w:before="60"/>
        <w:jc w:val="both"/>
      </w:pPr>
      <w:r>
        <w:t xml:space="preserve">L'interposition matérielle en série dans la chaîne de commande sortante est une caractéristique technique distinctive forte : elle inscrit le dispositif dans le champ des barrières de sécurité physiques au sens LOPA, lui conférant un caractère technique tangible difficilement contestable. Le contrôle cryptographique d'intégrité (signature au démarrage) et l'exécution dans un domaine d'exécution distinct (revendication 5) constituent des protections complémentaires conformes aux exigences SIL 2 d'IEC 61508.</w:t>
      </w:r>
    </w:p>
    <w:p>
      <w:pPr>
        <w:spacing w:after="60" w:before="60"/>
        <w:jc w:val="both"/>
      </w:pPr>
      <w:r>
        <w:t xml:space="preserve">Suggestion CPI : envisager une revendication dépendante précisant la conformité explicite à IEC 61508 SIL 2 ou SIL 3, ce qui permet de revendiquer un argument de conformité réglementaire et facilite l'adoption commerciale par les industries régulées.</w:t>
      </w:r>
    </w:p>
    <w:p>
      <w:pPr>
        <w:pStyle w:val="Heading2"/>
        <w:spacing w:after="120" w:before="240"/>
      </w:pPr>
      <w:r>
        <w:rPr>
          <w:b/>
          <w:bCs/>
          <w:sz w:val="26"/>
          <w:szCs w:val="26"/>
        </w:rPr>
        <w:t xml:space="preserve">8.7 Revendication 1(g) — Module d'apprentissage post-action</w:t>
      </w:r>
    </w:p>
    <w:p>
      <w:pPr>
        <w:spacing w:after="60" w:before="60"/>
        <w:jc w:val="both"/>
      </w:pPr>
      <w:r>
        <w:t xml:space="preserve">Base scientifique : apprentissage par renforcement online (Sutton &amp; Barto 2018) ; estimation récursive bayésienne (Gelman et al. 2014) ; règles d'ajustement bornées pour stabilité (Khalil 2002).</w:t>
      </w:r>
    </w:p>
    <w:p>
      <w:pPr>
        <w:spacing w:after="60" w:before="60"/>
        <w:jc w:val="both"/>
      </w:pPr>
      <w:r>
        <w:t xml:space="preserve">L'ajustement borné des pondérations λ_k (revendication 10 : ±0,05 avec renormalisation Σ λ_k = 1) garantit la stabilité de la boucle d'apprentissage au sens des théorèmes de stabilité par Lyapunov pour systèmes adaptatifs. Cette borne et la renormalisation constituent des choix techniques précis et non triviaux.</w:t>
      </w:r>
    </w:p>
    <w:p>
      <w:pPr>
        <w:pStyle w:val="Heading2"/>
        <w:spacing w:after="120" w:before="240"/>
      </w:pPr>
      <w:r>
        <w:rPr>
          <w:b/>
          <w:bCs/>
          <w:sz w:val="26"/>
          <w:szCs w:val="26"/>
        </w:rPr>
        <w:t xml:space="preserve">8.8 Revendication 1(h) — Journal append-only à chaînage de hachage</w:t>
      </w:r>
    </w:p>
    <w:p>
      <w:pPr>
        <w:spacing w:after="60" w:before="60"/>
        <w:jc w:val="both"/>
      </w:pPr>
      <w:r>
        <w:t xml:space="preserve">Base scientifique : Merkle trees (Merkle 1979) ; signatures numériques ECDSA (Vanstone 1992) ou Ed25519 (Bernstein et al. 2012) ; horodatage TSA RFC 3161 (Adams et al. 2001).</w:t>
      </w:r>
    </w:p>
    <w:p>
      <w:pPr>
        <w:spacing w:after="60" w:before="60"/>
        <w:jc w:val="both"/>
      </w:pPr>
      <w:r>
        <w:t xml:space="preserve">La structure à treize champs et le chaînage de hachage entre entrées successives confèrent au journal une force probatoire technique conforme aux exigences de non-répudiation IEC 61511 et ISO 55000. Cette construction technique est exhaustivement décrite, ce qui répond à l'exigence de support de la description.</w:t>
      </w:r>
    </w:p>
    <w:p>
      <w:pPr>
        <w:pStyle w:val="Heading1"/>
        <w:pageBreakBefore/>
        <w:spacing w:after="160" w:before="320"/>
      </w:pPr>
      <w:r>
        <w:rPr>
          <w:b/>
          <w:bCs/>
          <w:sz w:val="32"/>
          <w:szCs w:val="32"/>
        </w:rPr>
        <w:t xml:space="preserve">9. DÉMONSTRATION DE L'ACTIVITÉ INVENTIVE</w:t>
      </w:r>
    </w:p>
    <w:p>
      <w:pPr>
        <w:pStyle w:val="Heading2"/>
        <w:spacing w:after="120" w:before="240"/>
      </w:pPr>
      <w:r>
        <w:rPr>
          <w:b/>
          <w:bCs/>
          <w:sz w:val="26"/>
          <w:szCs w:val="26"/>
        </w:rPr>
        <w:t xml:space="preserve">9.1 Approche problème-solution OEB</w:t>
      </w:r>
    </w:p>
    <w:p>
      <w:pPr>
        <w:spacing w:after="60" w:before="60"/>
        <w:jc w:val="both"/>
      </w:pPr>
      <w:r>
        <w:t xml:space="preserve">L'antériorité la plus proche pour le Brevet n° 2 est probablement la combinaison hypothétique de : (i) un système de gestion de PTW électronique (type Enablon ou US-10,719,348) ; (ii) une plateforme de planification de maintenance multi-actifs (type SAP PM ou US-10,558,927) ; (iii) une taxonomie d'automatisation graduée (type SAE J3016 ou Parasuraman 2000 transposé).</w:t>
      </w:r>
    </w:p>
    <w:p>
      <w:pPr>
        <w:pStyle w:val="Heading2"/>
        <w:spacing w:after="120" w:before="240"/>
      </w:pPr>
      <w:r>
        <w:rPr>
          <w:b/>
          <w:bCs/>
          <w:sz w:val="26"/>
          <w:szCs w:val="26"/>
        </w:rPr>
        <w:t xml:space="preserve">9.2 Différences techniques objectives</w:t>
      </w:r>
    </w:p>
    <w:p>
      <w:pPr>
        <w:spacing w:after="60" w:before="60"/>
        <w:jc w:val="both"/>
      </w:pPr>
      <w:r>
        <w:t xml:space="preserve">L'invention se distingue par au moins sept différences techniques objectives :</w:t>
      </w:r>
    </w:p>
    <w:p>
      <w:pPr>
        <w:pStyle w:val="ListParagraph"/>
        <w:numPr>
          <w:ilvl w:val="0"/>
          <w:numId w:val="2"/>
        </w:numPr>
        <w:spacing w:after="30" w:before="30"/>
        <w:jc w:val="both"/>
      </w:pPr>
      <w:r>
        <w:t xml:space="preserve">Interposition matérielle d'un dispositif d'enclavement électronique en série dans la chaîne de commande sortante, conditionnant matériellement l'émission de tout signal de commande automatisé à la validité d'un PTW (les antériorités traitent PTW et commande de manière séparée et non interfacée techniquement) ;</w:t>
      </w:r>
    </w:p>
    <w:p>
      <w:pPr>
        <w:pStyle w:val="ListParagraph"/>
        <w:numPr>
          <w:ilvl w:val="0"/>
          <w:numId w:val="2"/>
        </w:numPr>
        <w:spacing w:after="30" w:before="30"/>
        <w:jc w:val="both"/>
      </w:pPr>
      <w:r>
        <w:t xml:space="preserve">Optimisation probabiliste multi-critères avec vecteur d'impact économique à six dimensions explicitement définies (les antériorités utilisent au mieux un coût total scalaire) ;</w:t>
      </w:r>
    </w:p>
    <w:p>
      <w:pPr>
        <w:pStyle w:val="ListParagraph"/>
        <w:numPr>
          <w:ilvl w:val="0"/>
          <w:numId w:val="2"/>
        </w:numPr>
        <w:spacing w:after="30" w:before="30"/>
        <w:jc w:val="both"/>
      </w:pPr>
      <w:r>
        <w:t xml:space="preserve">Intégration d'un graphe inter-actifs avec coefficients de transmission de défaut représentant les interdépendances fonctionnelles entre équipements (les antériorités optimisent actif par actif) ;</w:t>
      </w:r>
    </w:p>
    <w:p>
      <w:pPr>
        <w:pStyle w:val="ListParagraph"/>
        <w:numPr>
          <w:ilvl w:val="0"/>
          <w:numId w:val="2"/>
        </w:numPr>
        <w:spacing w:after="30" w:before="30"/>
        <w:jc w:val="both"/>
      </w:pPr>
      <w:r>
        <w:t xml:space="preserve">Simulation prospective de trois scénarios formels (immédiat, différé, non-intervention) intégrée temps réel dans la boucle décisionnelle (les antériorités font des simulations isolées, non intégrées) ;</w:t>
      </w:r>
    </w:p>
    <w:p>
      <w:pPr>
        <w:pStyle w:val="ListParagraph"/>
        <w:numPr>
          <w:ilvl w:val="0"/>
          <w:numId w:val="2"/>
        </w:numPr>
        <w:spacing w:after="30" w:before="30"/>
        <w:jc w:val="both"/>
      </w:pPr>
      <w:r>
        <w:t xml:space="preserve">Apprentissage post-action ajustant les pondérations λ_k des critères d'optimisation selon la précision projective observée (les antériorités n'apprennent pas les pondérations) ;</w:t>
      </w:r>
    </w:p>
    <w:p>
      <w:pPr>
        <w:pStyle w:val="ListParagraph"/>
        <w:numPr>
          <w:ilvl w:val="0"/>
          <w:numId w:val="2"/>
        </w:numPr>
        <w:spacing w:after="30" w:before="30"/>
        <w:jc w:val="both"/>
      </w:pPr>
      <w:r>
        <w:t xml:space="preserve">Six niveaux d'automatisation techniques formellement définis avec arbitrage par priorité de politiques évaluées au moyen de 8 opérateurs (les antériorités utilisent au mieux des modes binaires) ;</w:t>
      </w:r>
    </w:p>
    <w:p>
      <w:pPr>
        <w:pStyle w:val="ListParagraph"/>
        <w:numPr>
          <w:ilvl w:val="0"/>
          <w:numId w:val="2"/>
        </w:numPr>
        <w:spacing w:after="30" w:before="30"/>
        <w:jc w:val="both"/>
      </w:pPr>
      <w:r>
        <w:t xml:space="preserve">Journal technique append-only à 13 champs avec chaînage cryptographique de hachage conforme IEC 61511 et ISO 55000 (les antériorités utilisent des logs basiques sans intégrité cryptographique).</w:t>
      </w:r>
    </w:p>
    <w:p>
      <w:pPr>
        <w:pStyle w:val="Heading2"/>
        <w:spacing w:after="120" w:before="240"/>
      </w:pPr>
      <w:r>
        <w:rPr>
          <w:b/>
          <w:bCs/>
          <w:sz w:val="26"/>
          <w:szCs w:val="26"/>
        </w:rPr>
        <w:t xml:space="preserve">9.3 Effet technique synergique non-évident</w:t>
      </w:r>
    </w:p>
    <w:p>
      <w:pPr>
        <w:spacing w:after="60" w:before="60"/>
        <w:jc w:val="both"/>
      </w:pPr>
      <w:r>
        <w:t xml:space="preserve">Au-delà des différences individuelles, l'effet technique synergique de la combinaison est non-évident :</w:t>
      </w:r>
    </w:p>
    <w:p>
      <w:pPr>
        <w:pStyle w:val="ListParagraph"/>
        <w:numPr>
          <w:ilvl w:val="0"/>
          <w:numId w:val="3"/>
        </w:numPr>
        <w:spacing w:after="30" w:before="30"/>
        <w:jc w:val="both"/>
      </w:pPr>
      <w:r>
        <w:t xml:space="preserve">L'enclave PTW + automatisation graduée garantit qu'aucune commande autonome ne s'exécute sur équipement à risque sans permis valide — synergie sécurité/automatisation ;</w:t>
      </w:r>
    </w:p>
    <w:p>
      <w:pPr>
        <w:pStyle w:val="ListParagraph"/>
        <w:numPr>
          <w:ilvl w:val="0"/>
          <w:numId w:val="3"/>
        </w:numPr>
        <w:spacing w:after="30" w:before="30"/>
        <w:jc w:val="both"/>
      </w:pPr>
      <w:r>
        <w:t xml:space="preserve">L'arbitrage multi-actifs + simulation prospective permet d'identifier les opportunités de mutualisation économique (intervention différée + fenêtre d'arrêt planifié) impossibles à détecter actif par actif — synergie économique ;</w:t>
      </w:r>
    </w:p>
    <w:p>
      <w:pPr>
        <w:pStyle w:val="ListParagraph"/>
        <w:numPr>
          <w:ilvl w:val="0"/>
          <w:numId w:val="3"/>
        </w:numPr>
        <w:spacing w:after="30" w:before="30"/>
        <w:jc w:val="both"/>
      </w:pPr>
      <w:r>
        <w:t xml:space="preserve">L'apprentissage post-action + arbitrage permet l'auto-calibration de la politique d'optimisation sans intervention humaine — synergie autonomique.</w:t>
      </w:r>
    </w:p>
    <w:p>
      <w:pPr>
        <w:spacing w:after="60" w:before="60"/>
        <w:jc w:val="both"/>
      </w:pPr>
      <w:r>
        <w:t xml:space="preserve">Cette synergie multi-niveau (sécurité, économique, autonomique) n'est obtenue par aucune combinaison évidente des antériorités.</w:t>
      </w:r>
    </w:p>
    <w:p>
      <w:pPr>
        <w:pStyle w:val="Heading2"/>
        <w:spacing w:after="120" w:before="240"/>
      </w:pPr>
      <w:r>
        <w:rPr>
          <w:b/>
          <w:bCs/>
          <w:sz w:val="26"/>
          <w:szCs w:val="26"/>
        </w:rPr>
        <w:t xml:space="preserve">9.4 Test Alice/Mayo (USPTO)</w:t>
      </w:r>
    </w:p>
    <w:p>
      <w:pPr>
        <w:spacing w:after="60" w:before="60"/>
        <w:jc w:val="both"/>
      </w:pPr>
      <w:r>
        <w:t xml:space="preserve">Étape 1 (matière éligible) : la revendication 1 vise une amélioration concrète d'un système de supervision et contrôle d'équipements industriels physiques. L'enclavement matériel en série dans la chaîne de commande constitue un dispositif tangible, et la génération de signaux de commande techniques modifiant le fonctionnement opérationnel d'équipements physiques constitue un effet technique sur la matière (vs simple manipulation d'information abstraite). Devrait passer l'étape 1.</w:t>
      </w:r>
    </w:p>
    <w:p>
      <w:pPr>
        <w:spacing w:after="60" w:before="60"/>
        <w:jc w:val="both"/>
      </w:pPr>
      <w:r>
        <w:t xml:space="preserve">Étape 2 (inventive concept) : même si certains éléments (optimisation multi-objectifs, simulation de scénarios, apprentissage par renforcement) peuvent être qualifiés de mathématiques au sens strict, leur intégration spécifique dans un système technique avec interface matérielle de capteurs en entrée et signaux de commande modifiant des équipements physiques en sortie, sous contrainte d'un enclavement électronique de sécurité PTW, constitue clairement un « inventive concept » au sens d'Alice et de Diamond v. Diehr.</w:t>
      </w:r>
    </w:p>
    <w:p>
      <w:pPr>
        <w:pStyle w:val="Heading1"/>
        <w:pageBreakBefore/>
        <w:spacing w:after="160" w:before="320"/>
      </w:pPr>
      <w:r>
        <w:rPr>
          <w:b/>
          <w:bCs/>
          <w:sz w:val="32"/>
          <w:szCs w:val="32"/>
        </w:rPr>
        <w:t xml:space="preserve">10. SUGGESTIONS DE STRATÉGIE DE REVENDICATIONS POUR LE CPI</w:t>
      </w:r>
    </w:p>
    <w:p>
      <w:pPr>
        <w:pStyle w:val="Heading2"/>
        <w:spacing w:after="120" w:before="240"/>
      </w:pPr>
      <w:r>
        <w:rPr>
          <w:b/>
          <w:bCs/>
          <w:sz w:val="26"/>
          <w:szCs w:val="26"/>
        </w:rPr>
        <w:t xml:space="preserve">10.1 Architecture proposée</w:t>
      </w:r>
    </w:p>
    <w:p>
      <w:pPr>
        <w:spacing w:after="60" w:before="60"/>
        <w:jc w:val="both"/>
      </w:pPr>
      <w:r>
        <w:t xml:space="preserve">Le projet v3 propose 20 revendications. Le CPI peut envisager :</w:t>
      </w:r>
    </w:p>
    <w:p>
      <w:pPr>
        <w:pStyle w:val="ListParagraph"/>
        <w:numPr>
          <w:ilvl w:val="0"/>
          <w:numId w:val="2"/>
        </w:numPr>
        <w:spacing w:after="30" w:before="30"/>
        <w:jc w:val="both"/>
      </w:pPr>
      <w:r>
        <w:t xml:space="preserve">Revendication 1 principale forte couvrant les 8 modules (a-h) avec formulation systémique et insistance sur l'enclavement électronique matériel ;</w:t>
      </w:r>
    </w:p>
    <w:p>
      <w:pPr>
        <w:pStyle w:val="ListParagraph"/>
        <w:numPr>
          <w:ilvl w:val="0"/>
          <w:numId w:val="2"/>
        </w:numPr>
        <w:spacing w:after="30" w:before="30"/>
        <w:jc w:val="both"/>
      </w:pPr>
      <w:r>
        <w:t xml:space="preserve">Groupes thématiques de revendications dépendantes : (i) interface et diagnostic ; (ii) automatisation graduée ; (iii) arbitrage multi-actifs ; (iv) simulation prospective ; (v) enclave PTW ; (vi) apprentissage post-action ; (vii) journal et conformité.</w:t>
      </w:r>
    </w:p>
    <w:p>
      <w:pPr>
        <w:pStyle w:val="ListParagraph"/>
        <w:numPr>
          <w:ilvl w:val="0"/>
          <w:numId w:val="2"/>
        </w:numPr>
        <w:spacing w:after="30" w:before="30"/>
        <w:jc w:val="both"/>
      </w:pPr>
      <w:r>
        <w:t xml:space="preserve">Revendications de procédé (17), produit programme (18), couplage avec Brevet 1 (19) — déjà présentes dans le v3.</w:t>
      </w:r>
    </w:p>
    <w:p>
      <w:pPr>
        <w:pStyle w:val="Heading2"/>
        <w:spacing w:after="120" w:before="240"/>
      </w:pPr>
      <w:r>
        <w:rPr>
          <w:b/>
          <w:bCs/>
          <w:sz w:val="26"/>
          <w:szCs w:val="26"/>
        </w:rPr>
        <w:t xml:space="preserve">10.2 Positions de repli identifiées</w:t>
      </w:r>
    </w:p>
    <w:p>
      <w:pPr>
        <w:pStyle w:val="ListParagraph"/>
        <w:numPr>
          <w:ilvl w:val="0"/>
          <w:numId w:val="3"/>
        </w:numPr>
        <w:spacing w:after="30" w:before="30"/>
        <w:jc w:val="both"/>
      </w:pPr>
      <w:r>
        <w:t xml:space="preserve">Position n° 1 : retirer l'arbitrage multi-actifs et la simulation prospective, reformulation centrée sur [automatisation graduée + enclave PTW + apprentissage post-action]. C'est la position défensive de cœur — l'enclave PTW est l'élément le plus original et le moins contestable.</w:t>
      </w:r>
    </w:p>
    <w:p>
      <w:pPr>
        <w:pStyle w:val="ListParagraph"/>
        <w:numPr>
          <w:ilvl w:val="0"/>
          <w:numId w:val="3"/>
        </w:numPr>
        <w:spacing w:after="30" w:before="30"/>
        <w:jc w:val="both"/>
      </w:pPr>
      <w:r>
        <w:t xml:space="preserve">Position n° 2 : retirer l'enclave PTW (si rejet) et reformulation centrée sur [automatisation graduée + arbitrage multi-actifs + simulation prospective]. C'est la position business-value, axée sur l'optimisation économique.</w:t>
      </w:r>
    </w:p>
    <w:p>
      <w:pPr>
        <w:pStyle w:val="ListParagraph"/>
        <w:numPr>
          <w:ilvl w:val="0"/>
          <w:numId w:val="3"/>
        </w:numPr>
        <w:spacing w:after="30" w:before="30"/>
        <w:jc w:val="both"/>
      </w:pPr>
      <w:r>
        <w:t xml:space="preserve">Position n° 3 (ultime) : revendication centrée uniquement sur le dispositif d'enclavement électronique conditionné PTW interposé matériellement en série, conforme IEC 61508 SIL 2. C'est la position safety pure, hautement défensive.</w:t>
      </w:r>
    </w:p>
    <w:p>
      <w:pPr>
        <w:pStyle w:val="Heading2"/>
        <w:spacing w:after="120" w:before="240"/>
      </w:pPr>
      <w:r>
        <w:rPr>
          <w:b/>
          <w:bCs/>
          <w:sz w:val="26"/>
          <w:szCs w:val="26"/>
        </w:rPr>
        <w:t xml:space="preserve">10.3 Suggestions de revendications complémentaires à ajouter</w:t>
      </w:r>
    </w:p>
    <w:p>
      <w:pPr>
        <w:pStyle w:val="ListParagraph"/>
        <w:numPr>
          <w:ilvl w:val="0"/>
          <w:numId w:val="3"/>
        </w:numPr>
        <w:spacing w:after="30" w:before="30"/>
        <w:jc w:val="both"/>
      </w:pPr>
      <w:r>
        <w:t xml:space="preserve">Revendication sur la conformité explicite à IEC 61508 SIL 2 ou SIL 3 du dispositif d'enclavement, avec mention de la PFD cible ;</w:t>
      </w:r>
    </w:p>
    <w:p>
      <w:pPr>
        <w:pStyle w:val="ListParagraph"/>
        <w:numPr>
          <w:ilvl w:val="0"/>
          <w:numId w:val="3"/>
        </w:numPr>
        <w:spacing w:after="30" w:before="30"/>
        <w:jc w:val="both"/>
      </w:pPr>
      <w:r>
        <w:t xml:space="preserve">Revendication sur l'apprentissage automatique du graphe inter-actifs à partir des corrélations observées entre événements sur différents actifs ;</w:t>
      </w:r>
    </w:p>
    <w:p>
      <w:pPr>
        <w:pStyle w:val="ListParagraph"/>
        <w:numPr>
          <w:ilvl w:val="0"/>
          <w:numId w:val="3"/>
        </w:numPr>
        <w:spacing w:after="30" w:before="30"/>
        <w:jc w:val="both"/>
      </w:pPr>
      <w:r>
        <w:t xml:space="preserve">Revendication sur l'extension de la simulation prospective à un horizon glissant (rolling-horizon) avec ré-évaluation périodique ;</w:t>
      </w:r>
    </w:p>
    <w:p>
      <w:pPr>
        <w:pStyle w:val="ListParagraph"/>
        <w:numPr>
          <w:ilvl w:val="0"/>
          <w:numId w:val="3"/>
        </w:numPr>
        <w:spacing w:after="30" w:before="30"/>
        <w:jc w:val="both"/>
      </w:pPr>
      <w:r>
        <w:t xml:space="preserve">Revendication sur le format d'échange JSON-LD du plan d'action optimisé avec autres systèmes (interopérabilité).</w:t>
      </w:r>
    </w:p>
    <w:p>
      <w:pPr>
        <w:pStyle w:val="Heading2"/>
        <w:spacing w:after="120" w:before="240"/>
      </w:pPr>
      <w:r>
        <w:rPr>
          <w:b/>
          <w:bCs/>
          <w:sz w:val="26"/>
          <w:szCs w:val="26"/>
        </w:rPr>
        <w:t xml:space="preserve">10.4 Pièges à éviter</w:t>
      </w:r>
    </w:p>
    <w:p>
      <w:pPr>
        <w:pStyle w:val="ListParagraph"/>
        <w:numPr>
          <w:ilvl w:val="0"/>
          <w:numId w:val="3"/>
        </w:numPr>
        <w:spacing w:after="30" w:before="30"/>
        <w:jc w:val="both"/>
      </w:pPr>
      <w:r>
        <w:t xml:space="preserve">Ne pas revendiquer « optimisation par intelligence artificielle » mais « optimisation multi-objectifs sous contraintes » (vocabulaire technique non abstractif) ;</w:t>
      </w:r>
    </w:p>
    <w:p>
      <w:pPr>
        <w:pStyle w:val="ListParagraph"/>
        <w:numPr>
          <w:ilvl w:val="0"/>
          <w:numId w:val="3"/>
        </w:numPr>
        <w:spacing w:after="30" w:before="30"/>
        <w:jc w:val="both"/>
      </w:pPr>
      <w:r>
        <w:t xml:space="preserve">Ne pas revendiquer « apprentissage automatique » mais « ajustement par retour observé » (idem) ;</w:t>
      </w:r>
    </w:p>
    <w:p>
      <w:pPr>
        <w:pStyle w:val="ListParagraph"/>
        <w:numPr>
          <w:ilvl w:val="0"/>
          <w:numId w:val="3"/>
        </w:numPr>
        <w:spacing w:after="30" w:before="30"/>
        <w:jc w:val="both"/>
      </w:pPr>
      <w:r>
        <w:t xml:space="preserve">Maintenir partout l'expression « signaux de commande techniques destinés à modifier le fonctionnement opérationnel d'équipements industriels physiques » qui ancre l'effet technique ;</w:t>
      </w:r>
    </w:p>
    <w:p>
      <w:pPr>
        <w:pStyle w:val="ListParagraph"/>
        <w:numPr>
          <w:ilvl w:val="0"/>
          <w:numId w:val="3"/>
        </w:numPr>
        <w:spacing w:after="30" w:before="30"/>
        <w:jc w:val="both"/>
      </w:pPr>
      <w:r>
        <w:t xml:space="preserve">Préciser systématiquement « interposé matériellement en série dans la chaîne de commande sortante » pour le dispositif d'enclavement — c'est le caractère matériel qui blinde l'éligibilité brevetable.</w:t>
      </w:r>
    </w:p>
    <w:p>
      <w:pPr>
        <w:pStyle w:val="Heading1"/>
        <w:pageBreakBefore/>
        <w:spacing w:after="160" w:before="320"/>
      </w:pPr>
      <w:r>
        <w:rPr>
          <w:b/>
          <w:bCs/>
          <w:sz w:val="32"/>
          <w:szCs w:val="32"/>
        </w:rPr>
        <w:t xml:space="preserve">11. RISQUES D'EXAMEN ET STRATÉGIES DE RÉPONSE</w:t>
      </w:r>
    </w:p>
    <w:p>
      <w:pPr>
        <w:pStyle w:val="Heading2"/>
        <w:spacing w:after="120" w:before="240"/>
      </w:pPr>
      <w:r>
        <w:rPr>
          <w:b/>
          <w:bCs/>
          <w:sz w:val="26"/>
          <w:szCs w:val="26"/>
        </w:rPr>
        <w:t xml:space="preserve">11.1 Risque n° 1 — Objection sur le caractère technique</w:t>
      </w:r>
    </w:p>
    <w:p>
      <w:pPr>
        <w:spacing w:after="60" w:before="60"/>
        <w:jc w:val="both"/>
      </w:pPr>
      <w:r>
        <w:t xml:space="preserve">Risque : l'examinateur peut considérer que l'optimisation multi-actifs, la simulation prospective et l'apprentissage post-action relèvent de méthodes mathématiques pures.</w:t>
      </w:r>
    </w:p>
    <w:p>
      <w:pPr>
        <w:spacing w:after="60" w:before="60"/>
        <w:jc w:val="both"/>
      </w:pPr>
      <w:r>
        <w:t xml:space="preserve">Stratégie : invoquer T 1227/05 (« Schaltkreissimulation ») et G 1/19 sur les simulations techniques, en soulignant que la simulation prospective ici est intégrée dans une boucle de génération de signaux de commande modifiant des équipements industriels physiques. L'enclavement matériel en série est l'argument-clé : c'est un dispositif technique tangible, pas une méthode.</w:t>
      </w:r>
    </w:p>
    <w:p>
      <w:pPr>
        <w:pStyle w:val="Heading2"/>
        <w:spacing w:after="120" w:before="240"/>
      </w:pPr>
      <w:r>
        <w:rPr>
          <w:b/>
          <w:bCs/>
          <w:sz w:val="26"/>
          <w:szCs w:val="26"/>
        </w:rPr>
        <w:t xml:space="preserve">11.2 Risque n° 2 — Objection sur l'évidence de la combinaison</w:t>
      </w:r>
    </w:p>
    <w:p>
      <w:pPr>
        <w:spacing w:after="60" w:before="60"/>
        <w:jc w:val="both"/>
      </w:pPr>
      <w:r>
        <w:t xml:space="preserve">Risque : l'examinateur peut considérer que combiner une optimisation multi-objectifs avec une simulation prospective et un PTW électronique est évident pour l'homme du métier.</w:t>
      </w:r>
    </w:p>
    <w:p>
      <w:pPr>
        <w:spacing w:after="60" w:before="60"/>
        <w:jc w:val="both"/>
      </w:pPr>
      <w:r>
        <w:t xml:space="preserve">Stratégie : démontrer l'effet synergique multi-niveau (section 9.3), produire les statistiques économiques des publications académiques (Nguyen et al. 2024 : −31,68 % de coût total), et insister sur l'innovation spécifique du couplage technique entre la chaîne de commande automatisée et le PTW (jamais publiée).</w:t>
      </w:r>
    </w:p>
    <w:p>
      <w:pPr>
        <w:pStyle w:val="Heading2"/>
        <w:spacing w:after="120" w:before="240"/>
      </w:pPr>
      <w:r>
        <w:rPr>
          <w:b/>
          <w:bCs/>
          <w:sz w:val="26"/>
          <w:szCs w:val="26"/>
        </w:rPr>
        <w:t xml:space="preserve">11.3 Risque n° 3 — Objection sur la portée des revendications</w:t>
      </w:r>
    </w:p>
    <w:p>
      <w:pPr>
        <w:spacing w:after="60" w:before="60"/>
        <w:jc w:val="both"/>
      </w:pPr>
      <w:r>
        <w:t xml:space="preserve">Risque : l'examinateur peut juger la revendication 1 trop large couvrant tout système combinant les modules a-h.</w:t>
      </w:r>
    </w:p>
    <w:p>
      <w:pPr>
        <w:spacing w:after="60" w:before="60"/>
        <w:jc w:val="both"/>
      </w:pPr>
      <w:r>
        <w:t xml:space="preserve">Stratégie : préparer dès le dépôt des positions de repli formalisées (section 10.2) et envisager un dépôt divisionnaire séparant les composantes les plus original (par exemple un brevet divisionnaire spécifique sur l'enclavement électronique PTW pour les industries SIL 3).</w:t>
      </w:r>
    </w:p>
    <w:p>
      <w:pPr>
        <w:pStyle w:val="Heading2"/>
        <w:spacing w:after="120" w:before="240"/>
      </w:pPr>
      <w:r>
        <w:rPr>
          <w:b/>
          <w:bCs/>
          <w:sz w:val="26"/>
          <w:szCs w:val="26"/>
        </w:rPr>
        <w:t xml:space="preserve">11.4 Plan de prosecution recommandé</w:t>
      </w:r>
    </w:p>
    <w:p>
      <w:pPr>
        <w:spacing w:after="60" w:before="60"/>
        <w:jc w:val="both"/>
      </w:pPr>
      <w:r>
        <w:t xml:space="preserve">Identique au plan du Brevet n° 1 : dépôt INPI → PCT → phases nationales OEB, USPTO, OAPI. Pour le Brevet n° 2, envisager spécifiquement une stratégie d'« inside compliance » auprès des grandes raffineries pétrochimiques (TotalEnergies, Shell, ExxonMobil) et des opérateurs nucléaires (EDF, Framatome, Westinghouse) qui sont les acheteurs naturels de cette technologie de sécurité fonctionnelle.</w:t>
      </w:r>
    </w:p>
    <w:p>
      <w:pPr>
        <w:pStyle w:val="Heading1"/>
        <w:pageBreakBefore/>
        <w:spacing w:after="160" w:before="320"/>
      </w:pPr>
      <w:r>
        <w:rPr>
          <w:b/>
          <w:bCs/>
          <w:sz w:val="32"/>
          <w:szCs w:val="32"/>
        </w:rPr>
        <w:t xml:space="preserve">12. ANNEXE — BIBLIOGRAPHIE COMPLÈTE</w:t>
      </w:r>
    </w:p>
    <w:p>
      <w:pPr>
        <w:pStyle w:val="Heading2"/>
        <w:spacing w:after="120" w:before="240"/>
      </w:pPr>
      <w:r>
        <w:rPr>
          <w:b/>
          <w:bCs/>
          <w:sz w:val="26"/>
          <w:szCs w:val="26"/>
        </w:rPr>
        <w:t xml:space="preserve">12.1 Ouvrages de référence</w:t>
      </w:r>
    </w:p>
    <w:p>
      <w:pPr>
        <w:spacing w:after="30" w:before="30"/>
        <w:ind w:left="360" w:hanging="360"/>
        <w:jc w:val="both"/>
      </w:pPr>
      <w:r>
        <w:rPr>
          <w:sz w:val="20"/>
          <w:szCs w:val="20"/>
        </w:rPr>
        <w:t xml:space="preserve">Åström K. J., Wittenmark B. (2008). Adaptive Control, 2nd edition. Dover Publications.</w:t>
      </w:r>
    </w:p>
    <w:p>
      <w:pPr>
        <w:spacing w:after="30" w:before="30"/>
        <w:ind w:left="360" w:hanging="360"/>
        <w:jc w:val="both"/>
      </w:pPr>
      <w:r>
        <w:rPr>
          <w:sz w:val="20"/>
          <w:szCs w:val="20"/>
        </w:rPr>
        <w:t xml:space="preserve">Banks J., Carson J. S., Nelson B. L., Nicol D. M. (2010). Discrete-Event System Simulation, 5th edition. Pearson.</w:t>
      </w:r>
    </w:p>
    <w:p>
      <w:pPr>
        <w:spacing w:after="30" w:before="30"/>
        <w:ind w:left="360" w:hanging="360"/>
        <w:jc w:val="both"/>
      </w:pPr>
      <w:r>
        <w:rPr>
          <w:sz w:val="20"/>
          <w:szCs w:val="20"/>
        </w:rPr>
        <w:t xml:space="preserve">Brigham E. F., Ehrhardt M. C. (2014). Financial Management: Theory and Practice, 14th edition. Cengage Learning.</w:t>
      </w:r>
    </w:p>
    <w:p>
      <w:pPr>
        <w:spacing w:after="30" w:before="30"/>
        <w:ind w:left="360" w:hanging="360"/>
        <w:jc w:val="both"/>
      </w:pPr>
      <w:r>
        <w:rPr>
          <w:sz w:val="20"/>
          <w:szCs w:val="20"/>
        </w:rPr>
        <w:t xml:space="preserve">Crowl D. A., Louvar J. F. (2002). Chemical Process Safety: Fundamentals with Applications. Prentice Hall.</w:t>
      </w:r>
    </w:p>
    <w:p>
      <w:pPr>
        <w:spacing w:after="30" w:before="30"/>
        <w:ind w:left="360" w:hanging="360"/>
        <w:jc w:val="both"/>
      </w:pPr>
      <w:r>
        <w:rPr>
          <w:sz w:val="20"/>
          <w:szCs w:val="20"/>
        </w:rPr>
        <w:t xml:space="preserve">Gelman A. et al. (2014). Bayesian Data Analysis, 3rd edition. CRC Press.</w:t>
      </w:r>
    </w:p>
    <w:p>
      <w:pPr>
        <w:spacing w:after="30" w:before="30"/>
        <w:ind w:left="360" w:hanging="360"/>
        <w:jc w:val="both"/>
      </w:pPr>
      <w:r>
        <w:rPr>
          <w:sz w:val="20"/>
          <w:szCs w:val="20"/>
        </w:rPr>
        <w:t xml:space="preserve">Goldberg D. E. (1989). Genetic Algorithms in Search, Optimization and Machine Learning. Addison-Wesley.</w:t>
      </w:r>
    </w:p>
    <w:p>
      <w:pPr>
        <w:spacing w:after="30" w:before="30"/>
        <w:ind w:left="360" w:hanging="360"/>
        <w:jc w:val="both"/>
      </w:pPr>
      <w:r>
        <w:rPr>
          <w:sz w:val="20"/>
          <w:szCs w:val="20"/>
        </w:rPr>
        <w:t xml:space="preserve">Keeney R. L., Raiffa H. (1976). Decisions with Multiple Objectives: Preferences and Value Trade-offs. Cambridge University Press.</w:t>
      </w:r>
    </w:p>
    <w:p>
      <w:pPr>
        <w:spacing w:after="30" w:before="30"/>
        <w:ind w:left="360" w:hanging="360"/>
        <w:jc w:val="both"/>
      </w:pPr>
      <w:r>
        <w:rPr>
          <w:sz w:val="20"/>
          <w:szCs w:val="20"/>
        </w:rPr>
        <w:t xml:space="preserve">Khalil H. K. (2002). Nonlinear Systems, 3rd edition. Prentice Hall.</w:t>
      </w:r>
    </w:p>
    <w:p>
      <w:pPr>
        <w:spacing w:after="30" w:before="30"/>
        <w:ind w:left="360" w:hanging="360"/>
        <w:jc w:val="both"/>
      </w:pPr>
      <w:r>
        <w:rPr>
          <w:sz w:val="20"/>
          <w:szCs w:val="20"/>
        </w:rPr>
        <w:t xml:space="preserve">Kjellén U. (2000). Prevention of Accidents Through Experience Feedback. Taylor &amp; Francis.</w:t>
      </w:r>
    </w:p>
    <w:p>
      <w:pPr>
        <w:spacing w:after="30" w:before="30"/>
        <w:ind w:left="360" w:hanging="360"/>
        <w:jc w:val="both"/>
      </w:pPr>
      <w:r>
        <w:rPr>
          <w:sz w:val="20"/>
          <w:szCs w:val="20"/>
        </w:rPr>
        <w:t xml:space="preserve">Schwartz P. (1991). The Art of the Long View: Planning for the Future in an Uncertain World. Doubleday.</w:t>
      </w:r>
    </w:p>
    <w:p>
      <w:pPr>
        <w:spacing w:after="30" w:before="30"/>
        <w:ind w:left="360" w:hanging="360"/>
        <w:jc w:val="both"/>
      </w:pPr>
      <w:r>
        <w:rPr>
          <w:sz w:val="20"/>
          <w:szCs w:val="20"/>
        </w:rPr>
        <w:t xml:space="preserve">Sutton R. S., Barto A. G. (2018). Reinforcement Learning: An Introduction, 2nd edition. MIT Press.</w:t>
      </w:r>
    </w:p>
    <w:p>
      <w:pPr>
        <w:pStyle w:val="Heading2"/>
        <w:spacing w:after="120" w:before="240"/>
      </w:pPr>
      <w:r>
        <w:rPr>
          <w:b/>
          <w:bCs/>
          <w:sz w:val="26"/>
          <w:szCs w:val="26"/>
        </w:rPr>
        <w:t xml:space="preserve">12.2 Articles de revue à comité de lecture</w:t>
      </w:r>
    </w:p>
    <w:p>
      <w:pPr>
        <w:spacing w:after="30" w:before="30"/>
        <w:ind w:left="360" w:hanging="360"/>
        <w:jc w:val="both"/>
      </w:pPr>
      <w:r>
        <w:rPr>
          <w:sz w:val="20"/>
          <w:szCs w:val="20"/>
        </w:rPr>
        <w:t xml:space="preserve">Adams C., Cain P., Pinkas D., Zuccherato R. (2001). Internet X.509 Public Key Infrastructure Time-Stamp Protocol (TSP). RFC 3161.</w:t>
      </w:r>
    </w:p>
    <w:p>
      <w:pPr>
        <w:spacing w:after="30" w:before="30"/>
        <w:ind w:left="360" w:hanging="360"/>
        <w:jc w:val="both"/>
      </w:pPr>
      <w:r>
        <w:rPr>
          <w:sz w:val="20"/>
          <w:szCs w:val="20"/>
        </w:rPr>
        <w:t xml:space="preserve">Bainbridge L. (1983). Ironies of automation. Automatica, 19(6):775-779.</w:t>
      </w:r>
    </w:p>
    <w:p>
      <w:pPr>
        <w:spacing w:after="30" w:before="30"/>
        <w:ind w:left="360" w:hanging="360"/>
        <w:jc w:val="both"/>
      </w:pPr>
      <w:r>
        <w:rPr>
          <w:sz w:val="20"/>
          <w:szCs w:val="20"/>
        </w:rPr>
        <w:t xml:space="preserve">Bernstein D. J., Duif N., Lange T., Schwabe P., Yang B.-Y. (2012). High-speed high-security signatures. Journal of Cryptographic Engineering, 2(2):77-89.</w:t>
      </w:r>
    </w:p>
    <w:p>
      <w:pPr>
        <w:spacing w:after="30" w:before="30"/>
        <w:ind w:left="360" w:hanging="360"/>
        <w:jc w:val="both"/>
      </w:pPr>
      <w:r>
        <w:rPr>
          <w:sz w:val="20"/>
          <w:szCs w:val="20"/>
        </w:rPr>
        <w:t xml:space="preserve">Castanier B., Grall A., Bérenguer C. (2005). A condition-based maintenance policy with non-periodic inspections for a two-unit series system. Reliability Engineering &amp; System Safety, 87(1):109-120.</w:t>
      </w:r>
    </w:p>
    <w:p>
      <w:pPr>
        <w:spacing w:after="30" w:before="30"/>
        <w:ind w:left="360" w:hanging="360"/>
        <w:jc w:val="both"/>
      </w:pPr>
      <w:r>
        <w:rPr>
          <w:sz w:val="20"/>
          <w:szCs w:val="20"/>
        </w:rPr>
        <w:t xml:space="preserve">Cho I. D., Parlar M. (1991). A survey of maintenance models for multi-unit systems. European Journal of Operational Research, 51(1):1-23.</w:t>
      </w:r>
    </w:p>
    <w:p>
      <w:pPr>
        <w:spacing w:after="30" w:before="30"/>
        <w:ind w:left="360" w:hanging="360"/>
        <w:jc w:val="both"/>
      </w:pPr>
      <w:r>
        <w:rPr>
          <w:sz w:val="20"/>
          <w:szCs w:val="20"/>
        </w:rPr>
        <w:t xml:space="preserve">Eddy D. M. (1990). Anatomy of a decision. JAMA, 263(3):441-443.</w:t>
      </w:r>
    </w:p>
    <w:p>
      <w:pPr>
        <w:spacing w:after="30" w:before="30"/>
        <w:ind w:left="360" w:hanging="360"/>
        <w:jc w:val="both"/>
      </w:pPr>
      <w:r>
        <w:rPr>
          <w:sz w:val="20"/>
          <w:szCs w:val="20"/>
        </w:rPr>
        <w:t xml:space="preserve">Ellram L. M. (1995). Total cost of ownership: an analysis approach for purchasing. International Journal of Physical Distribution &amp; Logistics Management, 25(8):4-23.</w:t>
      </w:r>
    </w:p>
    <w:p>
      <w:pPr>
        <w:spacing w:after="30" w:before="30"/>
        <w:ind w:left="360" w:hanging="360"/>
        <w:jc w:val="both"/>
      </w:pPr>
      <w:r>
        <w:rPr>
          <w:sz w:val="20"/>
          <w:szCs w:val="20"/>
        </w:rPr>
        <w:t xml:space="preserve">Endsley M. R. (1995). Toward a theory of situation awareness in dynamic systems. Human Factors, 37(1):32-64.</w:t>
      </w:r>
    </w:p>
    <w:p>
      <w:pPr>
        <w:spacing w:after="30" w:before="30"/>
        <w:ind w:left="360" w:hanging="360"/>
        <w:jc w:val="both"/>
      </w:pPr>
      <w:r>
        <w:rPr>
          <w:sz w:val="20"/>
          <w:szCs w:val="20"/>
        </w:rPr>
        <w:t xml:space="preserve">Endsley M. R., Kaber D. B. (1999). Level of automation effects on performance, situation awareness and workload in a dynamic control task. Ergonomics, 42(3):462-492.</w:t>
      </w:r>
    </w:p>
    <w:p>
      <w:pPr>
        <w:spacing w:after="30" w:before="30"/>
        <w:ind w:left="360" w:hanging="360"/>
        <w:jc w:val="both"/>
      </w:pPr>
      <w:r>
        <w:rPr>
          <w:sz w:val="20"/>
          <w:szCs w:val="20"/>
        </w:rPr>
        <w:t xml:space="preserve">Forgy C. L. (1982). Rete: A fast algorithm for the many pattern/many object pattern match problem. Artificial Intelligence, 19(1):17-37.</w:t>
      </w:r>
    </w:p>
    <w:p>
      <w:pPr>
        <w:spacing w:after="30" w:before="30"/>
        <w:ind w:left="360" w:hanging="360"/>
        <w:jc w:val="both"/>
      </w:pPr>
      <w:r>
        <w:rPr>
          <w:sz w:val="20"/>
          <w:szCs w:val="20"/>
        </w:rPr>
        <w:t xml:space="preserve">Frohm J., Lindström V., Winroth M., Stahre J. (2008). Levels of automation in manufacturing. Ergonomia — An International Journal of Ergonomics and Human Factors, 30(3).</w:t>
      </w:r>
    </w:p>
    <w:p>
      <w:pPr>
        <w:spacing w:after="30" w:before="30"/>
        <w:ind w:left="360" w:hanging="360"/>
        <w:jc w:val="both"/>
      </w:pPr>
      <w:r>
        <w:rPr>
          <w:sz w:val="20"/>
          <w:szCs w:val="20"/>
        </w:rPr>
        <w:t xml:space="preserve">Hall D. L., Llinas J. (1997). An introduction to multisensor data fusion. Proceedings of the IEEE, 85(1):6-23.</w:t>
      </w:r>
    </w:p>
    <w:p>
      <w:pPr>
        <w:spacing w:after="30" w:before="30"/>
        <w:ind w:left="360" w:hanging="360"/>
        <w:jc w:val="both"/>
      </w:pPr>
      <w:r>
        <w:rPr>
          <w:sz w:val="20"/>
          <w:szCs w:val="20"/>
        </w:rPr>
        <w:t xml:space="preserve">Howard R. A. (1966). Information value theory. IEEE Transactions on Systems Science and Cybernetics, 2(1):22-26.</w:t>
      </w:r>
    </w:p>
    <w:p>
      <w:pPr>
        <w:spacing w:after="30" w:before="30"/>
        <w:ind w:left="360" w:hanging="360"/>
        <w:jc w:val="both"/>
      </w:pPr>
      <w:r>
        <w:rPr>
          <w:sz w:val="20"/>
          <w:szCs w:val="20"/>
        </w:rPr>
        <w:t xml:space="preserve">Iddir O. (2020). Permit-to-work systems: lessons from incidents. Loss Prevention Bulletin, IChemE.</w:t>
      </w:r>
    </w:p>
    <w:p>
      <w:pPr>
        <w:spacing w:after="30" w:before="30"/>
        <w:ind w:left="360" w:hanging="360"/>
        <w:jc w:val="both"/>
      </w:pPr>
      <w:r>
        <w:rPr>
          <w:sz w:val="20"/>
          <w:szCs w:val="20"/>
        </w:rPr>
        <w:t xml:space="preserve">Kennedy J., Eberhart R. (1995). Particle swarm optimization. Proceedings of ICNN'95, IEEE International Conference on Neural Networks, 4:1942-1948.</w:t>
      </w:r>
    </w:p>
    <w:p>
      <w:pPr>
        <w:spacing w:after="30" w:before="30"/>
        <w:ind w:left="360" w:hanging="360"/>
        <w:jc w:val="both"/>
      </w:pPr>
      <w:r>
        <w:rPr>
          <w:sz w:val="20"/>
          <w:szCs w:val="20"/>
        </w:rPr>
        <w:t xml:space="preserve">Khaleghi B., Khamis A., Karray F. O., Razavi S. N. (2013). Multisensor data fusion: A review of the state-of-the-art. Information Fusion, 14(1):28-44.</w:t>
      </w:r>
    </w:p>
    <w:p>
      <w:pPr>
        <w:spacing w:after="30" w:before="30"/>
        <w:ind w:left="360" w:hanging="360"/>
        <w:jc w:val="both"/>
      </w:pPr>
      <w:r>
        <w:rPr>
          <w:sz w:val="20"/>
          <w:szCs w:val="20"/>
        </w:rPr>
        <w:t xml:space="preserve">Khorasgani H. et al. (2023). Reinforcement and Deep Reinforcement Learning-based Solutions for Predictive Maintenance: A Survey. arXiv 2307.03860.</w:t>
      </w:r>
    </w:p>
    <w:p>
      <w:pPr>
        <w:spacing w:after="30" w:before="30"/>
        <w:ind w:left="360" w:hanging="360"/>
        <w:jc w:val="both"/>
      </w:pPr>
      <w:r>
        <w:rPr>
          <w:sz w:val="20"/>
          <w:szCs w:val="20"/>
        </w:rPr>
        <w:t xml:space="preserve">Kirkpatrick S., Gelatt C. D., Vecchi M. P. (1983). Optimization by simulated annealing. Science, 220(4598):671-680.</w:t>
      </w:r>
    </w:p>
    <w:p>
      <w:pPr>
        <w:spacing w:after="30" w:before="30"/>
        <w:ind w:left="360" w:hanging="360"/>
        <w:jc w:val="both"/>
      </w:pPr>
      <w:r>
        <w:rPr>
          <w:sz w:val="20"/>
          <w:szCs w:val="20"/>
        </w:rPr>
        <w:t xml:space="preserve">Liu et al. (2024). Multi-level opportunistic predictive maintenance for multi-component systems with economic dependence and assembly/disassembly impacts. Reliability Engineering &amp; System Safety.</w:t>
      </w:r>
    </w:p>
    <w:p>
      <w:pPr>
        <w:spacing w:after="30" w:before="30"/>
        <w:ind w:left="360" w:hanging="360"/>
        <w:jc w:val="both"/>
      </w:pPr>
      <w:r>
        <w:rPr>
          <w:sz w:val="20"/>
          <w:szCs w:val="20"/>
        </w:rPr>
        <w:t xml:space="preserve">Merkle R. C. (1979). Secrecy, Authentication, and Public Key Systems. Stanford University, PhD Thesis.</w:t>
      </w:r>
    </w:p>
    <w:p>
      <w:pPr>
        <w:spacing w:after="30" w:before="30"/>
        <w:ind w:left="360" w:hanging="360"/>
        <w:jc w:val="both"/>
      </w:pPr>
      <w:r>
        <w:rPr>
          <w:sz w:val="20"/>
          <w:szCs w:val="20"/>
        </w:rPr>
        <w:t xml:space="preserve">Nguyen V. T. et al. (2024). A proactive opportunistic maintenance decision model based on reliability in train systems. Reliability Engineering &amp; System Safety.</w:t>
      </w:r>
    </w:p>
    <w:p>
      <w:pPr>
        <w:spacing w:after="30" w:before="30"/>
        <w:ind w:left="360" w:hanging="360"/>
        <w:jc w:val="both"/>
      </w:pPr>
      <w:r>
        <w:rPr>
          <w:sz w:val="20"/>
          <w:szCs w:val="20"/>
        </w:rPr>
        <w:t xml:space="preserve">Parasuraman R., Sheridan T. B., Wickens C. D. (2000). A model for types and levels of human interaction with automation. IEEE Transactions on Systems, Man, and Cybernetics — Part A, 30(3):286-297.</w:t>
      </w:r>
    </w:p>
    <w:p>
      <w:pPr>
        <w:spacing w:after="30" w:before="30"/>
        <w:ind w:left="360" w:hanging="360"/>
        <w:jc w:val="both"/>
      </w:pPr>
      <w:r>
        <w:rPr>
          <w:sz w:val="20"/>
          <w:szCs w:val="20"/>
        </w:rPr>
        <w:t xml:space="preserve">Pasquini A. et al. (2015). Integrated permit-to-work systems for petrochemical sites. Safety Science.</w:t>
      </w:r>
    </w:p>
    <w:p>
      <w:pPr>
        <w:spacing w:after="30" w:before="30"/>
        <w:ind w:left="360" w:hanging="360"/>
        <w:jc w:val="both"/>
      </w:pPr>
      <w:r>
        <w:rPr>
          <w:sz w:val="20"/>
          <w:szCs w:val="20"/>
        </w:rPr>
        <w:t xml:space="preserve">Petrillo A. et al. (2023). An approach for bi-objective maintenance scheduling on a networked system with limited resources. European Journal of Operational Research, vol. 311.</w:t>
      </w:r>
    </w:p>
    <w:p>
      <w:pPr>
        <w:spacing w:after="30" w:before="30"/>
        <w:ind w:left="360" w:hanging="360"/>
        <w:jc w:val="both"/>
      </w:pPr>
      <w:r>
        <w:rPr>
          <w:sz w:val="20"/>
          <w:szCs w:val="20"/>
        </w:rPr>
        <w:t xml:space="preserve">Save L. et al. (2014). A New Level of Automation Taxonomy: a focus on human-machine cooperation. HFES Europe.</w:t>
      </w:r>
    </w:p>
    <w:p>
      <w:pPr>
        <w:spacing w:after="30" w:before="30"/>
        <w:ind w:left="360" w:hanging="360"/>
        <w:jc w:val="both"/>
      </w:pPr>
      <w:r>
        <w:rPr>
          <w:sz w:val="20"/>
          <w:szCs w:val="20"/>
        </w:rPr>
        <w:t xml:space="preserve">Sheridan T. B. (2002). Humans and Automation: System Design and Research Issues. Wiley.</w:t>
      </w:r>
    </w:p>
    <w:p>
      <w:pPr>
        <w:spacing w:after="30" w:before="30"/>
        <w:ind w:left="360" w:hanging="360"/>
        <w:jc w:val="both"/>
      </w:pPr>
      <w:r>
        <w:rPr>
          <w:sz w:val="20"/>
          <w:szCs w:val="20"/>
        </w:rPr>
        <w:t xml:space="preserve">Sheridan T. B., Verplank W. L. (1978). Human and computer control of undersea teleoperators. MIT Man-Machine Systems Laboratory Technical Report.</w:t>
      </w:r>
    </w:p>
    <w:p>
      <w:pPr>
        <w:spacing w:after="30" w:before="30"/>
        <w:ind w:left="360" w:hanging="360"/>
        <w:jc w:val="both"/>
      </w:pPr>
      <w:r>
        <w:rPr>
          <w:sz w:val="20"/>
          <w:szCs w:val="20"/>
        </w:rPr>
        <w:t xml:space="preserve">Sun et al. (2024). Dynamic production scheduling and maintenance planning under opportunistic grouping. Computers in Industry.</w:t>
      </w:r>
    </w:p>
    <w:p>
      <w:pPr>
        <w:spacing w:after="30" w:before="30"/>
        <w:ind w:left="360" w:hanging="360"/>
        <w:jc w:val="both"/>
      </w:pPr>
      <w:r>
        <w:rPr>
          <w:sz w:val="20"/>
          <w:szCs w:val="20"/>
        </w:rPr>
        <w:t xml:space="preserve">Vanstone S. (1992). Responses to NIST's proposal. Communications of the ACM, 35(7):50-52.</w:t>
      </w:r>
    </w:p>
    <w:p>
      <w:pPr>
        <w:spacing w:after="30" w:before="30"/>
        <w:ind w:left="360" w:hanging="360"/>
        <w:jc w:val="both"/>
      </w:pPr>
      <w:r>
        <w:rPr>
          <w:sz w:val="20"/>
          <w:szCs w:val="20"/>
        </w:rPr>
        <w:t xml:space="preserve">Wang B. et al. (2024). A systematic overview of health indicator construction methods for rotating machinery. Engineering Applications of Artificial Intelligence, 138, 109356.</w:t>
      </w:r>
    </w:p>
    <w:p>
      <w:pPr>
        <w:spacing w:after="30" w:before="30"/>
        <w:ind w:left="360" w:hanging="360"/>
        <w:jc w:val="both"/>
      </w:pPr>
      <w:r>
        <w:rPr>
          <w:sz w:val="20"/>
          <w:szCs w:val="20"/>
        </w:rPr>
        <w:t xml:space="preserve">Wickens C. D. et al. (2010). Stages and Levels of Automation: An Integrated Meta-analysis. Sage Publications.</w:t>
      </w:r>
    </w:p>
    <w:p>
      <w:pPr>
        <w:spacing w:after="30" w:before="30"/>
        <w:ind w:left="360" w:hanging="360"/>
        <w:jc w:val="both"/>
      </w:pPr>
      <w:r>
        <w:rPr>
          <w:sz w:val="20"/>
          <w:szCs w:val="20"/>
        </w:rPr>
        <w:t xml:space="preserve">Wildeman R. E., Dekker R., Smit A. C. J. M. (1997). A dynamic policy for grouping maintenance activities. European Journal of Operational Research, 99(3):530-551.</w:t>
      </w:r>
    </w:p>
    <w:p>
      <w:pPr>
        <w:spacing w:after="30" w:before="30"/>
        <w:ind w:left="360" w:hanging="360"/>
        <w:jc w:val="both"/>
      </w:pPr>
      <w:r>
        <w:rPr>
          <w:sz w:val="20"/>
          <w:szCs w:val="20"/>
        </w:rPr>
        <w:t xml:space="preserve">Yang et al. (2024). Opportunistic maintenance strategy optimization considering imperfect maintenance under hybrid unit-level maintenance strategy. Reliability Engineering &amp; System Safety.</w:t>
      </w:r>
    </w:p>
    <w:p>
      <w:pPr>
        <w:spacing w:after="30" w:before="30"/>
        <w:ind w:left="360" w:hanging="360"/>
        <w:jc w:val="both"/>
      </w:pPr>
      <w:r>
        <w:rPr>
          <w:sz w:val="20"/>
          <w:szCs w:val="20"/>
        </w:rPr>
        <w:t xml:space="preserve">Zhang et al. (2024). An optimization framework for opportunistic planning of preventive maintenance activities. Reliability Engineering &amp; System Safety.</w:t>
      </w:r>
    </w:p>
    <w:p>
      <w:pPr>
        <w:pStyle w:val="Heading2"/>
        <w:spacing w:after="120" w:before="240"/>
      </w:pPr>
      <w:r>
        <w:rPr>
          <w:b/>
          <w:bCs/>
          <w:sz w:val="26"/>
          <w:szCs w:val="26"/>
        </w:rPr>
        <w:t xml:space="preserve">12.3 Brevets antérieurs cités</w:t>
      </w:r>
    </w:p>
    <w:p>
      <w:pPr>
        <w:spacing w:after="30" w:before="30"/>
        <w:ind w:left="360" w:hanging="360"/>
        <w:jc w:val="both"/>
      </w:pPr>
      <w:r>
        <w:rPr>
          <w:sz w:val="20"/>
          <w:szCs w:val="20"/>
        </w:rPr>
        <w:t xml:space="preserve">US-9,069,599. Cognitive automation system.</w:t>
      </w:r>
    </w:p>
    <w:p>
      <w:pPr>
        <w:spacing w:after="30" w:before="30"/>
        <w:ind w:left="360" w:hanging="360"/>
        <w:jc w:val="both"/>
      </w:pPr>
      <w:r>
        <w:rPr>
          <w:sz w:val="20"/>
          <w:szCs w:val="20"/>
        </w:rPr>
        <w:t xml:space="preserve">US-10,558,927 (SAP). Maintenance task scheduling.</w:t>
      </w:r>
    </w:p>
    <w:p>
      <w:pPr>
        <w:spacing w:after="30" w:before="30"/>
        <w:ind w:left="360" w:hanging="360"/>
        <w:jc w:val="both"/>
      </w:pPr>
      <w:r>
        <w:rPr>
          <w:sz w:val="20"/>
          <w:szCs w:val="20"/>
        </w:rPr>
        <w:t xml:space="preserve">US-10,719,348. Permit-to-work system.</w:t>
      </w:r>
    </w:p>
    <w:p>
      <w:pPr>
        <w:spacing w:after="30" w:before="30"/>
        <w:ind w:left="360" w:hanging="360"/>
        <w:jc w:val="both"/>
      </w:pPr>
      <w:r>
        <w:rPr>
          <w:sz w:val="20"/>
          <w:szCs w:val="20"/>
        </w:rPr>
        <w:t xml:space="preserve">US-10,803,536 (Oracle EAM). Asset maintenance prioritization.</w:t>
      </w:r>
    </w:p>
    <w:p>
      <w:pPr>
        <w:spacing w:after="30" w:before="30"/>
        <w:ind w:left="360" w:hanging="360"/>
        <w:jc w:val="both"/>
      </w:pPr>
      <w:r>
        <w:rPr>
          <w:sz w:val="20"/>
          <w:szCs w:val="20"/>
        </w:rPr>
        <w:t xml:space="preserve">US-10,963,810 (SAS). Scenario simulation for predictive maintenance planning.</w:t>
      </w:r>
    </w:p>
    <w:p>
      <w:pPr>
        <w:spacing w:after="30" w:before="30"/>
        <w:ind w:left="360" w:hanging="360"/>
        <w:jc w:val="both"/>
      </w:pPr>
      <w:r>
        <w:rPr>
          <w:sz w:val="20"/>
          <w:szCs w:val="20"/>
        </w:rPr>
        <w:t xml:space="preserve">US-11,164,128 (IBM Maximo). Predictive maintenance work order optimization.</w:t>
      </w:r>
    </w:p>
    <w:p>
      <w:pPr>
        <w:spacing w:after="30" w:before="30"/>
        <w:ind w:left="360" w:hanging="360"/>
        <w:jc w:val="both"/>
      </w:pPr>
      <w:r>
        <w:rPr>
          <w:sz w:val="20"/>
          <w:szCs w:val="20"/>
        </w:rPr>
        <w:t xml:space="preserve">US-20200057946-A1. Techniques for Building a Knowledge Graph in Limited Knowledge Domains (réf. famille MAINTRIX).</w:t>
      </w:r>
    </w:p>
    <w:p>
      <w:pPr>
        <w:spacing w:after="30" w:before="30"/>
        <w:ind w:left="360" w:hanging="360"/>
        <w:jc w:val="both"/>
      </w:pPr>
      <w:r>
        <w:rPr>
          <w:sz w:val="20"/>
          <w:szCs w:val="20"/>
        </w:rPr>
        <w:t xml:space="preserve">EP-3,067,777. Système de surveillance avec seuils adaptatifs.</w:t>
      </w:r>
    </w:p>
    <w:p>
      <w:pPr>
        <w:spacing w:after="30" w:before="30"/>
        <w:ind w:left="360" w:hanging="360"/>
        <w:jc w:val="both"/>
      </w:pPr>
      <w:r>
        <w:rPr>
          <w:sz w:val="20"/>
          <w:szCs w:val="20"/>
        </w:rPr>
        <w:t xml:space="preserve">Brevets Enablon, Intelex, Mango sur les workflows PTW dématérialisés (analyse non exhaustive).</w:t>
      </w:r>
    </w:p>
    <w:p>
      <w:pPr>
        <w:pStyle w:val="Heading2"/>
        <w:spacing w:after="120" w:before="240"/>
      </w:pPr>
      <w:r>
        <w:rPr>
          <w:b/>
          <w:bCs/>
          <w:sz w:val="26"/>
          <w:szCs w:val="26"/>
        </w:rPr>
        <w:t xml:space="preserve">12.4 Normes citées</w:t>
      </w:r>
    </w:p>
    <w:p>
      <w:pPr>
        <w:spacing w:after="30" w:before="30"/>
        <w:ind w:left="360" w:hanging="360"/>
        <w:jc w:val="both"/>
      </w:pPr>
      <w:r>
        <w:rPr>
          <w:sz w:val="20"/>
          <w:szCs w:val="20"/>
        </w:rPr>
        <w:t xml:space="preserve">IEC 61508 (1998, révisée 2010, parties 1-7). Functional safety of electrical/electronic/programmable electronic safety-related systems.</w:t>
      </w:r>
    </w:p>
    <w:p>
      <w:pPr>
        <w:spacing w:after="30" w:before="30"/>
        <w:ind w:left="360" w:hanging="360"/>
        <w:jc w:val="both"/>
      </w:pPr>
      <w:r>
        <w:rPr>
          <w:sz w:val="20"/>
          <w:szCs w:val="20"/>
        </w:rPr>
        <w:t xml:space="preserve">IEC 61511 (2003, révisée 2016, parties 1-3). Functional safety — Safety instrumented systems for the process industry sector.</w:t>
      </w:r>
    </w:p>
    <w:p>
      <w:pPr>
        <w:spacing w:after="30" w:before="30"/>
        <w:ind w:left="360" w:hanging="360"/>
        <w:jc w:val="both"/>
      </w:pPr>
      <w:r>
        <w:rPr>
          <w:sz w:val="20"/>
          <w:szCs w:val="20"/>
        </w:rPr>
        <w:t xml:space="preserve">ISO 13849-1:2015. Sécurité des machines — Parties relatives à la sécurité des systèmes de commande — Partie 1 : Principes généraux de conception.</w:t>
      </w:r>
    </w:p>
    <w:p>
      <w:pPr>
        <w:spacing w:after="30" w:before="30"/>
        <w:ind w:left="360" w:hanging="360"/>
        <w:jc w:val="both"/>
      </w:pPr>
      <w:r>
        <w:rPr>
          <w:sz w:val="20"/>
          <w:szCs w:val="20"/>
        </w:rPr>
        <w:t xml:space="preserve">ISO 45001:2018. Systèmes de management de la santé et de la sécurité au travail.</w:t>
      </w:r>
    </w:p>
    <w:p>
      <w:pPr>
        <w:spacing w:after="30" w:before="30"/>
        <w:ind w:left="360" w:hanging="360"/>
        <w:jc w:val="both"/>
      </w:pPr>
      <w:r>
        <w:rPr>
          <w:sz w:val="20"/>
          <w:szCs w:val="20"/>
        </w:rPr>
        <w:t xml:space="preserve">ISO 55000:2014, ISO 55001:2014, ISO 55002:2018. Gestion d'actifs.</w:t>
      </w:r>
    </w:p>
    <w:p>
      <w:pPr>
        <w:spacing w:after="30" w:before="30"/>
        <w:ind w:left="360" w:hanging="360"/>
        <w:jc w:val="both"/>
      </w:pPr>
      <w:r>
        <w:rPr>
          <w:sz w:val="20"/>
          <w:szCs w:val="20"/>
        </w:rPr>
        <w:t xml:space="preserve">ISO 31000:2018. Management du risque — Lignes directrices.</w:t>
      </w:r>
    </w:p>
    <w:p>
      <w:pPr>
        <w:spacing w:after="30" w:before="30"/>
        <w:ind w:left="360" w:hanging="360"/>
        <w:jc w:val="both"/>
      </w:pPr>
      <w:r>
        <w:rPr>
          <w:sz w:val="20"/>
          <w:szCs w:val="20"/>
        </w:rPr>
        <w:t xml:space="preserve">IEC 60812:2018. Failure modes and effects analysis (FMEA and FMECA).</w:t>
      </w:r>
    </w:p>
    <w:p>
      <w:pPr>
        <w:spacing w:after="30" w:before="30"/>
        <w:ind w:left="360" w:hanging="360"/>
        <w:jc w:val="both"/>
      </w:pPr>
      <w:r>
        <w:rPr>
          <w:sz w:val="20"/>
          <w:szCs w:val="20"/>
        </w:rPr>
        <w:t xml:space="preserve">IEC 62264 / ANSI-ISA-95. Enterprise-control system integration.</w:t>
      </w:r>
    </w:p>
    <w:p>
      <w:pPr>
        <w:spacing w:after="30" w:before="30"/>
        <w:ind w:left="360" w:hanging="360"/>
        <w:jc w:val="both"/>
      </w:pPr>
      <w:r>
        <w:rPr>
          <w:sz w:val="20"/>
          <w:szCs w:val="20"/>
        </w:rPr>
        <w:t xml:space="preserve">SAE J3016:2021. Taxonomy and Definitions for Terms Related to Driving Automation Systems for On-Road Motor Vehicles.</w:t>
      </w:r>
    </w:p>
    <w:p>
      <w:pPr>
        <w:spacing w:after="30" w:before="30"/>
        <w:ind w:left="360" w:hanging="360"/>
        <w:jc w:val="both"/>
      </w:pPr>
      <w:r>
        <w:rPr>
          <w:sz w:val="20"/>
          <w:szCs w:val="20"/>
        </w:rPr>
        <w:t xml:space="preserve">RFC 3161 (2001). Internet X.509 Public Key Infrastructure Time-Stamp Protocol (TSP).</w:t>
      </w:r>
    </w:p>
    <w:p>
      <w:pPr>
        <w:spacing w:after="240" w:before="480"/>
        <w:jc w:val="center"/>
      </w:pPr>
      <w:r>
        <w:rPr>
          <w:b/>
          <w:bCs/>
          <w:i/>
          <w:iCs/>
        </w:rPr>
        <w:t xml:space="preserve">— FIN DU DOSSIER SCIENTIFIQUE BREVET N° 2 —</w:t>
      </w:r>
    </w:p>
    <w:p>
      <w:pPr>
        <w:spacing w:before="120"/>
        <w:jc w:val="center"/>
      </w:pPr>
      <w:r>
        <w:rPr>
          <w:i/>
          <w:iCs/>
          <w:sz w:val="18"/>
          <w:szCs w:val="18"/>
        </w:rPr>
        <w:t xml:space="preserve">Document préparatoire à l'usage exclusif du Conseil en Propriété Industrielle. Toutes les références sont indicatives ; la liste finale d'antériorités à citer dans la demande doit être validée par une recherche FTO professionnelle et complétée par une analyse SIL formelle si la voie sécurité fonctionnelle IEC 61508/61511 est retenue.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MAINTRIX-T — Dossier scientifique Brevet n° 2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C9E"/>
      <w:sz w:val="26"/>
      <w:szCs w:val="26"/>
    </w:rPr>
  </w:style>
  <w:style w:type="paragraph" w:styleId="Heading3">
    <w:name w:val="Heading 3"/>
    <w:basedOn w:val="Normal"/>
    <w:next w:val="Normal"/>
    <w:qFormat/>
    <w:pPr>
      <w:spacing w:after="100" w:before="180"/>
      <w:outlineLvl w:val="2"/>
    </w:pPr>
    <w:rPr>
      <w:rFonts w:ascii="Calibri" w:cs="Calibri" w:eastAsia="Calibri" w:hAnsi="Calibri"/>
      <w:b/>
      <w:bCs/>
      <w:i/>
      <w:i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2026-05-17T12:22:16.259Z</dcterms:created>
  <dcterms:modified xsi:type="dcterms:W3CDTF">2026-05-17T12:22:16.261Z</dcterms:modified>
</cp:coreProperties>
</file>

<file path=docProps/custom.xml><?xml version="1.0" encoding="utf-8"?>
<Properties xmlns="http://schemas.openxmlformats.org/officeDocument/2006/custom-properties" xmlns:vt="http://schemas.openxmlformats.org/officeDocument/2006/docPropsVTypes"/>
</file>