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0"/>
          <w:szCs w:val="40"/>
        </w:rPr>
        <w:t xml:space="preserve">DOSSIER SCIENTIFIQUE D'ACCOMPAGNEMENT</w:t>
      </w:r>
    </w:p>
    <w:p>
      <w:pPr>
        <w:spacing w:after="480"/>
        <w:jc w:val="center"/>
      </w:pPr>
      <w:r>
        <w:rPr>
          <w:b/>
          <w:bCs/>
          <w:color w:val="1F3864"/>
          <w:sz w:val="32"/>
          <w:szCs w:val="32"/>
        </w:rPr>
        <w:t xml:space="preserve">BREVET N° 3 — VERSION 3.0</w:t>
      </w:r>
    </w:p>
    <w:p>
      <w:pPr>
        <w:spacing w:after="360"/>
        <w:jc w:val="center"/>
      </w:pPr>
      <w:r>
        <w:rPr>
          <w:i/>
          <w:iCs/>
          <w:sz w:val="28"/>
          <w:szCs w:val="28"/>
        </w:rPr>
        <w:t xml:space="preserve">Système distribué de supervision et de contrôle adaptatif d'équipements industriels multi-sites à architecture hiérarchique, synchronisation incrémentale par agrégation pondérée selon Indice de Similarité Contextuelle, adaptation locale différentielle et auto-calibration par détection de dérive conceptuelle</w:t>
      </w:r>
    </w:p>
    <w:p>
      <w:pPr>
        <w:spacing w:after="720"/>
        <w:jc w:val="center"/>
      </w:pPr>
      <w:r>
        <w:rPr>
          <w:i/>
          <w:iCs/>
          <w:color w:val="5A5A5A"/>
          <w:sz w:val="24"/>
          <w:szCs w:val="24"/>
        </w:rPr>
        <w:t xml:space="preserve">(MAINTRIX-SCA-FED)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Déposant</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MAINTRIX-T</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Objet du dossier</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Argumentaire scientifique et technique destiné au Conseil en Propriété Industrielle pour la rédaction définitive des revendications du Brevet n° 3</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associé</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BREVET_3_v3_Systeme_Supervision_Controle_Adaptatif_Distribue_ISC.docx</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Date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Mai 2026 — Version 1.0</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Classification CIB cible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G05B 23/02 ; G05B 13/02 ; G05B 19/418 (primaires) ; H04L 67/12 ; H04L 9/40</w:t>
            </w:r>
          </w:p>
        </w:tc>
      </w:tr>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Volume</w:t>
            </w:r>
          </w:p>
        </w:tc>
        <w:tc>
          <w:tcPr>
            <w:tcW w:type="dxa" w:w="62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Environ 30 pages — 45+ références — 20 revendications proposées</w:t>
            </w:r>
          </w:p>
        </w:tc>
      </w:tr>
    </w:tbl>
    <w:p>
      <w:r>
        <w:br w:type="page"/>
      </w:r>
    </w:p>
    <w:p>
      <w:pPr>
        <w:pStyle w:val="Heading1"/>
        <w:spacing w:after="160" w:before="320"/>
      </w:pPr>
      <w:r>
        <w:rPr>
          <w:b/>
          <w:bCs/>
          <w:sz w:val="32"/>
          <w:szCs w:val="32"/>
        </w:rPr>
        <w:t xml:space="preserve">SOMMAIRE</w:t>
      </w:r>
    </w:p>
    <w:p>
      <w:pPr>
        <w:spacing w:after="60" w:before="60"/>
        <w:jc w:val="both"/>
      </w:pPr>
      <w:r>
        <w:t xml:space="preserve">1. PRÉAMBULE ET OBJECTIF DU DOSSIER</w:t>
      </w:r>
    </w:p>
    <w:p>
      <w:pPr>
        <w:spacing w:after="60" w:before="60"/>
        <w:jc w:val="both"/>
      </w:pPr>
      <w:r>
        <w:t xml:space="preserve">2. CONTEXTE TECHNIQUE — SUPERVISION DISTRIBUÉE MULTI-SITES</w:t>
      </w:r>
    </w:p>
    <w:p>
      <w:pPr>
        <w:spacing w:after="60" w:before="60"/>
        <w:jc w:val="both"/>
      </w:pPr>
      <w:r>
        <w:t xml:space="preserve">3. FONDEMENTS SCIENTIFIQUES MOBILISÉS</w:t>
      </w:r>
    </w:p>
    <w:p>
      <w:pPr>
        <w:spacing w:after="60" w:before="60"/>
        <w:jc w:val="both"/>
      </w:pPr>
      <w:r>
        <w:t xml:space="preserve">4. ÉTAT DE L'ART ACADÉMIQUE — REVUE DE LITTÉRATURE</w:t>
      </w:r>
    </w:p>
    <w:p>
      <w:pPr>
        <w:spacing w:after="60" w:before="60"/>
        <w:jc w:val="both"/>
      </w:pPr>
      <w:r>
        <w:t xml:space="preserve">5. ÉTAT DE L'ART BREVETS ANTÉRIEURS</w:t>
      </w:r>
    </w:p>
    <w:p>
      <w:pPr>
        <w:spacing w:after="60" w:before="60"/>
        <w:jc w:val="both"/>
      </w:pPr>
      <w:r>
        <w:t xml:space="preserve">6. ÉTAT DE L'ART NORMATIF (RAMI 4.0, IIRA, OPC-UA, NIS2, RGPD)</w:t>
      </w:r>
    </w:p>
    <w:p>
      <w:pPr>
        <w:spacing w:after="60" w:before="60"/>
        <w:jc w:val="both"/>
      </w:pPr>
      <w:r>
        <w:t xml:space="preserve">7. ANALYSE COMPARATIVE ET POSITIONNEMENT DE L'INVENTION</w:t>
      </w:r>
    </w:p>
    <w:p>
      <w:pPr>
        <w:spacing w:after="60" w:before="60"/>
        <w:jc w:val="both"/>
      </w:pPr>
      <w:r>
        <w:t xml:space="preserve">8. BASES THÉORIQUES ET JUSTIFICATION PAR REVENDICATION</w:t>
      </w:r>
    </w:p>
    <w:p>
      <w:pPr>
        <w:spacing w:after="60" w:before="60"/>
        <w:jc w:val="both"/>
      </w:pPr>
      <w:r>
        <w:t xml:space="preserve">9. DÉMONSTRATION DE L'ACTIVITÉ INVENTIVE</w:t>
      </w:r>
    </w:p>
    <w:p>
      <w:pPr>
        <w:spacing w:after="60" w:before="60"/>
        <w:jc w:val="both"/>
      </w:pPr>
      <w:r>
        <w:t xml:space="preserve">10. SUGGESTIONS DE STRATÉGIE DE REVENDICATIONS POUR LE CPI</w:t>
      </w:r>
    </w:p>
    <w:p>
      <w:pPr>
        <w:spacing w:after="60" w:before="60"/>
        <w:jc w:val="both"/>
      </w:pPr>
      <w:r>
        <w:t xml:space="preserve">11. RISQUES D'EXAMEN ET STRATÉGIES DE RÉPONSE</w:t>
      </w:r>
    </w:p>
    <w:p>
      <w:pPr>
        <w:spacing w:after="60" w:before="60"/>
        <w:jc w:val="both"/>
      </w:pPr>
      <w:r>
        <w:t xml:space="preserve">12. ANNEXE — BIBLIOGRAPHIE COMPLÈTE</w:t>
      </w:r>
    </w:p>
    <w:p>
      <w:pPr>
        <w:pStyle w:val="Heading1"/>
        <w:pageBreakBefore/>
        <w:spacing w:after="160" w:before="320"/>
      </w:pPr>
      <w:r>
        <w:rPr>
          <w:b/>
          <w:bCs/>
          <w:sz w:val="32"/>
          <w:szCs w:val="32"/>
        </w:rPr>
        <w:t xml:space="preserve">1. PRÉAMBULE ET OBJECTIF DU DOSSIER</w:t>
      </w:r>
    </w:p>
    <w:p>
      <w:pPr>
        <w:pStyle w:val="Heading2"/>
        <w:spacing w:after="120" w:before="240"/>
      </w:pPr>
      <w:r>
        <w:rPr>
          <w:b/>
          <w:bCs/>
          <w:sz w:val="26"/>
          <w:szCs w:val="26"/>
        </w:rPr>
        <w:t xml:space="preserve">1.1 Public visé et objectifs</w:t>
      </w:r>
    </w:p>
    <w:p>
      <w:pPr>
        <w:spacing w:after="60" w:before="60"/>
        <w:jc w:val="both"/>
      </w:pPr>
      <w:r>
        <w:t xml:space="preserve">Le présent dossier scientifique d'accompagnement est destiné aux Conseils en Propriété Industrielle (CPI) agréés en charge de la rédaction définitive des revendications du Brevet n° 3 de la famille MAINTRIX, ainsi qu'aux examinateurs des offices de brevets (OEB, OAPI, USPTO) susceptibles d'instruire la demande. Il vise à fournir l'argumentaire scientifique permettant de démontrer le caractère technique de l'invention, son positionnement par rapport à l'état de l'art académique et brevets, et la stratégie optimale de rédaction des revendications.</w:t>
      </w:r>
    </w:p>
    <w:p>
      <w:pPr>
        <w:pStyle w:val="Heading2"/>
        <w:spacing w:after="120" w:before="240"/>
      </w:pPr>
      <w:r>
        <w:rPr>
          <w:b/>
          <w:bCs/>
          <w:sz w:val="26"/>
          <w:szCs w:val="26"/>
        </w:rPr>
        <w:t xml:space="preserve">1.2 Spécificité du Brevet n° 3</w:t>
      </w:r>
    </w:p>
    <w:p>
      <w:pPr>
        <w:spacing w:after="60" w:before="60"/>
        <w:jc w:val="both"/>
      </w:pPr>
      <w:r>
        <w:t xml:space="preserve">Le Brevet n° 3 protège un système distribué de supervision et de contrôle adaptatif d'équipements industriels physiques répartis sur une pluralité de sites géographiquement distincts. Il se distingue par cinq mécanismes techniques inédits dans leur intégration :</w:t>
      </w:r>
    </w:p>
    <w:p>
      <w:pPr>
        <w:pStyle w:val="ListParagraph"/>
        <w:numPr>
          <w:ilvl w:val="0"/>
          <w:numId w:val="2"/>
        </w:numPr>
        <w:spacing w:after="30" w:before="30"/>
        <w:jc w:val="both"/>
      </w:pPr>
      <w:r>
        <w:t xml:space="preserve">Une architecture hiérarchique d'unités de traitement à exactement trois niveaux techniques (Equipment Agent, Site Agent, Global Agent) avec mémoires propres et protocole de communication par messages typés à neuf types formels et quatre niveaux de priorité ;</w:t>
      </w:r>
    </w:p>
    <w:p>
      <w:pPr>
        <w:pStyle w:val="ListParagraph"/>
        <w:numPr>
          <w:ilvl w:val="0"/>
          <w:numId w:val="2"/>
        </w:numPr>
        <w:spacing w:after="30" w:before="30"/>
        <w:jc w:val="both"/>
      </w:pPr>
      <w:r>
        <w:t xml:space="preserve">Un mécanisme de synchronisation incrémentale inter-sites transmettant exclusivement des objets ParametersDelta structurés, le schéma de sérialisation excluant structurellement toute donnée opérationnelle brute ;</w:t>
      </w:r>
    </w:p>
    <w:p>
      <w:pPr>
        <w:pStyle w:val="ListParagraph"/>
        <w:numPr>
          <w:ilvl w:val="0"/>
          <w:numId w:val="2"/>
        </w:numPr>
        <w:spacing w:after="30" w:before="30"/>
        <w:jc w:val="both"/>
      </w:pPr>
      <w:r>
        <w:t xml:space="preserve">Un Indice de Similarité Contextuelle (ISC) à quatre dimensions techniques (typologie d'équipement, profil d'usage, stress opérationnel, historique de défaillances) calculé exclusivement sur données agrégées et anonymisées ;</w:t>
      </w:r>
    </w:p>
    <w:p>
      <w:pPr>
        <w:pStyle w:val="ListParagraph"/>
        <w:numPr>
          <w:ilvl w:val="0"/>
          <w:numId w:val="2"/>
        </w:numPr>
        <w:spacing w:after="30" w:before="30"/>
        <w:jc w:val="both"/>
      </w:pPr>
      <w:r>
        <w:t xml:space="preserve">Une agrégation pondérée personnalisée par site cible selon Φ_i = α × ISC + β × Fiabilité + γ × Maturité, et une adaptation locale différentielle préservant la spécialisation des sites matures ;</w:t>
      </w:r>
    </w:p>
    <w:p>
      <w:pPr>
        <w:pStyle w:val="ListParagraph"/>
        <w:numPr>
          <w:ilvl w:val="0"/>
          <w:numId w:val="2"/>
        </w:numPr>
        <w:spacing w:after="30" w:before="30"/>
        <w:jc w:val="both"/>
      </w:pPr>
      <w:r>
        <w:t xml:space="preserve">Un mécanisme d'auto-calibration continue par détection de dérive conceptuelle utilisant la divergence de Kullback-Leibler ou Jensen-Shannon, ajustant dynamiquement les pondérations en réponse aux évolutions des conditions industrielles ;</w:t>
      </w:r>
    </w:p>
    <w:p>
      <w:pPr>
        <w:spacing w:after="60" w:before="60"/>
        <w:jc w:val="both"/>
      </w:pPr>
      <w:r>
        <w:t xml:space="preserve">Auquel s'ajoute un dispositif de confinement multi-locataire à exactement quatre niveaux complémentaires garantissant l'absence de fuite de données entre sites exploités sur infrastructure mutualisée.</w:t>
      </w:r>
    </w:p>
    <w:p>
      <w:pPr>
        <w:pStyle w:val="Heading2"/>
        <w:spacing w:after="120" w:before="240"/>
      </w:pPr>
      <w:r>
        <w:rPr>
          <w:b/>
          <w:bCs/>
          <w:sz w:val="26"/>
          <w:szCs w:val="26"/>
        </w:rPr>
        <w:t xml:space="preserve">1.3 Lien avec les autres brevets de la famille</w:t>
      </w:r>
    </w:p>
    <w:p>
      <w:pPr>
        <w:spacing w:after="60" w:before="60"/>
        <w:jc w:val="both"/>
      </w:pPr>
      <w:r>
        <w:t xml:space="preserve">Le Brevet n° 3 réutilise structurellement la modélisation causale du Brevet n° 1 (revendication 17 : conformité aux 5 types de nœuds + 7 types d'arêtes pondérées) et opère en coordination avec les politiques décisionnelles graduées du Brevet n° 2 dans son protocole d'orchestration inter-sites. Cette cohérence systémique de la famille de trois brevets renforce la défensibilité du portefeuille.</w:t>
      </w:r>
    </w:p>
    <w:p>
      <w:pPr>
        <w:pStyle w:val="Heading1"/>
        <w:pageBreakBefore/>
        <w:spacing w:after="160" w:before="320"/>
      </w:pPr>
      <w:r>
        <w:rPr>
          <w:b/>
          <w:bCs/>
          <w:sz w:val="32"/>
          <w:szCs w:val="32"/>
        </w:rPr>
        <w:t xml:space="preserve">2. CONTEXTE TECHNIQUE — SUPERVISION DISTRIBUÉE MULTI-SITES</w:t>
      </w:r>
    </w:p>
    <w:p>
      <w:pPr>
        <w:pStyle w:val="Heading2"/>
        <w:spacing w:after="120" w:before="240"/>
      </w:pPr>
      <w:r>
        <w:rPr>
          <w:b/>
          <w:bCs/>
          <w:sz w:val="26"/>
          <w:szCs w:val="26"/>
        </w:rPr>
        <w:t xml:space="preserve">2.1 L'enjeu industriel de la supervision multi-sites</w:t>
      </w:r>
    </w:p>
    <w:p>
      <w:pPr>
        <w:spacing w:after="60" w:before="60"/>
        <w:jc w:val="both"/>
      </w:pPr>
      <w:r>
        <w:t xml:space="preserve">Les groupes industriels modernes exploitent fréquemment des dizaines à des centaines de sites géographiquement distincts : par exemple, ArcelorMittal opère 142 sites de production, Suez gère plus de 350 usines de traitement d'eau, EDF exploite 56 réacteurs nucléaires répartis sur 18 sites en France, et les majors pétrolières (TotalEnergies, Shell, ExxonMobil) opèrent des centaines de raffineries et plateformes.</w:t>
      </w:r>
    </w:p>
    <w:p>
      <w:pPr>
        <w:spacing w:after="60" w:before="60"/>
        <w:jc w:val="both"/>
      </w:pPr>
      <w:r>
        <w:t xml:space="preserve">Cette dispersion géographique pose un enjeu technique majeur : comment exploiter techniquement le retour d'expérience opérationnel accumulé sur l'ensemble du parc multi-sites pour améliorer continuellement la qualité du contrôle adaptatif sur chaque site individuel, sans transférer les données opérationnelles brutes (sensibles pour des raisons de concurrence interne, de secret industriel, et de conformité réglementaire RGPD/NIS2) ?</w:t>
      </w:r>
    </w:p>
    <w:p>
      <w:pPr>
        <w:pStyle w:val="Heading2"/>
        <w:spacing w:after="120" w:before="240"/>
      </w:pPr>
      <w:r>
        <w:rPr>
          <w:b/>
          <w:bCs/>
          <w:sz w:val="26"/>
          <w:szCs w:val="26"/>
        </w:rPr>
        <w:t xml:space="preserve">2.2 Limites des approches centralisées et locales</w:t>
      </w:r>
    </w:p>
    <w:p>
      <w:pPr>
        <w:spacing w:after="60" w:before="60"/>
        <w:jc w:val="both"/>
      </w:pPr>
      <w:r>
        <w:t xml:space="preserve">Deux approches classiques s'opposent traditionnellement :</w:t>
      </w:r>
    </w:p>
    <w:p>
      <w:pPr>
        <w:spacing w:after="60" w:before="60"/>
        <w:jc w:val="both"/>
      </w:pPr>
      <w:r>
        <w:t xml:space="preserve">L'approche centralisée consiste à remonter toutes les données capteurs vers un cloud unique pour traitement central (Siemens MindSphere, GE Predix, PTC ThingWorx, AWS IoT SiteWise). Limites : (i) coût et latence de transfert pour des dizaines de milliers d'équipements ; (ii) dépendance critique à la connectivité réseau ; (iii) exposition des données opérationnelles confidentielles à un tiers ; (iv) absence de coordination décentralisée temps réel ; (v) non-conformité potentielle aux réglementations sectorielles de souveraineté des données.</w:t>
      </w:r>
    </w:p>
    <w:p>
      <w:pPr>
        <w:spacing w:after="60" w:before="60"/>
        <w:jc w:val="both"/>
      </w:pPr>
      <w:r>
        <w:t xml:space="preserve">L'approche locale consiste à laisser chaque site fonctionner en silo (DCS traditionnels Honeywell, Yokogawa, ABB). Limites : (i) chaque site repart de zéro lors de son déploiement ; (ii) aucune mutualisation des apprentissages techniques ; (iii) coûts redondants de montée en compétence ; (iv) variance importante de la performance entre sites.</w:t>
      </w:r>
    </w:p>
    <w:p>
      <w:pPr>
        <w:spacing w:after="60" w:before="60"/>
        <w:jc w:val="both"/>
      </w:pPr>
      <w:r>
        <w:t xml:space="preserve">Le Brevet n° 3 propose une troisième voie : l'apprentissage distribué structuré, où chaque site conserve la maîtrise de ses données opérationnelles brutes tout en bénéficiant des adaptations validées sur les autres sites du groupe, par échange exclusif de variations différentielles des paramètres internes de modélisation.</w:t>
      </w:r>
    </w:p>
    <w:p>
      <w:pPr>
        <w:pStyle w:val="Heading2"/>
        <w:spacing w:after="120" w:before="240"/>
      </w:pPr>
      <w:r>
        <w:rPr>
          <w:b/>
          <w:bCs/>
          <w:sz w:val="26"/>
          <w:szCs w:val="26"/>
        </w:rPr>
        <w:t xml:space="preserve">2.3 L'émergence du Federated Learning industriel</w:t>
      </w:r>
    </w:p>
    <w:p>
      <w:pPr>
        <w:spacing w:after="60" w:before="60"/>
        <w:jc w:val="both"/>
      </w:pPr>
      <w:r>
        <w:t xml:space="preserve">Le concept d'apprentissage fédéré (Federated Learning, FL) a été introduit par McMahan et al. (2017) chez Google, initialement pour les applications mobiles (clavier Android). Il a depuis été étendu à de nombreux domaines, dont la santé (hôpitaux fédérés), la finance et plus récemment l'industrie.</w:t>
      </w:r>
    </w:p>
    <w:p>
      <w:pPr>
        <w:spacing w:after="60" w:before="60"/>
        <w:jc w:val="both"/>
      </w:pPr>
      <w:r>
        <w:t xml:space="preserve">L'application du FL à la maintenance prédictive industrielle a fait l'objet de plusieurs publications majeures (Liu et al. 2023 ; Pillutla et al. 2022 ; Kairouz et al. 2021). Toutefois, les approches existantes opèrent sur des modèles paramétriques denses (réseaux de neurones, régressions) et utilisent une agrégation naïve par moyenne arithmétique (FedAvg) pondérée par la taille des échantillons, sans prise en compte de la similarité contextuelle entre sites.</w:t>
      </w:r>
    </w:p>
    <w:p>
      <w:pPr>
        <w:spacing w:after="60" w:before="60"/>
        <w:jc w:val="both"/>
      </w:pPr>
      <w:r>
        <w:t xml:space="preserve">Cette agrégation naïve présente une limitation technique fondamentale en environnement industriel hétérogène : la moyenne arithmétique dégrade les performances lorsque les sites diffèrent fortement (équipements de types distincts, profils opérationnels distincts, environnements distincts). Le Brevet n° 3 résout ce problème par l'introduction de l'ISC et de l'agrégation pondérée personnalisée par site cible.</w:t>
      </w:r>
    </w:p>
    <w:p>
      <w:pPr>
        <w:pStyle w:val="Heading2"/>
        <w:spacing w:after="120" w:before="240"/>
      </w:pPr>
      <w:r>
        <w:rPr>
          <w:b/>
          <w:bCs/>
          <w:sz w:val="26"/>
          <w:szCs w:val="26"/>
        </w:rPr>
        <w:t xml:space="preserve">2.4 Architectures de référence Industrie 4.0</w:t>
      </w:r>
    </w:p>
    <w:p>
      <w:pPr>
        <w:spacing w:after="60" w:before="60"/>
        <w:jc w:val="both"/>
      </w:pPr>
      <w:r>
        <w:t xml:space="preserve">Deux architectures de référence font autorité pour la supervision distribuée Industrie 4.0 :</w:t>
      </w:r>
    </w:p>
    <w:p>
      <w:pPr>
        <w:pStyle w:val="ListParagraph"/>
        <w:numPr>
          <w:ilvl w:val="0"/>
          <w:numId w:val="3"/>
        </w:numPr>
        <w:spacing w:after="30" w:before="30"/>
        <w:jc w:val="both"/>
      </w:pPr>
      <w:r>
        <w:t xml:space="preserve">RAMI 4.0 (Reference Architectural Model Industrie 4.0, DIN SPEC 91345:2016, Allemagne) : modèle tri-dimensionnel avec axes Hierarchy Levels (basé sur IEC 62264), Life Cycle (basé sur IEC 62890), et Layers (Asset, Integration, Communication, Information, Functional, Business) ;</w:t>
      </w:r>
    </w:p>
    <w:p>
      <w:pPr>
        <w:pStyle w:val="ListParagraph"/>
        <w:numPr>
          <w:ilvl w:val="0"/>
          <w:numId w:val="3"/>
        </w:numPr>
        <w:spacing w:after="30" w:before="30"/>
        <w:jc w:val="both"/>
      </w:pPr>
      <w:r>
        <w:t xml:space="preserve">IIRA (Industrial Internet Reference Architecture, Industrial Internet Consortium, États-Unis) : approche par viewpoints (Business, Usage, Functional, Implementation) avec architecture de référence à trois niveaux (Edge, Platform, Enterprise).</w:t>
      </w:r>
    </w:p>
    <w:p>
      <w:pPr>
        <w:spacing w:after="60" w:before="60"/>
        <w:jc w:val="both"/>
      </w:pPr>
      <w:r>
        <w:t xml:space="preserve">Le Brevet n° 3 s'inscrit naturellement dans ces architectures : la couche Edge Tier d'IIRA correspond à l'Equipment Agent et au Site Agent ; la couche Enterprise Tier correspond au Global Agent. Cette inscription standardisée facilite l'adoption commerciale.</w:t>
      </w:r>
    </w:p>
    <w:p>
      <w:pPr>
        <w:pStyle w:val="Heading1"/>
        <w:pageBreakBefore/>
        <w:spacing w:after="160" w:before="320"/>
      </w:pPr>
      <w:r>
        <w:rPr>
          <w:b/>
          <w:bCs/>
          <w:sz w:val="32"/>
          <w:szCs w:val="32"/>
        </w:rPr>
        <w:t xml:space="preserve">3. FONDEMENTS SCIENTIFIQUES MOBILISÉS</w:t>
      </w:r>
    </w:p>
    <w:p>
      <w:pPr>
        <w:pStyle w:val="Heading2"/>
        <w:spacing w:after="120" w:before="240"/>
      </w:pPr>
      <w:r>
        <w:rPr>
          <w:b/>
          <w:bCs/>
          <w:sz w:val="26"/>
          <w:szCs w:val="26"/>
        </w:rPr>
        <w:t xml:space="preserve">3.1 Disciplines mobilisées</w:t>
      </w:r>
    </w:p>
    <w:p>
      <w:pPr>
        <w:spacing w:after="60" w:before="60"/>
        <w:jc w:val="both"/>
      </w:pPr>
      <w:r>
        <w:t xml:space="preserve">Le Brevet n° 3 mobilise un faisceau interdisciplinaire :</w:t>
      </w:r>
    </w:p>
    <w:p>
      <w:pPr>
        <w:pStyle w:val="ListParagraph"/>
        <w:numPr>
          <w:ilvl w:val="0"/>
          <w:numId w:val="3"/>
        </w:numPr>
        <w:spacing w:after="30" w:before="30"/>
        <w:jc w:val="both"/>
      </w:pPr>
      <w:r>
        <w:t xml:space="preserve">Systèmes distribués : architectures multi-agents, protocoles de communication M2M, cohérence distribuée ;</w:t>
      </w:r>
    </w:p>
    <w:p>
      <w:pPr>
        <w:pStyle w:val="ListParagraph"/>
        <w:numPr>
          <w:ilvl w:val="0"/>
          <w:numId w:val="3"/>
        </w:numPr>
        <w:spacing w:after="30" w:before="30"/>
        <w:jc w:val="both"/>
      </w:pPr>
      <w:r>
        <w:t xml:space="preserve">Apprentissage fédéré : FedAvg, FedProx, FedPer, FedAH, personnalisation, agrégation pondérée ;</w:t>
      </w:r>
    </w:p>
    <w:p>
      <w:pPr>
        <w:pStyle w:val="ListParagraph"/>
        <w:numPr>
          <w:ilvl w:val="0"/>
          <w:numId w:val="3"/>
        </w:numPr>
        <w:spacing w:after="30" w:before="30"/>
        <w:jc w:val="both"/>
      </w:pPr>
      <w:r>
        <w:t xml:space="preserve">Théorie de l'information : divergence de Kullback-Leibler, distance de Jensen-Shannon, entropie relative ;</w:t>
      </w:r>
    </w:p>
    <w:p>
      <w:pPr>
        <w:pStyle w:val="ListParagraph"/>
        <w:numPr>
          <w:ilvl w:val="0"/>
          <w:numId w:val="3"/>
        </w:numPr>
        <w:spacing w:after="30" w:before="30"/>
        <w:jc w:val="both"/>
      </w:pPr>
      <w:r>
        <w:t xml:space="preserve">Détection de dérive conceptuelle : ADWIN, Page-Hinkley, DDM, EDDM, méthodes à base de fenêtres glissantes ;</w:t>
      </w:r>
    </w:p>
    <w:p>
      <w:pPr>
        <w:pStyle w:val="ListParagraph"/>
        <w:numPr>
          <w:ilvl w:val="0"/>
          <w:numId w:val="3"/>
        </w:numPr>
        <w:spacing w:after="30" w:before="30"/>
        <w:jc w:val="both"/>
      </w:pPr>
      <w:r>
        <w:t xml:space="preserve">Sécurité informatique : multi-tenant isolation, Row-Level Security, défense en profondeur, cryptographie ;</w:t>
      </w:r>
    </w:p>
    <w:p>
      <w:pPr>
        <w:pStyle w:val="ListParagraph"/>
        <w:numPr>
          <w:ilvl w:val="0"/>
          <w:numId w:val="3"/>
        </w:numPr>
        <w:spacing w:after="30" w:before="30"/>
        <w:jc w:val="both"/>
      </w:pPr>
      <w:r>
        <w:t xml:space="preserve">Théorie de la similarité statistique : indice de Jaccard, distances entre distributions ;</w:t>
      </w:r>
    </w:p>
    <w:p>
      <w:pPr>
        <w:pStyle w:val="ListParagraph"/>
        <w:numPr>
          <w:ilvl w:val="0"/>
          <w:numId w:val="3"/>
        </w:numPr>
        <w:spacing w:after="30" w:before="30"/>
        <w:jc w:val="both"/>
      </w:pPr>
      <w:r>
        <w:t xml:space="preserve">Théorie du contrôle adaptatif distribué : adaptation locale différentielle, stabilité de boucle ;</w:t>
      </w:r>
    </w:p>
    <w:p>
      <w:pPr>
        <w:pStyle w:val="ListParagraph"/>
        <w:numPr>
          <w:ilvl w:val="0"/>
          <w:numId w:val="3"/>
        </w:numPr>
        <w:spacing w:after="30" w:before="30"/>
        <w:jc w:val="both"/>
      </w:pPr>
      <w:r>
        <w:t xml:space="preserve">Conformité réglementaire : RGPD (UE), NIS2 (UE), souveraineté des données industrielles.</w:t>
      </w:r>
    </w:p>
    <w:p>
      <w:pPr>
        <w:pStyle w:val="Heading2"/>
        <w:spacing w:after="120" w:before="240"/>
      </w:pPr>
      <w:r>
        <w:rPr>
          <w:b/>
          <w:bCs/>
          <w:sz w:val="26"/>
          <w:szCs w:val="26"/>
        </w:rPr>
        <w:t xml:space="preserve">3.2 Théorie de l'apprentissage fédéré</w:t>
      </w:r>
    </w:p>
    <w:p>
      <w:pPr>
        <w:spacing w:after="60" w:before="60"/>
        <w:jc w:val="both"/>
      </w:pPr>
      <w:r>
        <w:t xml:space="preserve">McMahan et al. (2017, AISTATS) ont introduit l'algorithme FedAvg pour l'apprentissage fédéré. Pour un ensemble de K clients (sites) ayant chacun n_k échantillons et un modèle local w_k, l'agrégation globale est :</w:t>
      </w:r>
    </w:p>
    <w:p>
      <w:pPr>
        <w:spacing w:after="80" w:before="80"/>
        <w:jc w:val="center"/>
      </w:pPr>
      <w:r>
        <w:rPr>
          <w:rFonts w:ascii="Consolas" w:cs="Consolas" w:eastAsia="Consolas" w:hAnsi="Consolas"/>
          <w:b/>
          <w:bCs/>
          <w:sz w:val="22"/>
          <w:szCs w:val="22"/>
        </w:rPr>
        <w:t xml:space="preserve">w_global = Σ_k (n_k / n) × w_k</w:t>
      </w:r>
    </w:p>
    <w:p>
      <w:pPr>
        <w:spacing w:after="60" w:before="60"/>
        <w:jc w:val="both"/>
      </w:pPr>
      <w:r>
        <w:t xml:space="preserve">avec n = Σ n_k. Cette agrégation suppose que tous les clients ont des données IID (Independent and Identically Distributed), hypothèse rarement vérifiée en environnement industriel hétérogène.</w:t>
      </w:r>
    </w:p>
    <w:p>
      <w:pPr>
        <w:spacing w:after="60" w:before="60"/>
        <w:jc w:val="both"/>
      </w:pPr>
      <w:r>
        <w:t xml:space="preserve">Pour relâcher cette hypothèse, Li et al. (2020) ont proposé FedProx qui ajoute un terme proximal restreignant la divergence entre les modèles locaux et le modèle global. Arivazhagan et al. (2019) ont proposé FedPer qui partitionne le réseau en une « base » partagée et une « tête » personnalisée par client. Zhou et al. (2024, arXiv 2412.01295) ont proposé FedAH qui apprend dynamiquement les poids d'agrégation des têtes pour capturer plus précisément l'information globale requise.</w:t>
      </w:r>
    </w:p>
    <w:p>
      <w:pPr>
        <w:spacing w:after="60" w:before="60"/>
        <w:jc w:val="both"/>
      </w:pPr>
      <w:r>
        <w:t xml:space="preserve">Le Brevet n° 3 va au-delà de FedAH en introduisant un facteur d'influence Φ_i = α × ISC + β × Fiabilité + γ × Maturité qui pondère l'agrégation non seulement par la similarité (comme FedAH) mais aussi par la fiabilité historique et la maturité industrielle du site contributeur. De plus, l'agrégation est calculée séparément pour chaque site cible (et non globalement), ce qui constitue une forme de personnalisation par cible inédite dans la littérature FL.</w:t>
      </w:r>
    </w:p>
    <w:p>
      <w:pPr>
        <w:pStyle w:val="Heading2"/>
        <w:spacing w:after="120" w:before="240"/>
      </w:pPr>
      <w:r>
        <w:rPr>
          <w:b/>
          <w:bCs/>
          <w:sz w:val="26"/>
          <w:szCs w:val="26"/>
        </w:rPr>
        <w:t xml:space="preserve">3.3 Divergence de Kullback-Leibler et distance de Jensen-Shannon</w:t>
      </w:r>
    </w:p>
    <w:p>
      <w:pPr>
        <w:spacing w:after="60" w:before="60"/>
        <w:jc w:val="both"/>
      </w:pPr>
      <w:r>
        <w:t xml:space="preserve">La divergence de Kullback-Leibler entre deux distributions de probabilité P et Q est définie par :</w:t>
      </w:r>
    </w:p>
    <w:p>
      <w:pPr>
        <w:spacing w:after="80" w:before="80"/>
        <w:jc w:val="center"/>
      </w:pPr>
      <w:r>
        <w:rPr>
          <w:rFonts w:ascii="Consolas" w:cs="Consolas" w:eastAsia="Consolas" w:hAnsi="Consolas"/>
          <w:b/>
          <w:bCs/>
          <w:sz w:val="22"/>
          <w:szCs w:val="22"/>
        </w:rPr>
        <w:t xml:space="preserve">D_KL(P || Q) = Σ_x P(x) log(P(x) / Q(x))</w:t>
      </w:r>
    </w:p>
    <w:p>
      <w:pPr>
        <w:spacing w:after="60" w:before="60"/>
        <w:jc w:val="both"/>
      </w:pPr>
      <w:r>
        <w:t xml:space="preserve">Cette divergence est non symétrique et peut être infinie si Q(x) = 0 pour un x où P(x) &gt; 0. Pour pallier ces limitations, Lin (1991, IEEE Trans. Information Theory) a introduit la distance de Jensen-Shannon :</w:t>
      </w:r>
    </w:p>
    <w:p>
      <w:pPr>
        <w:spacing w:after="80" w:before="80"/>
        <w:jc w:val="center"/>
      </w:pPr>
      <w:r>
        <w:rPr>
          <w:rFonts w:ascii="Consolas" w:cs="Consolas" w:eastAsia="Consolas" w:hAnsi="Consolas"/>
          <w:b/>
          <w:bCs/>
          <w:sz w:val="22"/>
          <w:szCs w:val="22"/>
        </w:rPr>
        <w:t xml:space="preserve">D_JS(P, Q) = ½ × D_KL(P || M) + ½ × D_KL(Q || M)</w:t>
      </w:r>
    </w:p>
    <w:p>
      <w:pPr>
        <w:spacing w:after="60" w:before="60"/>
        <w:jc w:val="both"/>
      </w:pPr>
      <w:r>
        <w:t xml:space="preserve">où M = ½(P + Q) est la distribution moyenne. La distance JS est symétrique, toujours finie et bornée dans [0, log 2] (en utilisant le log naturel). Sa racine carrée √D_JS définit une vraie distance métrique.</w:t>
      </w:r>
    </w:p>
    <w:p>
      <w:pPr>
        <w:spacing w:after="60" w:before="60"/>
        <w:jc w:val="both"/>
      </w:pPr>
      <w:r>
        <w:t xml:space="preserve">Le Brevet n° 3 utilise alternativement D_KL ou D_JS dans la procédure de détection de dérive conceptuelle (revendication 11). Le choix de D_JS est généralement préférable pour les applications industrielles en raison de ses propriétés métriques (symétrie, finitude).</w:t>
      </w:r>
    </w:p>
    <w:p>
      <w:pPr>
        <w:pStyle w:val="Heading2"/>
        <w:spacing w:after="120" w:before="240"/>
      </w:pPr>
      <w:r>
        <w:rPr>
          <w:b/>
          <w:bCs/>
          <w:sz w:val="26"/>
          <w:szCs w:val="26"/>
        </w:rPr>
        <w:t xml:space="preserve">3.4 Détection de dérive conceptuelle</w:t>
      </w:r>
    </w:p>
    <w:p>
      <w:pPr>
        <w:spacing w:after="60" w:before="60"/>
        <w:jc w:val="both"/>
      </w:pPr>
      <w:r>
        <w:t xml:space="preserve">La dérive conceptuelle (concept drift) désigne l'évolution dans le temps des relations statistiques sous-jacentes aux données observées. La littérature distingue plusieurs types : dérive abrupte (changement instantané), dérive incrémentale (changement progressif), dérive récurrente (oscillation entre régimes), et dérive virtuelle (changement de la distribution sans changement de la fonction de décision).</w:t>
      </w:r>
    </w:p>
    <w:p>
      <w:pPr>
        <w:spacing w:after="60" w:before="60"/>
        <w:jc w:val="both"/>
      </w:pPr>
      <w:r>
        <w:t xml:space="preserve">Les principales méthodes de détection de dérive sont :</w:t>
      </w:r>
    </w:p>
    <w:p>
      <w:pPr>
        <w:pStyle w:val="ListParagraph"/>
        <w:numPr>
          <w:ilvl w:val="0"/>
          <w:numId w:val="3"/>
        </w:numPr>
        <w:spacing w:after="30" w:before="30"/>
        <w:jc w:val="both"/>
      </w:pPr>
      <w:r>
        <w:t xml:space="preserve">ADWIN (Adaptive Windowing, Bifet &amp; Gavaldà 2007) : maintient une fenêtre glissante adaptative dont la taille s'ajuste automatiquement en fonction de la stabilité statistique observée ;</w:t>
      </w:r>
    </w:p>
    <w:p>
      <w:pPr>
        <w:pStyle w:val="ListParagraph"/>
        <w:numPr>
          <w:ilvl w:val="0"/>
          <w:numId w:val="3"/>
        </w:numPr>
        <w:spacing w:after="30" w:before="30"/>
        <w:jc w:val="both"/>
      </w:pPr>
      <w:r>
        <w:t xml:space="preserve">Page-Hinkley Test (Page 1954) : test séquentiel détectant les changements de moyenne d'un signal par accumulation des écarts à la moyenne ;</w:t>
      </w:r>
    </w:p>
    <w:p>
      <w:pPr>
        <w:pStyle w:val="ListParagraph"/>
        <w:numPr>
          <w:ilvl w:val="0"/>
          <w:numId w:val="3"/>
        </w:numPr>
        <w:spacing w:after="30" w:before="30"/>
        <w:jc w:val="both"/>
      </w:pPr>
      <w:r>
        <w:t xml:space="preserve">DDM (Drift Detection Method, Gama et al. 2004) : surveille le taux d'erreur d'un classifieur en supposant qu'il devrait décroître avec l'apprentissage ;</w:t>
      </w:r>
    </w:p>
    <w:p>
      <w:pPr>
        <w:pStyle w:val="ListParagraph"/>
        <w:numPr>
          <w:ilvl w:val="0"/>
          <w:numId w:val="3"/>
        </w:numPr>
        <w:spacing w:after="30" w:before="30"/>
        <w:jc w:val="both"/>
      </w:pPr>
      <w:r>
        <w:t xml:space="preserve">EDDM (Early Drift Detection Method, Baena-García et al. 2006) : extension de DDM mesurant la distance entre erreurs successives ;</w:t>
      </w:r>
    </w:p>
    <w:p>
      <w:pPr>
        <w:pStyle w:val="ListParagraph"/>
        <w:numPr>
          <w:ilvl w:val="0"/>
          <w:numId w:val="3"/>
        </w:numPr>
        <w:spacing w:after="30" w:before="30"/>
        <w:jc w:val="both"/>
      </w:pPr>
      <w:r>
        <w:t xml:space="preserve">Méthodes à base de divergences statistiques (Wang et al. 2022, dl.acm.org : Jensen-Shannon Divergence ; Sebastião &amp; Gama 2009) : comparent les distributions sur deux fenêtres et détectent un changement quand la divergence dépasse un seuil.</w:t>
      </w:r>
    </w:p>
    <w:p>
      <w:pPr>
        <w:spacing w:after="60" w:before="60"/>
        <w:jc w:val="both"/>
      </w:pPr>
      <w:r>
        <w:t xml:space="preserve">Le Brevet n° 3 utilise la méthode à base de divergence JS (ou KL) pour sa robustesse et son interprétabilité technique. La procédure spécifique (mesure périodique, seuil S_dérive, fenêtre double couche, réaction par réajustement des pondérations) est techniquement détaillée dans les revendications 11 à 13.</w:t>
      </w:r>
    </w:p>
    <w:p>
      <w:pPr>
        <w:pStyle w:val="Heading2"/>
        <w:spacing w:after="120" w:before="240"/>
      </w:pPr>
      <w:r>
        <w:rPr>
          <w:b/>
          <w:bCs/>
          <w:sz w:val="26"/>
          <w:szCs w:val="26"/>
        </w:rPr>
        <w:t xml:space="preserve">3.5 Théorie de la similarité multivariée</w:t>
      </w:r>
    </w:p>
    <w:p>
      <w:pPr>
        <w:spacing w:after="60" w:before="60"/>
        <w:jc w:val="both"/>
      </w:pPr>
      <w:r>
        <w:t xml:space="preserve">Le calcul de l'ISC repose sur quatre indices de similarité distincts combinés par moyenne pondérée :</w:t>
      </w:r>
    </w:p>
    <w:p>
      <w:pPr>
        <w:spacing w:after="60" w:before="60"/>
        <w:jc w:val="both"/>
      </w:pPr>
      <w:r>
        <w:t xml:space="preserve">L'indice de Jaccard (Jaccard 1912) pour la similarité d'ensembles :</w:t>
      </w:r>
    </w:p>
    <w:p>
      <w:pPr>
        <w:spacing w:after="80" w:before="80"/>
        <w:jc w:val="center"/>
      </w:pPr>
      <w:r>
        <w:rPr>
          <w:rFonts w:ascii="Consolas" w:cs="Consolas" w:eastAsia="Consolas" w:hAnsi="Consolas"/>
          <w:b/>
          <w:bCs/>
          <w:sz w:val="22"/>
          <w:szCs w:val="22"/>
        </w:rPr>
        <w:t xml:space="preserve">J(A, B) = |A ∩ B| / |A ∪ B|</w:t>
      </w:r>
    </w:p>
    <w:p>
      <w:pPr>
        <w:spacing w:after="60" w:before="60"/>
        <w:jc w:val="both"/>
      </w:pPr>
      <w:r>
        <w:t xml:space="preserve">Le Brevet n° 3 l'utilise pondéré par la criticité de chaque élément (typologie d'équipement, modes de défaillance), suivant la généralisation proposée par Choi et al. (2010, Journal of Systems Science and Systems Engineering).</w:t>
      </w:r>
    </w:p>
    <w:p>
      <w:pPr>
        <w:spacing w:after="60" w:before="60"/>
        <w:jc w:val="both"/>
      </w:pPr>
      <w:r>
        <w:t xml:space="preserve">La distance entre distributions de paramètres opérationnels utilise la distance L2, la distance de Wasserstein, ou la divergence JS selon la nature des données. Le Brevet n° 3 mentionne ces alternatives en revendications dépendantes pour permettre au CPI de calibrer la portée.</w:t>
      </w:r>
    </w:p>
    <w:p>
      <w:pPr>
        <w:pStyle w:val="Heading2"/>
        <w:spacing w:after="120" w:before="240"/>
      </w:pPr>
      <w:r>
        <w:rPr>
          <w:b/>
          <w:bCs/>
          <w:sz w:val="26"/>
          <w:szCs w:val="26"/>
        </w:rPr>
        <w:t xml:space="preserve">3.6 Sécurité multi-tenant en architecture SaaS</w:t>
      </w:r>
    </w:p>
    <w:p>
      <w:pPr>
        <w:spacing w:after="60" w:before="60"/>
        <w:jc w:val="both"/>
      </w:pPr>
      <w:r>
        <w:t xml:space="preserve">La défense en profondeur (defense in depth) est un principe fondamental de la sécurité informatique. Pour les architectures multi-tenant SaaS, la littérature (Architecting Secure Multi-Tenant Data Isolation, Hamade 2023, Medium ; Multi-Tenant Architecture Complete Guide, Bix Tech 2024) recommande au minimum quatre niveaux complémentaires :</w:t>
      </w:r>
    </w:p>
    <w:p>
      <w:pPr>
        <w:pStyle w:val="ListParagraph"/>
        <w:numPr>
          <w:ilvl w:val="0"/>
          <w:numId w:val="2"/>
        </w:numPr>
        <w:spacing w:after="30" w:before="30"/>
        <w:jc w:val="both"/>
      </w:pPr>
      <w:r>
        <w:t xml:space="preserve">Injection automatique du tenantId au niveau application (middleware) ;</w:t>
      </w:r>
    </w:p>
    <w:p>
      <w:pPr>
        <w:pStyle w:val="ListParagraph"/>
        <w:numPr>
          <w:ilvl w:val="0"/>
          <w:numId w:val="2"/>
        </w:numPr>
        <w:spacing w:after="30" w:before="30"/>
        <w:jc w:val="both"/>
      </w:pPr>
      <w:r>
        <w:t xml:space="preserve">Filtrage obligatoire des requêtes de données par clause WHERE tenantId = ? ;</w:t>
      </w:r>
    </w:p>
    <w:p>
      <w:pPr>
        <w:pStyle w:val="ListParagraph"/>
        <w:numPr>
          <w:ilvl w:val="0"/>
          <w:numId w:val="2"/>
        </w:numPr>
        <w:spacing w:after="30" w:before="30"/>
        <w:jc w:val="both"/>
      </w:pPr>
      <w:r>
        <w:t xml:space="preserve">Validation systématique des réponses sortantes ;</w:t>
      </w:r>
    </w:p>
    <w:p>
      <w:pPr>
        <w:pStyle w:val="ListParagraph"/>
        <w:numPr>
          <w:ilvl w:val="0"/>
          <w:numId w:val="2"/>
        </w:numPr>
        <w:spacing w:after="30" w:before="30"/>
        <w:jc w:val="both"/>
      </w:pPr>
      <w:r>
        <w:t xml:space="preserve">Journalisation par tenant avec chiffrement par clé propre.</w:t>
      </w:r>
    </w:p>
    <w:p>
      <w:pPr>
        <w:spacing w:after="60" w:before="60"/>
        <w:jc w:val="both"/>
      </w:pPr>
      <w:r>
        <w:t xml:space="preserve">Plusieurs incidents documentés (Multi-Tenant Leakage, InstaTunnel 2024, Medium) montrent que les approches mono-niveau (RLS seul) ne sont pas suffisantes : « Row-Level Security is a powerful tool, but it is not a complete solution. It is a safety net, not a fortress wall ». Le Brevet n° 3 met en œuvre exactement cette défense en profondeur à quatre niveaux.</w:t>
      </w:r>
    </w:p>
    <w:p>
      <w:pPr>
        <w:spacing w:after="60" w:before="60"/>
        <w:jc w:val="both"/>
      </w:pPr>
      <w:r>
        <w:t xml:space="preserve">La Row-Level Security (RLS) côté SGBD est une protection complémentaire essentielle, supportée nativement par PostgreSQL (depuis 9.5), SQL Server, Oracle, et d'autres SGBD. Microsoft Azure SQL Database fournit une documentation de référence (Oneuptime 2026) sur la mise en œuvre des stratégies d'isolation multi-tenant.</w:t>
      </w:r>
    </w:p>
    <w:p>
      <w:pPr>
        <w:pStyle w:val="Heading2"/>
        <w:spacing w:after="120" w:before="240"/>
      </w:pPr>
      <w:r>
        <w:rPr>
          <w:b/>
          <w:bCs/>
          <w:sz w:val="26"/>
          <w:szCs w:val="26"/>
        </w:rPr>
        <w:t xml:space="preserve">3.7 Cryptographie pour la confidentialité des paramètres transmis</w:t>
      </w:r>
    </w:p>
    <w:p>
      <w:pPr>
        <w:spacing w:after="60" w:before="60"/>
        <w:jc w:val="both"/>
      </w:pPr>
      <w:r>
        <w:t xml:space="preserve">Les ParametersDelta transmis entre Site Agents et Global Agent sont protégés cryptographiquement par : (i) signature numérique de la source (ECDSA, Ed25519) ; (ii) chiffrement de transport (TLS 1.3) ; (iii) horodatage signé. Le schéma de sérialisation fermé garantit structurellement l'absence de données opérationnelles brutes — caractéristique vérifiable par audit du code source et par des assertions techniques de tests automatisés (revendication 15).</w:t>
      </w:r>
    </w:p>
    <w:p>
      <w:pPr>
        <w:pStyle w:val="Heading1"/>
        <w:pageBreakBefore/>
        <w:spacing w:after="160" w:before="320"/>
      </w:pPr>
      <w:r>
        <w:rPr>
          <w:b/>
          <w:bCs/>
          <w:sz w:val="32"/>
          <w:szCs w:val="32"/>
        </w:rPr>
        <w:t xml:space="preserve">4. ÉTAT DE L'ART ACADÉMIQUE — REVUE DE LITTÉRATURE</w:t>
      </w:r>
    </w:p>
    <w:p>
      <w:pPr>
        <w:pStyle w:val="Heading2"/>
        <w:spacing w:after="120" w:before="240"/>
      </w:pPr>
      <w:r>
        <w:rPr>
          <w:b/>
          <w:bCs/>
          <w:sz w:val="26"/>
          <w:szCs w:val="26"/>
        </w:rPr>
        <w:t xml:space="preserve">4.1 Apprentissage fédéré industriel et personnalisé</w:t>
      </w:r>
    </w:p>
    <w:p>
      <w:pPr>
        <w:spacing w:after="60" w:before="60"/>
        <w:jc w:val="both"/>
      </w:pPr>
      <w:r>
        <w:t xml:space="preserve">Pillutla et al. (2022) ont proposé un cadre d'apprentissage fédéré personnalisé (PFL) où chaque client conserve des composantes personnelles tout en partageant des composantes globales. Kairouz et al. (2021, Foundations and Trends in Machine Learning 14) ont publié la revue exhaustive de référence sur les advances et open problems du FL, soulignant le défi de l'hétérogénéité statistique entre clients comme un problème majeur non résolu.</w:t>
      </w:r>
    </w:p>
    <w:p>
      <w:pPr>
        <w:spacing w:after="60" w:before="60"/>
        <w:jc w:val="both"/>
      </w:pPr>
      <w:r>
        <w:t xml:space="preserve">Zhou et al. (2024, FedAH: Aggregated Head for Personalized Federated Learning, arXiv 2412.01295) ont proposé un mécanisme adaptatif d'apprentissage des poids d'agrégation des têtes personnalisées, permettant de capturer plus précisément l'information globale requise. Cette approche se rapproche conceptuellement de l'agrégation pondérée du Brevet n° 3, mais opère sur les paramètres d'un réseau de neurones (têtes neuronales) plutôt que sur les arêtes typées d'un graphe de modélisation causale.</w:t>
      </w:r>
    </w:p>
    <w:p>
      <w:pPr>
        <w:spacing w:after="60" w:before="60"/>
        <w:jc w:val="both"/>
      </w:pPr>
      <w:r>
        <w:t xml:space="preserve">Zhao et al. (2025, Personalized Federated Learning via Learning Dynamic Graphs, arXiv 2503.05474) ont proposé un PFL avec apprentissage de graphes dynamiques de relations entre clients. Cette approche partage avec le Brevet n° 3 l'idée de représenter explicitement les relations entre clients, mais elle apprend ces relations à partir des paramètres ML transmis, là où le Brevet n° 3 calcule explicitement l'ISC à partir de quatre dimensions opérationnelles techniques (typologie d'équipement, profil d'usage, stress, historique de défaillances).</w:t>
      </w:r>
    </w:p>
    <w:p>
      <w:pPr>
        <w:spacing w:after="60" w:before="60"/>
        <w:jc w:val="both"/>
      </w:pPr>
      <w:r>
        <w:t xml:space="preserve">Chen et al. (2025, A robust and personalized privacy-preserving approach for adaptive clustered federated distillation, Scientific Reports 15) ont proposé un FL clusterisé adaptatif avec préservation de la vie privée. Le concept de cluster basé sur la similarité est apparenté au Brevet n° 3, mais l'application est médicale (vs industrielle) et la similarité est calculée sur les paramètres ML (vs sur les dimensions opérationnelles techniques).</w:t>
      </w:r>
    </w:p>
    <w:p>
      <w:pPr>
        <w:spacing w:after="60" w:before="60"/>
        <w:jc w:val="both"/>
      </w:pPr>
      <w:r>
        <w:t xml:space="preserve">Li et al. (2024, PMC 10675707) ont publié sur l'apprentissage fédéré personnalisé avec clustering adaptatif pour données IoT non-IID. Leur approche par clustering est complémentaire de la pondération continue par ISC du Brevet n° 3 ; un site donné peut être membre de plusieurs clusters virtuels selon les dimensions de l'ISC, ce qui constitue une généralisation du clustering discret.</w:t>
      </w:r>
    </w:p>
    <w:p>
      <w:pPr>
        <w:spacing w:after="60" w:before="60"/>
        <w:jc w:val="both"/>
      </w:pPr>
      <w:r>
        <w:t xml:space="preserve">La méta-revue de Zhang et al. (2026, FedPrism: Adaptive Personalized Federated Learning under Non-IID Data, arXiv 2603.08252) souligne quatre défis principaux du FL personnalisé non-IID : (i) hétérogénéité des données ; (ii) hétérogénéité des modèles ; (iii) hétérogénéité des systèmes ; (iv) confidentialité différentielle. Le Brevet n° 3 répond techniquement à ces défis par : (i) la pondération par ISC ; (ii) l'adaptation locale différentielle ; (iii) l'architecture hiérarchique à 3 niveaux ; (iv) le confinement à 4 niveaux et l'exclusion structurelle des données brutes.</w:t>
      </w:r>
    </w:p>
    <w:p>
      <w:pPr>
        <w:pStyle w:val="Heading2"/>
        <w:spacing w:after="120" w:before="240"/>
      </w:pPr>
      <w:r>
        <w:rPr>
          <w:b/>
          <w:bCs/>
          <w:sz w:val="26"/>
          <w:szCs w:val="26"/>
        </w:rPr>
        <w:t xml:space="preserve">4.2 Détection de dérive conceptuelle</w:t>
      </w:r>
    </w:p>
    <w:p>
      <w:pPr>
        <w:spacing w:after="60" w:before="60"/>
        <w:jc w:val="both"/>
      </w:pPr>
      <w:r>
        <w:t xml:space="preserve">Gama et al. (2014, ACM Computing Surveys 46:44) ont publié la revue de référence sur la détection de dérive conceptuelle, classifiant les approches en : méthodes statistiques (Page-Hinkley, CUSUM), méthodes à base de fenêtres (ADWIN), méthodes à base d'ensembles (DDM, EDDM), et méthodes à base de divergences.</w:t>
      </w:r>
    </w:p>
    <w:p>
      <w:pPr>
        <w:spacing w:after="60" w:before="60"/>
        <w:jc w:val="both"/>
      </w:pPr>
      <w:r>
        <w:t xml:space="preserve">Wang et al. (2022, ACM, dl.acm.org/doi/10.1145/3573942.3573979) ont proposé une approche de détection de dérive conceptuelle basée sur la divergence de Jensen-Shannon pour la classification de trafic réseau, utilisant un mécanisme de fenêtres à double couche. Cette publication est l'antériorité académique la plus proche du mécanisme d'auto-calibration du Brevet n° 3.</w:t>
      </w:r>
    </w:p>
    <w:p>
      <w:pPr>
        <w:spacing w:after="60" w:before="60"/>
        <w:jc w:val="both"/>
      </w:pPr>
      <w:r>
        <w:t xml:space="preserve">La distinction technique du Brevet n° 3 est : (i) l'application à un système de supervision et contrôle d'équipements industriels physiques (vs trafic réseau abstrait) ; (ii) la réaction technique spécifique au-delà de la simple détection — réévaluation des pondérations α, β, γ et δ_k, augmentation temporaire du coefficient d'ouverture θ — qui constitue un mécanisme d'auto-calibration et non seulement de détection.</w:t>
      </w:r>
    </w:p>
    <w:p>
      <w:pPr>
        <w:spacing w:after="60" w:before="60"/>
        <w:jc w:val="both"/>
      </w:pPr>
      <w:r>
        <w:t xml:space="preserve">Aporia (2024) et Apxml (2024) ont publié des guides de référence sur les huit méthodes de détection de dérive en production ML, confirmant la maturité industrielle de l'approche JS divergence.</w:t>
      </w:r>
    </w:p>
    <w:p>
      <w:pPr>
        <w:spacing w:after="60" w:before="60"/>
        <w:jc w:val="both"/>
      </w:pPr>
      <w:r>
        <w:t xml:space="preserve">L'étude (2025, IJIRCT) sur la détection et l'adaptation à la dérive conceptuelle souligne que la combinaison « détection + adaptation » est techniquement plus précieuse que la détection seule, ce qui correspond exactement à l'approche du Brevet n° 3 (détection par divergence + adaptation par réajustement des pondérations).</w:t>
      </w:r>
    </w:p>
    <w:p>
      <w:pPr>
        <w:pStyle w:val="Heading2"/>
        <w:spacing w:after="120" w:before="240"/>
      </w:pPr>
      <w:r>
        <w:rPr>
          <w:b/>
          <w:bCs/>
          <w:sz w:val="26"/>
          <w:szCs w:val="26"/>
        </w:rPr>
        <w:t xml:space="preserve">4.3 Architectures multi-agents pour la supervision industrielle</w:t>
      </w:r>
    </w:p>
    <w:p>
      <w:pPr>
        <w:spacing w:after="60" w:before="60"/>
        <w:jc w:val="both"/>
      </w:pPr>
      <w:r>
        <w:t xml:space="preserve">Pěchouček &amp; Mařík (2008, IEEE Computer Society) ont publié la revue de référence sur les systèmes multi-agents en industrie. Les architectures multi-agents pour la maintenance industrielle restent toutefois marginalement déployées commercialement, malgré une littérature académique riche depuis les années 1990 (FIPA, JADE).</w:t>
      </w:r>
    </w:p>
    <w:p>
      <w:pPr>
        <w:spacing w:after="60" w:before="60"/>
        <w:jc w:val="both"/>
      </w:pPr>
      <w:r>
        <w:t xml:space="preserve">L'architecture hiérarchique à trois niveaux Equipment/Site/Global du Brevet n° 3 s'inspire des modèles classiques multi-agents (Wooldridge 2009) mais apporte plusieurs spécificités techniques : (i) protocole formel à exactement 9 types de messages et 4 niveaux de priorité ; (ii) mécanisme d'acquittement avec fenêtre paramétrable et redirection en cas d'échec ; (iii) bypass des messages critical pour les alertes de sécurité ; (iv) intégration native avec le mécanisme d'apprentissage fédéré et la modélisation causale du Brevet n° 1.</w:t>
      </w:r>
    </w:p>
    <w:p>
      <w:pPr>
        <w:pStyle w:val="Heading2"/>
        <w:spacing w:after="120" w:before="240"/>
      </w:pPr>
      <w:r>
        <w:rPr>
          <w:b/>
          <w:bCs/>
          <w:sz w:val="26"/>
          <w:szCs w:val="26"/>
        </w:rPr>
        <w:t xml:space="preserve">4.4 Sécurité multi-tenant et confinement</w:t>
      </w:r>
    </w:p>
    <w:p>
      <w:pPr>
        <w:spacing w:after="60" w:before="60"/>
        <w:jc w:val="both"/>
      </w:pPr>
      <w:r>
        <w:t xml:space="preserve">La littérature technique sur la sécurité multi-tenant (Hamade 2023 ; Bix Tech 2024 ; Redis 2024 ; SSOJet 2024) recommande unanimement la défense en profondeur. L'incident InstaTunnel (2024) documente concrètement les défaillances de la RLS seule, justifiant le besoin de niveaux complémentaires.</w:t>
      </w:r>
    </w:p>
    <w:p>
      <w:pPr>
        <w:spacing w:after="60" w:before="60"/>
        <w:jc w:val="both"/>
      </w:pPr>
      <w:r>
        <w:t xml:space="preserve">Justhamade (2024, Medium « Architecting Secure Multi-Tenant Data Isolation ») propose une architecture à plusieurs niveaux dont la structure rejoint exactement les quatre niveaux du Brevet n° 3, mais sans formalisation technique précise des quatre niveaux ni de leur articulation systémique. Le Brevet n° 3 formalise précisément cette architecture en revendication 1(h).</w:t>
      </w:r>
    </w:p>
    <w:p>
      <w:pPr>
        <w:pStyle w:val="Heading2"/>
        <w:spacing w:after="120" w:before="240"/>
      </w:pPr>
      <w:r>
        <w:rPr>
          <w:b/>
          <w:bCs/>
          <w:sz w:val="26"/>
          <w:szCs w:val="26"/>
        </w:rPr>
        <w:t xml:space="preserve">4.5 Synthèse de la revue de littérature</w:t>
      </w:r>
    </w:p>
    <w:p>
      <w:pPr>
        <w:spacing w:after="60" w:before="60"/>
        <w:jc w:val="both"/>
      </w:pPr>
      <w:r>
        <w:t xml:space="preserve">La revue révèle que chaque composante individuelle du Brevet n° 3 (FL personnalisé, détection de dérive par divergence statistique, architectures multi-agents, défense en profondeur multi-tenant) fait l'objet de travaux académiques actifs, mais que leur intégration cohérente dans un système distribué de supervision et contrôle adaptatif d'équipements industriels physiques produisant un effet technique mesurable sur la qualité des signaux de commande émis par chaque site n'est documentée par aucune publication ni brevet identifié. Cette intégration synergique constitue le cœur de l'activité inventive.</w:t>
      </w:r>
    </w:p>
    <w:p>
      <w:pPr>
        <w:pStyle w:val="Heading1"/>
        <w:pageBreakBefore/>
        <w:spacing w:after="160" w:before="320"/>
      </w:pPr>
      <w:r>
        <w:rPr>
          <w:b/>
          <w:bCs/>
          <w:sz w:val="32"/>
          <w:szCs w:val="32"/>
        </w:rPr>
        <w:t xml:space="preserve">5. ÉTAT DE L'ART BREVETS ANTÉRIEURS</w:t>
      </w:r>
    </w:p>
    <w:p>
      <w:pPr>
        <w:pStyle w:val="Heading2"/>
        <w:spacing w:after="120" w:before="240"/>
      </w:pPr>
      <w:r>
        <w:rPr>
          <w:b/>
          <w:bCs/>
          <w:sz w:val="26"/>
          <w:szCs w:val="26"/>
        </w:rPr>
        <w:t xml:space="preserve">5.1 Antériorités relatives à l'apprentissage fédéré industriel</w:t>
      </w:r>
    </w:p>
    <w:p>
      <w:pPr>
        <w:pStyle w:val="Heading3"/>
        <w:spacing w:after="100" w:before="180"/>
      </w:pPr>
      <w:r>
        <w:rPr>
          <w:b/>
          <w:bCs/>
          <w:i/>
          <w:iCs/>
          <w:sz w:val="24"/>
          <w:szCs w:val="24"/>
        </w:rPr>
        <w:t xml:space="preserve">5.1.1 US-11,449,805 (IBM) — Federated learning for equipment maintenance</w:t>
      </w:r>
    </w:p>
    <w:p>
      <w:pPr>
        <w:spacing w:after="60" w:before="60"/>
        <w:jc w:val="both"/>
      </w:pPr>
      <w:r>
        <w:t xml:space="preserve">Brevet IBM décrivant un cadre d'apprentissage fédéré appliqué à la maintenance d'équipements. L'agrégation y est de type FedAvg classique (moyenne pondérée par taille d'échantillon), sans personnalisation par ISC ni adaptation locale différentielle. Risque d'antériorité : modéré sur l'idée générale d'apprentissage fédéré en maintenance, faible sur les caractéristiques spécifiques du Brevet n° 3.</w:t>
      </w:r>
    </w:p>
    <w:p>
      <w:pPr>
        <w:pStyle w:val="Heading3"/>
        <w:spacing w:after="100" w:before="180"/>
      </w:pPr>
      <w:r>
        <w:rPr>
          <w:b/>
          <w:bCs/>
          <w:i/>
          <w:iCs/>
          <w:sz w:val="24"/>
          <w:szCs w:val="24"/>
        </w:rPr>
        <w:t xml:space="preserve">5.1.2 US-2021/0224721 — Industrial federated learning</w:t>
      </w:r>
    </w:p>
    <w:p>
      <w:pPr>
        <w:spacing w:after="60" w:before="60"/>
        <w:jc w:val="both"/>
      </w:pPr>
      <w:r>
        <w:t xml:space="preserve">Décrit une fédération de modèles ML pour la maintenance industrielle. Approche centrée sur les modèles paramétriques denses (vecteurs de poids de réseaux de neurones) et non sur les arêtes typées d'une structure de modélisation causale graphe. Risque d'antériorité : faible.</w:t>
      </w:r>
    </w:p>
    <w:p>
      <w:pPr>
        <w:pStyle w:val="Heading3"/>
        <w:spacing w:after="100" w:before="180"/>
      </w:pPr>
      <w:r>
        <w:rPr>
          <w:b/>
          <w:bCs/>
          <w:i/>
          <w:iCs/>
          <w:sz w:val="24"/>
          <w:szCs w:val="24"/>
        </w:rPr>
        <w:t xml:space="preserve">5.1.3 US-11,210,591 (Microsoft) — Distributed model training for predictive maintenance</w:t>
      </w:r>
    </w:p>
    <w:p>
      <w:pPr>
        <w:spacing w:after="60" w:before="60"/>
        <w:jc w:val="both"/>
      </w:pPr>
      <w:r>
        <w:t xml:space="preserve">Décrit un entraînement distribué de modèles ML pour maintenance prédictive sur infrastructure Azure. Pas de mécanisme spécifique de personnalisation par similarité contextuelle calculée sur dimensions opérationnelles. Risque : faible.</w:t>
      </w:r>
    </w:p>
    <w:p>
      <w:pPr>
        <w:pStyle w:val="Heading2"/>
        <w:spacing w:after="120" w:before="240"/>
      </w:pPr>
      <w:r>
        <w:rPr>
          <w:b/>
          <w:bCs/>
          <w:sz w:val="26"/>
          <w:szCs w:val="26"/>
        </w:rPr>
        <w:t xml:space="preserve">5.2 Antériorités relatives à l'isolation multi-tenant</w:t>
      </w:r>
    </w:p>
    <w:p>
      <w:pPr>
        <w:pStyle w:val="Heading3"/>
        <w:spacing w:after="100" w:before="180"/>
      </w:pPr>
      <w:r>
        <w:rPr>
          <w:b/>
          <w:bCs/>
          <w:i/>
          <w:iCs/>
          <w:sz w:val="24"/>
          <w:szCs w:val="24"/>
        </w:rPr>
        <w:t xml:space="preserve">5.2.1 US-10,635,648 — Multi-tenant cloud architecture</w:t>
      </w:r>
    </w:p>
    <w:p>
      <w:pPr>
        <w:spacing w:after="60" w:before="60"/>
        <w:jc w:val="both"/>
      </w:pPr>
      <w:r>
        <w:t xml:space="preserve">Décrit une architecture cloud multi-tenant avec isolation logique. Approche à un seul niveau de filtrage applicatif. Risque d'antériorité : modéré sur l'idée générale, faible sur la défense en profondeur à exactement 4 niveaux complémentaires revendiquée par le Brevet n° 3.</w:t>
      </w:r>
    </w:p>
    <w:p>
      <w:pPr>
        <w:pStyle w:val="Heading3"/>
        <w:spacing w:after="100" w:before="180"/>
      </w:pPr>
      <w:r>
        <w:rPr>
          <w:b/>
          <w:bCs/>
          <w:i/>
          <w:iCs/>
          <w:sz w:val="24"/>
          <w:szCs w:val="24"/>
        </w:rPr>
        <w:t xml:space="preserve">5.2.2 Brevets Microsoft, AWS, Google Cloud sur architectures multi-tenant</w:t>
      </w:r>
    </w:p>
    <w:p>
      <w:pPr>
        <w:spacing w:after="60" w:before="60"/>
        <w:jc w:val="both"/>
      </w:pPr>
      <w:r>
        <w:t xml:space="preserve">Plusieurs brevets des hyperscalers couvrent des aspects de l'isolation multi-tenant (RLS, namespaces, segregation logique). Aucun ne combine spécifiquement les quatre niveaux (middleware tenantId + RLS + validation réponse + journal chiffré par tenant) dans un système de supervision industriel adaptatif. Risque : faible.</w:t>
      </w:r>
    </w:p>
    <w:p>
      <w:pPr>
        <w:pStyle w:val="Heading2"/>
        <w:spacing w:after="120" w:before="240"/>
      </w:pPr>
      <w:r>
        <w:rPr>
          <w:b/>
          <w:bCs/>
          <w:sz w:val="26"/>
          <w:szCs w:val="26"/>
        </w:rPr>
        <w:t xml:space="preserve">5.3 Antériorités relatives aux architectures multi-agents industriels</w:t>
      </w:r>
    </w:p>
    <w:p>
      <w:pPr>
        <w:spacing w:after="60" w:before="60"/>
        <w:jc w:val="both"/>
      </w:pPr>
      <w:r>
        <w:t xml:space="preserve">Quelques brevets décrivent des architectures multi-agents pour la supervision industrielle :</w:t>
      </w:r>
    </w:p>
    <w:p>
      <w:pPr>
        <w:pStyle w:val="ListParagraph"/>
        <w:numPr>
          <w:ilvl w:val="0"/>
          <w:numId w:val="3"/>
        </w:numPr>
        <w:spacing w:after="30" w:before="30"/>
        <w:jc w:val="both"/>
      </w:pPr>
      <w:r>
        <w:t xml:space="preserve">US-9,952,580 (Honeywell) — Multi-agent supervisory control system : architecture à deux niveaux, sans synchronisation incrémentale inter-sites ;</w:t>
      </w:r>
    </w:p>
    <w:p>
      <w:pPr>
        <w:pStyle w:val="ListParagraph"/>
        <w:numPr>
          <w:ilvl w:val="0"/>
          <w:numId w:val="3"/>
        </w:numPr>
        <w:spacing w:after="30" w:before="30"/>
        <w:jc w:val="both"/>
      </w:pPr>
      <w:r>
        <w:t xml:space="preserve">US-10,503,154 (Siemens) — Hierarchical industrial automation : hiérarchie classique de DCS, sans Global Agent fédéré ;</w:t>
      </w:r>
    </w:p>
    <w:p>
      <w:pPr>
        <w:pStyle w:val="ListParagraph"/>
        <w:numPr>
          <w:ilvl w:val="0"/>
          <w:numId w:val="3"/>
        </w:numPr>
        <w:spacing w:after="30" w:before="30"/>
        <w:jc w:val="both"/>
      </w:pPr>
      <w:r>
        <w:t xml:space="preserve">US-11,300,963 (GE) — Edge-cloud orchestration for industrial IoT : orchestration edge-cloud, sans ISC ni adaptation locale différentielle.</w:t>
      </w:r>
    </w:p>
    <w:p>
      <w:pPr>
        <w:spacing w:after="60" w:before="60"/>
        <w:jc w:val="both"/>
      </w:pPr>
      <w:r>
        <w:t xml:space="preserve">Aucun ne combine l'architecture hiérarchique 3 niveaux avec synchronisation incrémentale fédérée pondérée par ISC. Risque global : faible.</w:t>
      </w:r>
    </w:p>
    <w:p>
      <w:pPr>
        <w:pStyle w:val="Heading2"/>
        <w:spacing w:after="120" w:before="240"/>
      </w:pPr>
      <w:r>
        <w:rPr>
          <w:b/>
          <w:bCs/>
          <w:sz w:val="26"/>
          <w:szCs w:val="26"/>
        </w:rPr>
        <w:t xml:space="preserve">5.4 Antériorités relatives à la détection de dérive conceptuelle</w:t>
      </w:r>
    </w:p>
    <w:p>
      <w:pPr>
        <w:spacing w:after="60" w:before="60"/>
        <w:jc w:val="both"/>
      </w:pPr>
      <w:r>
        <w:t xml:space="preserve">La détection de dérive est principalement publiée académiquement, moins brevetée :</w:t>
      </w:r>
    </w:p>
    <w:p>
      <w:pPr>
        <w:pStyle w:val="ListParagraph"/>
        <w:numPr>
          <w:ilvl w:val="0"/>
          <w:numId w:val="3"/>
        </w:numPr>
        <w:spacing w:after="30" w:before="30"/>
        <w:jc w:val="both"/>
      </w:pPr>
      <w:r>
        <w:t xml:space="preserve">US-10,769,536 (Microsoft) — Concept drift detection in machine learning models : détection ADWIN-like sur modèles ML, sans application à l'auto-calibration de pondérations d'agrégation fédérée ;</w:t>
      </w:r>
    </w:p>
    <w:p>
      <w:pPr>
        <w:pStyle w:val="ListParagraph"/>
        <w:numPr>
          <w:ilvl w:val="0"/>
          <w:numId w:val="3"/>
        </w:numPr>
        <w:spacing w:after="30" w:before="30"/>
        <w:jc w:val="both"/>
      </w:pPr>
      <w:r>
        <w:t xml:space="preserve">US-11,030,521 (Google) — Drift detection for online ML systems : détection statistique générique.</w:t>
      </w:r>
    </w:p>
    <w:p>
      <w:pPr>
        <w:spacing w:after="60" w:before="60"/>
        <w:jc w:val="both"/>
      </w:pPr>
      <w:r>
        <w:t xml:space="preserve">Aucun ne décrit la combinaison spécifique : détection JS/KL + réajustement des pondérations α, β, γ et δ_k + augmentation temporaire du coefficient θ d'ouverture à la consolidation, dans un système de supervision industrielle distribué multi-sites. Risque : faible.</w:t>
      </w:r>
    </w:p>
    <w:p>
      <w:pPr>
        <w:pStyle w:val="Heading2"/>
        <w:spacing w:after="120" w:before="240"/>
      </w:pPr>
      <w:r>
        <w:rPr>
          <w:b/>
          <w:bCs/>
          <w:sz w:val="26"/>
          <w:szCs w:val="26"/>
        </w:rPr>
        <w:t xml:space="preserve">5.5 Tableau récapitulatif des antériorités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872"/>
        <w:gridCol w:w="3744"/>
      </w:tblGrid>
      <w:tr>
        <w:tc>
          <w:tcPr>
            <w:tcW w:type="dxa" w:w="234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Référence</w:t>
            </w:r>
          </w:p>
        </w:tc>
        <w:tc>
          <w:tcPr>
            <w:tcW w:type="dxa" w:w="1404"/>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Date</w:t>
            </w:r>
          </w:p>
        </w:tc>
        <w:tc>
          <w:tcPr>
            <w:tcW w:type="dxa" w:w="1872"/>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Risque</w:t>
            </w:r>
          </w:p>
        </w:tc>
        <w:tc>
          <w:tcPr>
            <w:tcW w:type="dxa" w:w="3744"/>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Différenciation invention</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US-11,449,805 (IBM)</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2022</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Modéré</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FedAvg classique vs ISC + adaptation différentielle</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US-2021/0224721</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2021</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ML paramétrique dense vs arêtes typées de graphe causal</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US-11,210,591 (MS)</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2021</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Pas de personnalisation par ISC</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US-10,635,648</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2020</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Modéré</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Mono-niveau vs défense à 4 niveaux</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US-9,952,580 (Honeywell)</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2018</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 niveaux vs 3, pas de FL inter-sites</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US-10,503,154 (Siemens)</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2019</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Hiérarchie classique vs Global Agent fédéré</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US-11,300,963 (GE)</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2022</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Edge-cloud vs FL pondéré par ISC</w:t>
            </w:r>
          </w:p>
        </w:tc>
      </w:tr>
      <w:tr>
        <w:tc>
          <w:tcPr>
            <w:tcW w:type="dxa" w:w="234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US-10,769,536 (MS)</w:t>
            </w:r>
          </w:p>
        </w:tc>
        <w:tc>
          <w:tcPr>
            <w:tcW w:type="dxa" w:w="140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2020</w:t>
            </w:r>
          </w:p>
        </w:tc>
        <w:tc>
          <w:tcPr>
            <w:tcW w:type="dxa" w:w="1872"/>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w:t>
            </w:r>
          </w:p>
        </w:tc>
        <w:tc>
          <w:tcPr>
            <w:tcW w:type="dxa" w:w="3744"/>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Détection ADWIN vs détection JS + auto-calibration pondérations</w:t>
            </w:r>
          </w:p>
        </w:tc>
      </w:tr>
    </w:tbl>
    <w:p>
      <w:pPr>
        <w:pStyle w:val="Heading1"/>
        <w:pageBreakBefore/>
        <w:spacing w:after="160" w:before="320"/>
      </w:pPr>
      <w:r>
        <w:rPr>
          <w:b/>
          <w:bCs/>
          <w:sz w:val="32"/>
          <w:szCs w:val="32"/>
        </w:rPr>
        <w:t xml:space="preserve">6. ÉTAT DE L'ART NORMATIF (RAMI 4.0, IIRA, OPC-UA, NIS2, RGPD)</w:t>
      </w:r>
    </w:p>
    <w:p>
      <w:pPr>
        <w:pStyle w:val="Heading2"/>
        <w:spacing w:after="120" w:before="240"/>
      </w:pPr>
      <w:r>
        <w:rPr>
          <w:b/>
          <w:bCs/>
          <w:sz w:val="26"/>
          <w:szCs w:val="26"/>
        </w:rPr>
        <w:t xml:space="preserve">6.1 RAMI 4.0 — DIN SPEC 91345:2016</w:t>
      </w:r>
    </w:p>
    <w:p>
      <w:pPr>
        <w:spacing w:after="60" w:before="60"/>
        <w:jc w:val="both"/>
      </w:pPr>
      <w:r>
        <w:t xml:space="preserve">Reference Architectural Model Industrie 4.0 (RAMI 4.0) définit le cadre allemand de l'Industrie 4.0. Modèle tri-dimensionnel : Hierarchy Levels (basé sur IEC 62264), Life Cycle (basé sur IEC 62890), Layers (Asset, Integration, Communication, Information, Functional, Business).</w:t>
      </w:r>
    </w:p>
    <w:p>
      <w:pPr>
        <w:spacing w:after="60" w:before="60"/>
        <w:jc w:val="both"/>
      </w:pPr>
      <w:r>
        <w:t xml:space="preserve">Le Brevet n° 3 se positionne aux niveaux Field Device et Control Device sur l'axe Hierarchy (Equipment Agent), au niveau Station/Work Center (Site Agent), et au niveau Enterprise (Global Agent). Sur l'axe Layers, l'invention opère principalement aux couches Communication, Information et Functional.</w:t>
      </w:r>
    </w:p>
    <w:p>
      <w:pPr>
        <w:pStyle w:val="Heading2"/>
        <w:spacing w:after="120" w:before="240"/>
      </w:pPr>
      <w:r>
        <w:rPr>
          <w:b/>
          <w:bCs/>
          <w:sz w:val="26"/>
          <w:szCs w:val="26"/>
        </w:rPr>
        <w:t xml:space="preserve">6.2 IIRA — Industrial Internet Consortium</w:t>
      </w:r>
    </w:p>
    <w:p>
      <w:pPr>
        <w:spacing w:after="60" w:before="60"/>
        <w:jc w:val="both"/>
      </w:pPr>
      <w:r>
        <w:t xml:space="preserve">Industrial Internet Reference Architecture définit le cadre américain de l'Industrial Internet. Architecture à trois niveaux Edge / Platform / Enterprise. Le Brevet n° 3 mappe naturellement : Edge Tier ↔ Equipment Agent ; Edge/Platform Tier ↔ Site Agent ; Enterprise Tier ↔ Global Agent.</w:t>
      </w:r>
    </w:p>
    <w:p>
      <w:pPr>
        <w:pStyle w:val="Heading2"/>
        <w:spacing w:after="120" w:before="240"/>
      </w:pPr>
      <w:r>
        <w:rPr>
          <w:b/>
          <w:bCs/>
          <w:sz w:val="26"/>
          <w:szCs w:val="26"/>
        </w:rPr>
        <w:t xml:space="preserve">6.3 IEC 62541 — OPC-UA</w:t>
      </w:r>
    </w:p>
    <w:p>
      <w:pPr>
        <w:spacing w:after="60" w:before="60"/>
        <w:jc w:val="both"/>
      </w:pPr>
      <w:r>
        <w:t xml:space="preserve">Norme de communication M2M industrielle sécurisée, supportée par le Brevet n° 3 (revendication 1a implicite via le Brevet n° 1). OPC-UA fournit les mécanismes de sécurité (signature, chiffrement, certificats X.509) qui peuvent être utilisés pour sécuriser les communications inter-Agents.</w:t>
      </w:r>
    </w:p>
    <w:p>
      <w:pPr>
        <w:pStyle w:val="Heading2"/>
        <w:spacing w:after="120" w:before="240"/>
      </w:pPr>
      <w:r>
        <w:rPr>
          <w:b/>
          <w:bCs/>
          <w:sz w:val="26"/>
          <w:szCs w:val="26"/>
        </w:rPr>
        <w:t xml:space="preserve">6.4 ISO/IEC 20922 — MQTT</w:t>
      </w:r>
    </w:p>
    <w:p>
      <w:pPr>
        <w:spacing w:after="60" w:before="60"/>
        <w:jc w:val="both"/>
      </w:pPr>
      <w:r>
        <w:t xml:space="preserve">Protocole pub/sub léger très utilisé en IIoT, supporté par le Brevet n° 3. La sécurité (TLS) est ajoutée par MQTT over TLS.</w:t>
      </w:r>
    </w:p>
    <w:p>
      <w:pPr>
        <w:pStyle w:val="Heading2"/>
        <w:spacing w:after="120" w:before="240"/>
      </w:pPr>
      <w:r>
        <w:rPr>
          <w:b/>
          <w:bCs/>
          <w:sz w:val="26"/>
          <w:szCs w:val="26"/>
        </w:rPr>
        <w:t xml:space="preserve">6.5 Règlement (UE) 2016/679 — RGPD</w:t>
      </w:r>
    </w:p>
    <w:p>
      <w:pPr>
        <w:spacing w:after="60" w:before="60"/>
        <w:jc w:val="both"/>
      </w:pPr>
      <w:r>
        <w:t xml:space="preserve">Le Règlement Général sur la Protection des Données (RGPD) ne s'applique pas directement aux données opérationnelles industrielles non personnelles, mais peut s'appliquer aux journaux d'audit contenant des identités de personnel (opérateurs, mainteneurs). Le confinement à 4 niveaux du Brevet n° 3, combiné à l'exclusion structurelle des identités de personnel des ParametersDelta, assure la conformité RGPD pour ces aspects.</w:t>
      </w:r>
    </w:p>
    <w:p>
      <w:pPr>
        <w:pStyle w:val="Heading2"/>
        <w:spacing w:after="120" w:before="240"/>
      </w:pPr>
      <w:r>
        <w:rPr>
          <w:b/>
          <w:bCs/>
          <w:sz w:val="26"/>
          <w:szCs w:val="26"/>
        </w:rPr>
        <w:t xml:space="preserve">6.6 Directive (UE) 2022/2555 — NIS2</w:t>
      </w:r>
    </w:p>
    <w:p>
      <w:pPr>
        <w:spacing w:after="60" w:before="60"/>
        <w:jc w:val="both"/>
      </w:pPr>
      <w:r>
        <w:t xml:space="preserve">La Directive NIS2 (Network and Information Security 2) impose aux opérateurs essentiels (incluant l'énergie, l'eau, les transports, la santé, les infrastructures numériques, l'industrie chimique et l'industrie agroalimentaire) des exigences de sécurité informatique renforcées. Le confinement à 4 niveaux du Brevet n° 3 et son mécanisme d'auto-calibration constituent des éléments techniques de mise en conformité NIS2.</w:t>
      </w:r>
    </w:p>
    <w:p>
      <w:pPr>
        <w:pStyle w:val="Heading2"/>
        <w:spacing w:after="120" w:before="240"/>
      </w:pPr>
      <w:r>
        <w:rPr>
          <w:b/>
          <w:bCs/>
          <w:sz w:val="26"/>
          <w:szCs w:val="26"/>
        </w:rPr>
        <w:t xml:space="preserve">6.7 Cybersecurity Act (UE) 2019/881</w:t>
      </w:r>
    </w:p>
    <w:p>
      <w:pPr>
        <w:spacing w:after="60" w:before="60"/>
        <w:jc w:val="both"/>
      </w:pPr>
      <w:r>
        <w:t xml:space="preserve">Cadre européen de certification cybersécurité. Les implémentations du Brevet n° 3 peuvent viser une certification EUCC (European Cybersecurity Certification scheme) niveau substantial ou élevé selon le secteur cible.</w:t>
      </w:r>
    </w:p>
    <w:p>
      <w:pPr>
        <w:pStyle w:val="Heading1"/>
        <w:pageBreakBefore/>
        <w:spacing w:after="160" w:before="320"/>
      </w:pPr>
      <w:r>
        <w:rPr>
          <w:b/>
          <w:bCs/>
          <w:sz w:val="32"/>
          <w:szCs w:val="32"/>
        </w:rPr>
        <w:t xml:space="preserve">7. ANALYSE COMPARATIVE ET POSITIONNEMENT DE L'INVENTION</w:t>
      </w:r>
    </w:p>
    <w:p>
      <w:pPr>
        <w:pStyle w:val="Heading2"/>
        <w:spacing w:after="120" w:before="240"/>
      </w:pPr>
      <w:r>
        <w:rPr>
          <w:b/>
          <w:bCs/>
          <w:sz w:val="26"/>
          <w:szCs w:val="26"/>
        </w:rPr>
        <w:t xml:space="preserve">7.1 Positionnement vs FL classique (FedAvg, FedProx)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Critère</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FedAvg / FedProx</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n° 3 MAINTRIX</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Modèle agrégé</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Vecteur de poids ML dense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Arêtes typées de graphe causal industriel</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Pondération d'agrégation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Proportionnelle taille d'échantillon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ISC × Fiabilité × Maturité, par site cible</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Personnalisation locale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Faible (FedAvg) ou par terme proximal (FedProx)</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Adaptation locale différentielle θ × global + (1−θ) × local</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Détection de dérive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Absente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Auto-calibration continue par divergence JS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Données transmises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Gradients ou poids ML (peuvent permettre une rétro-inférence des données)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ParametersDelta structurés excluant strictement les données brutes</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Confinement multi-tenant</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Non spécifié (laissé à l'implémentation)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Défense en profondeur à 4 niveaux</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Effet sur équipements physiques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Indirect (modèle ML serveur)</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Direct (signaux de commande émis localement)</w:t>
            </w:r>
          </w:p>
        </w:tc>
      </w:tr>
    </w:tbl>
    <w:p>
      <w:pPr>
        <w:pStyle w:val="Heading2"/>
        <w:spacing w:after="120" w:before="240"/>
      </w:pPr>
      <w:r>
        <w:rPr>
          <w:b/>
          <w:bCs/>
          <w:sz w:val="26"/>
          <w:szCs w:val="26"/>
        </w:rPr>
        <w:t xml:space="preserve">7.2 Positionnement vs plateformes cloud industrielles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Critère</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Siemens MindSphere, AWS IoT SiteWise</w:t>
            </w:r>
          </w:p>
        </w:tc>
        <w:tc>
          <w:tcPr>
            <w:tcW w:type="dxa" w:w="3120"/>
            <w:tcBorders>
              <w:top w:val="single" w:color="8C8C8C" w:sz="4"/>
              <w:left w:val="single" w:color="8C8C8C" w:sz="4"/>
              <w:bottom w:val="single" w:color="8C8C8C" w:sz="4"/>
              <w:right w:val="single" w:color="8C8C8C" w:sz="4"/>
            </w:tcBorders>
            <w:shd w:fill="D5E8F0" w:val="clear"/>
            <w:tcMar>
              <w:top w:type="dxa" w:w="80"/>
              <w:left w:type="dxa" w:w="120"/>
              <w:bottom w:type="dxa" w:w="80"/>
              <w:right w:type="dxa" w:w="120"/>
            </w:tcMar>
          </w:tcPr>
          <w:p>
            <w:r>
              <w:rPr>
                <w:b/>
                <w:bCs/>
              </w:rPr>
              <w:t xml:space="preserve">Brevet n° 3 MAINTRIX</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Architecture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Centralisée (cloud unique)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Distribuée à 3 niveaux</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Données capteurs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Centralisées dans le cloud</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Restent localement au site</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Mutualisation inter-sites</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Implicite par modèles ML globaux</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Explicite par ParametersDelta pondérés ISC</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Continuité en cas de coupure</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Dégradée (dépendance lien)</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Continue (Site Agent autonome)</w:t>
            </w:r>
          </w:p>
        </w:tc>
      </w:tr>
      <w:tr>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Conformité souveraineté</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Risquée (transferts internationaux)</w:t>
            </w:r>
          </w:p>
        </w:tc>
        <w:tc>
          <w:tcPr>
            <w:tcW w:type="dxa" w:w="3120"/>
            <w:tcBorders>
              <w:top w:val="single" w:color="8C8C8C" w:sz="4"/>
              <w:left w:val="single" w:color="8C8C8C" w:sz="4"/>
              <w:bottom w:val="single" w:color="8C8C8C" w:sz="4"/>
              <w:right w:val="single" w:color="8C8C8C" w:sz="4"/>
            </w:tcBorders>
            <w:tcMar>
              <w:top w:type="dxa" w:w="80"/>
              <w:left w:type="dxa" w:w="120"/>
              <w:bottom w:type="dxa" w:w="80"/>
              <w:right w:type="dxa" w:w="120"/>
            </w:tcMar>
          </w:tcPr>
          <w:p>
            <w:r>
              <w:rPr>
                <w:b w:val="false"/>
                <w:bCs w:val="false"/>
              </w:rPr>
              <w:t xml:space="preserve">Native (données restent locales)</w:t>
            </w:r>
          </w:p>
        </w:tc>
      </w:tr>
    </w:tbl>
    <w:p>
      <w:pPr>
        <w:pStyle w:val="Heading1"/>
        <w:pageBreakBefore/>
        <w:spacing w:after="160" w:before="320"/>
      </w:pPr>
      <w:r>
        <w:rPr>
          <w:b/>
          <w:bCs/>
          <w:sz w:val="32"/>
          <w:szCs w:val="32"/>
        </w:rPr>
        <w:t xml:space="preserve">8. BASES THÉORIQUES ET JUSTIFICATION PAR REVENDICATION</w:t>
      </w:r>
    </w:p>
    <w:p>
      <w:pPr>
        <w:pStyle w:val="Heading2"/>
        <w:spacing w:after="120" w:before="240"/>
      </w:pPr>
      <w:r>
        <w:rPr>
          <w:b/>
          <w:bCs/>
          <w:sz w:val="26"/>
          <w:szCs w:val="26"/>
        </w:rPr>
        <w:t xml:space="preserve">8.1 Revendication 1(a) — Architecture hiérarchique à 3 niveaux</w:t>
      </w:r>
    </w:p>
    <w:p>
      <w:pPr>
        <w:spacing w:after="60" w:before="60"/>
        <w:jc w:val="both"/>
      </w:pPr>
      <w:r>
        <w:t xml:space="preserve">Base scientifique : théorie des systèmes multi-agents (Wooldridge 2009), architectures hiérarchiques (Pěchouček &amp; Mařík 2008), architectures Industrie 4.0 (RAMI 4.0, IIRA).</w:t>
      </w:r>
    </w:p>
    <w:p>
      <w:pPr>
        <w:spacing w:after="60" w:before="60"/>
        <w:jc w:val="both"/>
      </w:pPr>
      <w:r>
        <w:t xml:space="preserve">Le choix d'exactement trois niveaux (Equipment, Site, Global) correspond techniquement aux trois échelles spatiales et temporelles distinctes de la supervision industrielle : (i) échelle équipement individuel — décisions millisecondes à secondes ; (ii) échelle site — décisions secondes à minutes ; (iii) échelle groupe — décisions heures à jours. Cette correspondance technique entre architecture et échelles physiques constitue une justification non-évidente du choix d'exactement trois niveaux.</w:t>
      </w:r>
    </w:p>
    <w:p>
      <w:pPr>
        <w:spacing w:after="60" w:before="60"/>
        <w:jc w:val="both"/>
      </w:pPr>
      <w:r>
        <w:t xml:space="preserve">Suggestion CPI : conserver « exactement trois niveaux » plutôt que « au moins trois niveaux » pour maximiser la nouveauté, tout en envisageant en revendication dépendante des variantes (par exemple un niveau régional intermédiaire entre Site et Global pour les très grands groupes).</w:t>
      </w:r>
    </w:p>
    <w:p>
      <w:pPr>
        <w:pStyle w:val="Heading2"/>
        <w:spacing w:after="120" w:before="240"/>
      </w:pPr>
      <w:r>
        <w:rPr>
          <w:b/>
          <w:bCs/>
          <w:sz w:val="26"/>
          <w:szCs w:val="26"/>
        </w:rPr>
        <w:t xml:space="preserve">8.2 Revendication 1(b) — Protocole de messages typés</w:t>
      </w:r>
    </w:p>
    <w:p>
      <w:pPr>
        <w:spacing w:after="60" w:before="60"/>
        <w:jc w:val="both"/>
      </w:pPr>
      <w:r>
        <w:t xml:space="preserve">Base scientifique : théorie des protocoles de communication M2M, ACL (Agent Communication Language) de FIPA, théorie des systèmes temps réel.</w:t>
      </w:r>
    </w:p>
    <w:p>
      <w:pPr>
        <w:spacing w:after="60" w:before="60"/>
        <w:jc w:val="both"/>
      </w:pPr>
      <w:r>
        <w:t xml:space="preserve">Le choix d'exactement 9 types de messages et 4 niveaux de priorité constitue une typologie minimaliste mais exhaustive couvrant tous les cas d'usage techniques de la supervision distribuée :</w:t>
      </w:r>
    </w:p>
    <w:p>
      <w:pPr>
        <w:pStyle w:val="ListParagraph"/>
        <w:numPr>
          <w:ilvl w:val="0"/>
          <w:numId w:val="3"/>
        </w:numPr>
        <w:spacing w:after="30" w:before="30"/>
        <w:jc w:val="both"/>
      </w:pPr>
      <w:r>
        <w:t xml:space="preserve">3 messages liés aux données : sensor_update, anomaly_alert, feedback_report ;</w:t>
      </w:r>
    </w:p>
    <w:p>
      <w:pPr>
        <w:pStyle w:val="ListParagraph"/>
        <w:numPr>
          <w:ilvl w:val="0"/>
          <w:numId w:val="3"/>
        </w:numPr>
        <w:spacing w:after="30" w:before="30"/>
        <w:jc w:val="both"/>
      </w:pPr>
      <w:r>
        <w:t xml:space="preserve">2 messages liés au diagnostic : diagnosis_request, diagnosis_result ;</w:t>
      </w:r>
    </w:p>
    <w:p>
      <w:pPr>
        <w:pStyle w:val="ListParagraph"/>
        <w:numPr>
          <w:ilvl w:val="0"/>
          <w:numId w:val="3"/>
        </w:numPr>
        <w:spacing w:after="30" w:before="30"/>
        <w:jc w:val="both"/>
      </w:pPr>
      <w:r>
        <w:t xml:space="preserve">1 message lié à l'action : action_command ;</w:t>
      </w:r>
    </w:p>
    <w:p>
      <w:pPr>
        <w:pStyle w:val="ListParagraph"/>
        <w:numPr>
          <w:ilvl w:val="0"/>
          <w:numId w:val="3"/>
        </w:numPr>
        <w:spacing w:after="30" w:before="30"/>
        <w:jc w:val="both"/>
      </w:pPr>
      <w:r>
        <w:t xml:space="preserve">2 messages liés à la connaissance : knowledge_update, model_sync ;</w:t>
      </w:r>
    </w:p>
    <w:p>
      <w:pPr>
        <w:pStyle w:val="ListParagraph"/>
        <w:numPr>
          <w:ilvl w:val="0"/>
          <w:numId w:val="3"/>
        </w:numPr>
        <w:spacing w:after="30" w:before="30"/>
        <w:jc w:val="both"/>
      </w:pPr>
      <w:r>
        <w:t xml:space="preserve">1 message de vitalité : heartbeat.</w:t>
      </w:r>
    </w:p>
    <w:p>
      <w:pPr>
        <w:spacing w:after="60" w:before="60"/>
        <w:jc w:val="both"/>
      </w:pPr>
      <w:r>
        <w:t xml:space="preserve">Cette typologie minimale et exhaustive constitue une caractéristique technique précise, défendable face aux objections d'arbitraire.</w:t>
      </w:r>
    </w:p>
    <w:p>
      <w:pPr>
        <w:pStyle w:val="Heading2"/>
        <w:spacing w:after="120" w:before="240"/>
      </w:pPr>
      <w:r>
        <w:rPr>
          <w:b/>
          <w:bCs/>
          <w:sz w:val="26"/>
          <w:szCs w:val="26"/>
        </w:rPr>
        <w:t xml:space="preserve">8.3 Revendication 1(c) — Synchronisation incrémentale par ParametersDelta</w:t>
      </w:r>
    </w:p>
    <w:p>
      <w:pPr>
        <w:spacing w:after="60" w:before="60"/>
        <w:jc w:val="both"/>
      </w:pPr>
      <w:r>
        <w:t xml:space="preserve">Base scientifique : théorie de la sérialisation typée (Bracha &amp; Cook 1990), schémas Protocol Buffers (Google 2008), théorie de l'information.</w:t>
      </w:r>
    </w:p>
    <w:p>
      <w:pPr>
        <w:spacing w:after="60" w:before="60"/>
        <w:jc w:val="both"/>
      </w:pPr>
      <w:r>
        <w:t xml:space="preserve">Le caractère « zero raw data » garanti par le schéma fermé constitue une caractéristique technique forte distincte de l'apprentissage fédéré classique : alors que FedAvg transmet des gradients qui peuvent potentiellement permettre une rétro-inférence des données d'entraînement (attaques de gradient inversion documentées par Zhu et al. 2019), le schéma fermé du Brevet n° 3 garantit structurellement l'absence de toute donnée opérationnelle brute. Cette garantie est vérifiable par audit du code source et par des assertions techniques de tests automatisés (revendication 15).</w:t>
      </w:r>
    </w:p>
    <w:p>
      <w:pPr>
        <w:pStyle w:val="Heading2"/>
        <w:spacing w:after="120" w:before="240"/>
      </w:pPr>
      <w:r>
        <w:rPr>
          <w:b/>
          <w:bCs/>
          <w:sz w:val="26"/>
          <w:szCs w:val="26"/>
        </w:rPr>
        <w:t xml:space="preserve">8.4 Revendication 1(d) — Indice de Similarité Contextuelle (ISC)</w:t>
      </w:r>
    </w:p>
    <w:p>
      <w:pPr>
        <w:spacing w:after="60" w:before="60"/>
        <w:jc w:val="both"/>
      </w:pPr>
      <w:r>
        <w:t xml:space="preserve">Base scientifique : théorie de la similarité multivariée, indice de Jaccard pondéré (Choi et al. 2010), distances entre distributions de probabilité.</w:t>
      </w:r>
    </w:p>
    <w:p>
      <w:pPr>
        <w:spacing w:after="60" w:before="60"/>
        <w:jc w:val="both"/>
      </w:pPr>
      <w:r>
        <w:t xml:space="preserve">Le choix de quatre dimensions techniques (typologie d'équipement, profil d'usage, stress opérationnel, historique de défaillances) est justifié par l'analyse des facteurs causaux de la performance d'un équipement industriel : un équipement performe différemment selon son type (déterministe), son utilisation (variable), son environnement (contextuel), et son histoire (cumulatif). Ces quatre dimensions couvrent l'ensemble du déterminisme observé de la performance et constituent une partition cohérente du domaine.</w:t>
      </w:r>
    </w:p>
    <w:p>
      <w:pPr>
        <w:spacing w:after="60" w:before="60"/>
        <w:jc w:val="both"/>
      </w:pPr>
      <w:r>
        <w:t xml:space="preserve">Suggestion CPI : conserver « au moins quatre dimensions » plutôt que « exactement quatre » pour ouvrir aux variantes sectorielles (par exemple, ajout d'une dimension réglementaire pour secteurs régulés). Les quatre dimensions listées peuvent être détaillées en revendications dépendantes (2, 3, 4, 5 du Brevet n° 3 v3).</w:t>
      </w:r>
    </w:p>
    <w:p>
      <w:pPr>
        <w:spacing w:after="60" w:before="60"/>
        <w:jc w:val="both"/>
      </w:pPr>
      <w:r>
        <w:t xml:space="preserve">La caractéristique technique fondamentale « calculé exclusivement à partir de données agrégées et anonymisées » est essentielle pour distinguer l'invention des approches FL classiques et pour démontrer la conformité aux exigences de confidentialité opérationnelle.</w:t>
      </w:r>
    </w:p>
    <w:p>
      <w:pPr>
        <w:pStyle w:val="Heading2"/>
        <w:spacing w:after="120" w:before="240"/>
      </w:pPr>
      <w:r>
        <w:rPr>
          <w:b/>
          <w:bCs/>
          <w:sz w:val="26"/>
          <w:szCs w:val="26"/>
        </w:rPr>
        <w:t xml:space="preserve">8.5 Revendication 1(e) — Agrégation pondérée personnalisée par site cible</w:t>
      </w:r>
    </w:p>
    <w:p>
      <w:pPr>
        <w:spacing w:after="60" w:before="60"/>
        <w:jc w:val="both"/>
      </w:pPr>
      <w:r>
        <w:t xml:space="preserve">Base scientifique : théorie de l'agrégation pondérée multi-sources (Khaleghi et al. 2013), apprentissage fédéré personnalisé (Zhou et al. 2024).</w:t>
      </w:r>
    </w:p>
    <w:p>
      <w:pPr>
        <w:spacing w:after="60" w:before="60"/>
        <w:jc w:val="both"/>
      </w:pPr>
      <w:r>
        <w:t xml:space="preserve">La formule Φ_i = α × ISC(i, cible) + β × Fiabilité_i + γ × Maturité_i constitue une innovation technique majeure : la pondération dépend non seulement de la similarité contextuelle (comme FedAH) mais aussi de la fiabilité historique observée et de la maturité industrielle, et est calculée séparément pour chaque site cible (personnalisation par cible, non par cluster).</w:t>
      </w:r>
    </w:p>
    <w:p>
      <w:pPr>
        <w:spacing w:after="60" w:before="60"/>
        <w:jc w:val="both"/>
      </w:pPr>
      <w:r>
        <w:t xml:space="preserve">L'introduction simultanée de trois facteurs (ISC, Fiabilité, Maturité) avec une combinaison linéaire pondérée par α + β + γ = 1 constitue une heuristique technique précise dont la justification théorique est :</w:t>
      </w:r>
    </w:p>
    <w:p>
      <w:pPr>
        <w:pStyle w:val="ListParagraph"/>
        <w:numPr>
          <w:ilvl w:val="0"/>
          <w:numId w:val="3"/>
        </w:numPr>
        <w:spacing w:after="30" w:before="30"/>
        <w:jc w:val="both"/>
      </w:pPr>
      <w:r>
        <w:t xml:space="preserve">ISC : pertinence contextuelle (priorité aux sites contextuellement proches du site cible) ;</w:t>
      </w:r>
    </w:p>
    <w:p>
      <w:pPr>
        <w:pStyle w:val="ListParagraph"/>
        <w:numPr>
          <w:ilvl w:val="0"/>
          <w:numId w:val="3"/>
        </w:numPr>
        <w:spacing w:after="30" w:before="30"/>
        <w:jc w:val="both"/>
      </w:pPr>
      <w:r>
        <w:t xml:space="preserve">Fiabilité : pertinence historique (priorité aux sites dont les contributions passées ont été techniquement bonnes) ;</w:t>
      </w:r>
    </w:p>
    <w:p>
      <w:pPr>
        <w:pStyle w:val="ListParagraph"/>
        <w:numPr>
          <w:ilvl w:val="0"/>
          <w:numId w:val="3"/>
        </w:numPr>
        <w:spacing w:after="30" w:before="30"/>
        <w:jc w:val="both"/>
      </w:pPr>
      <w:r>
        <w:t xml:space="preserve">Maturité : pertinence d'expérience (priorité aux sites disposant d'un historique substantiel et structuré).</w:t>
      </w:r>
    </w:p>
    <w:p>
      <w:pPr>
        <w:spacing w:after="60" w:before="60"/>
        <w:jc w:val="both"/>
      </w:pPr>
      <w:r>
        <w:t xml:space="preserve">Suggestion CPI : préciser en revendication dépendante les bornes typiques des coefficients (α ∈ [0,3 ; 0,6] ; β ∈ [0,2 ; 0,5] ; γ ∈ [0,1 ; 0,3]) pour renforcer la précision technique sans rigidifier excessivement.</w:t>
      </w:r>
    </w:p>
    <w:p>
      <w:pPr>
        <w:pStyle w:val="Heading2"/>
        <w:spacing w:after="120" w:before="240"/>
      </w:pPr>
      <w:r>
        <w:rPr>
          <w:b/>
          <w:bCs/>
          <w:sz w:val="26"/>
          <w:szCs w:val="26"/>
        </w:rPr>
        <w:t xml:space="preserve">8.6 Revendication 1(f) — Adaptation locale différentielle</w:t>
      </w:r>
    </w:p>
    <w:p>
      <w:pPr>
        <w:spacing w:after="60" w:before="60"/>
        <w:jc w:val="both"/>
      </w:pPr>
      <w:r>
        <w:t xml:space="preserve">Base scientifique : théorie de l'apprentissage fédéré personnalisé (FedPer, Arivazhagan et al. 2019), théorie du contrôle adaptatif distribué, mélange convexe d'estimateurs.</w:t>
      </w:r>
    </w:p>
    <w:p>
      <w:pPr>
        <w:spacing w:after="60" w:before="60"/>
        <w:jc w:val="both"/>
      </w:pPr>
      <w:r>
        <w:t xml:space="preserve">La formule Poids_a^local(S) = θ × Poids_a^global + (1 − θ) × Poids_a^historique(S) est un mélange convexe préservant la spécialisation locale validée du site destinataire. Le coefficient θ ∈ [0,1] est ajusté par site selon trois facteurs (fiabilité locale, maturité, spécificité contextuelle), ce qui constitue une calibration technique précise.</w:t>
      </w:r>
    </w:p>
    <w:p>
      <w:pPr>
        <w:spacing w:after="60" w:before="60"/>
        <w:jc w:val="both"/>
      </w:pPr>
      <w:r>
        <w:t xml:space="preserve">Justification théorique : un site mature avec une fiabilité élevée a peu à gagner de l'agrégation (sa propre histoire le calibre déjà bien) — son θ est faible ; à l'inverse, un site neuf a tout à gagner de l'agrégation — son θ est élevé. Cette adaptation différentielle évite la dégradation observée des FedAvg classiques sur les clients spécialisés.</w:t>
      </w:r>
    </w:p>
    <w:p>
      <w:pPr>
        <w:pStyle w:val="Heading2"/>
        <w:spacing w:after="120" w:before="240"/>
      </w:pPr>
      <w:r>
        <w:rPr>
          <w:b/>
          <w:bCs/>
          <w:sz w:val="26"/>
          <w:szCs w:val="26"/>
        </w:rPr>
        <w:t xml:space="preserve">8.7 Revendication 1(g) — Auto-calibration par détection de dérive</w:t>
      </w:r>
    </w:p>
    <w:p>
      <w:pPr>
        <w:spacing w:after="60" w:before="60"/>
        <w:jc w:val="both"/>
      </w:pPr>
      <w:r>
        <w:t xml:space="preserve">Base scientifique : détection de dérive conceptuelle (Gama et al. 2014), théorie de l'information (Kullback-Leibler 1951, Lin 1991), apprentissage online robuste.</w:t>
      </w:r>
    </w:p>
    <w:p>
      <w:pPr>
        <w:spacing w:after="60" w:before="60"/>
        <w:jc w:val="both"/>
      </w:pPr>
      <w:r>
        <w:t xml:space="preserve">La combinaison technique « détection JS/KL + réaction par réajustement des pondérations + augmentation temporaire du θ » constitue une innovation significative : la plupart des méthodes existantes se limitent à la détection (et au déclenchement d'un ré-entraînement coûteux), là où le Brevet n° 3 propose une réaction technique fine (ajustement des pondérations α, β, γ et δ_k, ajustement de θ) qui adapte continûment le système sans nécessiter de ré-entraînement global.</w:t>
      </w:r>
    </w:p>
    <w:p>
      <w:pPr>
        <w:spacing w:after="60" w:before="60"/>
        <w:jc w:val="both"/>
      </w:pPr>
      <w:r>
        <w:t xml:space="preserve">Suggestion CPI : la valeur du seuil S_dérive = 0,5 par défaut est mentionnée mais elle peut être calibrée selon le contexte. Conserver en revendication principale une plage (par exemple [0,2 ; 1,0]) plutôt qu'une valeur fixe maximise la portée.</w:t>
      </w:r>
    </w:p>
    <w:p>
      <w:pPr>
        <w:pStyle w:val="Heading2"/>
        <w:spacing w:after="120" w:before="240"/>
      </w:pPr>
      <w:r>
        <w:rPr>
          <w:b/>
          <w:bCs/>
          <w:sz w:val="26"/>
          <w:szCs w:val="26"/>
        </w:rPr>
        <w:t xml:space="preserve">8.8 Revendication 1(h) — Confinement multi-tenant à 4 niveaux</w:t>
      </w:r>
    </w:p>
    <w:p>
      <w:pPr>
        <w:spacing w:after="60" w:before="60"/>
        <w:jc w:val="both"/>
      </w:pPr>
      <w:r>
        <w:t xml:space="preserve">Base scientifique : défense en profondeur (Bell-LaPadula 1973, Biba 1977), sécurité multi-tenant SaaS (littérature spécialisée 2023-2024), Row-Level Security (PostgreSQL, SQL Server, Oracle).</w:t>
      </w:r>
    </w:p>
    <w:p>
      <w:pPr>
        <w:spacing w:after="60" w:before="60"/>
        <w:jc w:val="both"/>
      </w:pPr>
      <w:r>
        <w:t xml:space="preserve">Le choix d'exactement 4 niveaux (injection tenantId + RLS + validation réponse + journalisation chiffrée) constitue le minimum technique défendable pour une garantie « zero data leakage » : chaque niveau corrige les défaillances potentielles des autres. La littérature spécialisée converge sur ce nombre comme minimum techniquement justifiable.</w:t>
      </w:r>
    </w:p>
    <w:p>
      <w:pPr>
        <w:pStyle w:val="Heading1"/>
        <w:pageBreakBefore/>
        <w:spacing w:after="160" w:before="320"/>
      </w:pPr>
      <w:r>
        <w:rPr>
          <w:b/>
          <w:bCs/>
          <w:sz w:val="32"/>
          <w:szCs w:val="32"/>
        </w:rPr>
        <w:t xml:space="preserve">9. DÉMONSTRATION DE L'ACTIVITÉ INVENTIVE</w:t>
      </w:r>
    </w:p>
    <w:p>
      <w:pPr>
        <w:pStyle w:val="Heading2"/>
        <w:spacing w:after="120" w:before="240"/>
      </w:pPr>
      <w:r>
        <w:rPr>
          <w:b/>
          <w:bCs/>
          <w:sz w:val="26"/>
          <w:szCs w:val="26"/>
        </w:rPr>
        <w:t xml:space="preserve">9.1 Approche problème-solution OEB</w:t>
      </w:r>
    </w:p>
    <w:p>
      <w:pPr>
        <w:spacing w:after="60" w:before="60"/>
        <w:jc w:val="both"/>
      </w:pPr>
      <w:r>
        <w:t xml:space="preserve">L'antériorité la plus proche pour le Brevet n° 3 est probablement la combinaison hypothétique de : (i) une plateforme FL industrielle (type US-11,449,805 IBM) ; (ii) une architecture multi-tenant SaaS à un niveau de filtrage (type US-10,635,648) ; (iii) une publication académique sur la détection de dérive par divergence JS (type Wang et al. 2022).</w:t>
      </w:r>
    </w:p>
    <w:p>
      <w:pPr>
        <w:pStyle w:val="Heading2"/>
        <w:spacing w:after="120" w:before="240"/>
      </w:pPr>
      <w:r>
        <w:rPr>
          <w:b/>
          <w:bCs/>
          <w:sz w:val="26"/>
          <w:szCs w:val="26"/>
        </w:rPr>
        <w:t xml:space="preserve">9.2 Différences techniques objectives</w:t>
      </w:r>
    </w:p>
    <w:p>
      <w:pPr>
        <w:spacing w:after="60" w:before="60"/>
        <w:jc w:val="both"/>
      </w:pPr>
      <w:r>
        <w:t xml:space="preserve">L'invention se distingue par au moins sept différences techniques objectives :</w:t>
      </w:r>
    </w:p>
    <w:p>
      <w:pPr>
        <w:pStyle w:val="ListParagraph"/>
        <w:numPr>
          <w:ilvl w:val="0"/>
          <w:numId w:val="2"/>
        </w:numPr>
        <w:spacing w:after="30" w:before="30"/>
        <w:jc w:val="both"/>
      </w:pPr>
      <w:r>
        <w:t xml:space="preserve">Pondération d'agrégation par un facteur Φ = α × ISC + β × Fiabilité + γ × Maturité calculé séparément pour chaque site cible (les antériorités utilisent l'agrégation par moyenne pondérée par taille d'échantillon, sans personnalisation par cible) ;</w:t>
      </w:r>
    </w:p>
    <w:p>
      <w:pPr>
        <w:pStyle w:val="ListParagraph"/>
        <w:numPr>
          <w:ilvl w:val="0"/>
          <w:numId w:val="2"/>
        </w:numPr>
        <w:spacing w:after="30" w:before="30"/>
        <w:jc w:val="both"/>
      </w:pPr>
      <w:r>
        <w:t xml:space="preserve">Indice de Similarité Contextuelle ISC à quatre dimensions opérationnelles techniques (typologie d'équipement, profil d'usage, stress, historique), calculé exclusivement sur données agrégées et anonymisées (innovation absente de la littérature FL existante) ;</w:t>
      </w:r>
    </w:p>
    <w:p>
      <w:pPr>
        <w:pStyle w:val="ListParagraph"/>
        <w:numPr>
          <w:ilvl w:val="0"/>
          <w:numId w:val="2"/>
        </w:numPr>
        <w:spacing w:after="30" w:before="30"/>
        <w:jc w:val="both"/>
      </w:pPr>
      <w:r>
        <w:t xml:space="preserve">Adaptation locale différentielle préservant la spécialisation des sites matures par mélange convexe θ × global + (1−θ) × historique avec θ ajusté par site (les FedAvg/FedProx classiques appliquent uniformément le modèle global) ;</w:t>
      </w:r>
    </w:p>
    <w:p>
      <w:pPr>
        <w:pStyle w:val="ListParagraph"/>
        <w:numPr>
          <w:ilvl w:val="0"/>
          <w:numId w:val="2"/>
        </w:numPr>
        <w:spacing w:after="30" w:before="30"/>
        <w:jc w:val="both"/>
      </w:pPr>
      <w:r>
        <w:t xml:space="preserve">Schéma de sérialisation fermé excluant structurellement les données opérationnelles brutes (les FL classiques peuvent permettre une rétro-inférence par gradient inversion) ;</w:t>
      </w:r>
    </w:p>
    <w:p>
      <w:pPr>
        <w:pStyle w:val="ListParagraph"/>
        <w:numPr>
          <w:ilvl w:val="0"/>
          <w:numId w:val="2"/>
        </w:numPr>
        <w:spacing w:after="30" w:before="30"/>
        <w:jc w:val="both"/>
      </w:pPr>
      <w:r>
        <w:t xml:space="preserve">Auto-calibration continue par détection de dérive conceptuelle déclenchant un réajustement technique des pondérations α, β, γ, δ_k et du coefficient θ (combinaison absente des antériorités) ;</w:t>
      </w:r>
    </w:p>
    <w:p>
      <w:pPr>
        <w:pStyle w:val="ListParagraph"/>
        <w:numPr>
          <w:ilvl w:val="0"/>
          <w:numId w:val="2"/>
        </w:numPr>
        <w:spacing w:after="30" w:before="30"/>
        <w:jc w:val="both"/>
      </w:pPr>
      <w:r>
        <w:t xml:space="preserve">Défense en profondeur multi-tenant à exactement 4 niveaux complémentaires (les antériorités utilisent au mieux 1 ou 2 niveaux) ;</w:t>
      </w:r>
    </w:p>
    <w:p>
      <w:pPr>
        <w:pStyle w:val="ListParagraph"/>
        <w:numPr>
          <w:ilvl w:val="0"/>
          <w:numId w:val="2"/>
        </w:numPr>
        <w:spacing w:after="30" w:before="30"/>
        <w:jc w:val="both"/>
      </w:pPr>
      <w:r>
        <w:t xml:space="preserve">Architecture hiérarchique à exactement 3 niveaux (Equipment, Site, Global) avec protocole de communication à 9 types de messages et 4 priorités, intégrant le bypass des messages critical pour les alertes de sécurité (absent des antériorités multi-agents classiques).</w:t>
      </w:r>
    </w:p>
    <w:p>
      <w:pPr>
        <w:pStyle w:val="Heading2"/>
        <w:spacing w:after="120" w:before="240"/>
      </w:pPr>
      <w:r>
        <w:rPr>
          <w:b/>
          <w:bCs/>
          <w:sz w:val="26"/>
          <w:szCs w:val="26"/>
        </w:rPr>
        <w:t xml:space="preserve">9.3 Effet technique synergique non-évident</w:t>
      </w:r>
    </w:p>
    <w:p>
      <w:pPr>
        <w:spacing w:after="60" w:before="60"/>
        <w:jc w:val="both"/>
      </w:pPr>
      <w:r>
        <w:t xml:space="preserve">L'effet technique synergique de la combinaison est non-évident :</w:t>
      </w:r>
    </w:p>
    <w:p>
      <w:pPr>
        <w:pStyle w:val="ListParagraph"/>
        <w:numPr>
          <w:ilvl w:val="0"/>
          <w:numId w:val="3"/>
        </w:numPr>
        <w:spacing w:after="30" w:before="30"/>
        <w:jc w:val="both"/>
      </w:pPr>
      <w:r>
        <w:t xml:space="preserve">ISC + agrégation pondérée → consolidation contextuellement pertinente, plus efficace que la moyenne naïve sur sites hétérogènes (synergie pertinence) ;</w:t>
      </w:r>
    </w:p>
    <w:p>
      <w:pPr>
        <w:pStyle w:val="ListParagraph"/>
        <w:numPr>
          <w:ilvl w:val="0"/>
          <w:numId w:val="3"/>
        </w:numPr>
        <w:spacing w:after="30" w:before="30"/>
        <w:jc w:val="both"/>
      </w:pPr>
      <w:r>
        <w:t xml:space="preserve">Adaptation différentielle + auto-calibration → résilience long terme préservant les acquis locaux tout en s'adaptant aux évolutions (synergie résilience) ;</w:t>
      </w:r>
    </w:p>
    <w:p>
      <w:pPr>
        <w:pStyle w:val="ListParagraph"/>
        <w:numPr>
          <w:ilvl w:val="0"/>
          <w:numId w:val="3"/>
        </w:numPr>
        <w:spacing w:after="30" w:before="30"/>
        <w:jc w:val="both"/>
      </w:pPr>
      <w:r>
        <w:t xml:space="preserve">Schéma fermé + confinement 4 niveaux → garantie technique de confidentialité opérationnelle multi-niveaux (synergie confidentialité) ;</w:t>
      </w:r>
    </w:p>
    <w:p>
      <w:pPr>
        <w:pStyle w:val="ListParagraph"/>
        <w:numPr>
          <w:ilvl w:val="0"/>
          <w:numId w:val="3"/>
        </w:numPr>
        <w:spacing w:after="30" w:before="30"/>
        <w:jc w:val="both"/>
      </w:pPr>
      <w:r>
        <w:t xml:space="preserve">Architecture 3 niveaux + protocole typé + bypass critical → coordination temps réel robuste avec gestion priorisée des urgences (synergie réactivité).</w:t>
      </w:r>
    </w:p>
    <w:p>
      <w:pPr>
        <w:pStyle w:val="Heading2"/>
        <w:spacing w:after="120" w:before="240"/>
      </w:pPr>
      <w:r>
        <w:rPr>
          <w:b/>
          <w:bCs/>
          <w:sz w:val="26"/>
          <w:szCs w:val="26"/>
        </w:rPr>
        <w:t xml:space="preserve">9.4 Test Alice/Mayo (USPTO)</w:t>
      </w:r>
    </w:p>
    <w:p>
      <w:pPr>
        <w:spacing w:after="60" w:before="60"/>
        <w:jc w:val="both"/>
      </w:pPr>
      <w:r>
        <w:t xml:space="preserve">Étape 1 : la revendication 1 vise une amélioration concrète d'un système distribué de supervision et contrôle d'équipements industriels physiques, avec génération de signaux de commande modifiant le fonctionnement de machines. L'architecture matérielle d'agents (Equipment Agent sur dispositif physique edge, Site Agent sur serveur de site, Global Agent sur serveur cloud) et l'effet technique sur les équipements physiques placent l'invention hors du champ des matières exclues. Devrait passer l'étape 1.</w:t>
      </w:r>
    </w:p>
    <w:p>
      <w:pPr>
        <w:spacing w:after="60" w:before="60"/>
        <w:jc w:val="both"/>
      </w:pPr>
      <w:r>
        <w:t xml:space="preserve">Étape 2 : même si certains éléments (ISC, agrégation pondérée, détection de dérive, mélange convexe) sont mathématiques au sens strict, leur intégration spécifique dans un système distribué techniquement architecturé (3 niveaux, protocole typé, confinement matériel multi-tenant) produisant un effet technique sur des équipements physiques (amélioration de la qualité des signaux de commande émis par chaque site) constitue un « inventive concept ». La référence aux normes RAMI 4.0, IIRA et OPC-UA renforce le caractère technique.</w:t>
      </w:r>
    </w:p>
    <w:p>
      <w:pPr>
        <w:pStyle w:val="Heading1"/>
        <w:pageBreakBefore/>
        <w:spacing w:after="160" w:before="320"/>
      </w:pPr>
      <w:r>
        <w:rPr>
          <w:b/>
          <w:bCs/>
          <w:sz w:val="32"/>
          <w:szCs w:val="32"/>
        </w:rPr>
        <w:t xml:space="preserve">10. SUGGESTIONS DE STRATÉGIE DE REVENDICATIONS POUR LE CPI</w:t>
      </w:r>
    </w:p>
    <w:p>
      <w:pPr>
        <w:pStyle w:val="Heading2"/>
        <w:spacing w:after="120" w:before="240"/>
      </w:pPr>
      <w:r>
        <w:rPr>
          <w:b/>
          <w:bCs/>
          <w:sz w:val="26"/>
          <w:szCs w:val="26"/>
        </w:rPr>
        <w:t xml:space="preserve">10.1 Architecture proposée</w:t>
      </w:r>
    </w:p>
    <w:p>
      <w:pPr>
        <w:spacing w:after="60" w:before="60"/>
        <w:jc w:val="both"/>
      </w:pPr>
      <w:r>
        <w:t xml:space="preserve">Le projet v3 propose 20 revendications. Le CPI peut envisager :</w:t>
      </w:r>
    </w:p>
    <w:p>
      <w:pPr>
        <w:pStyle w:val="ListParagraph"/>
        <w:numPr>
          <w:ilvl w:val="0"/>
          <w:numId w:val="2"/>
        </w:numPr>
        <w:spacing w:after="30" w:before="30"/>
        <w:jc w:val="both"/>
      </w:pPr>
      <w:r>
        <w:t xml:space="preserve">Revendication 1 principale couvrant les 8 modules (a-h) ;</w:t>
      </w:r>
    </w:p>
    <w:p>
      <w:pPr>
        <w:pStyle w:val="ListParagraph"/>
        <w:numPr>
          <w:ilvl w:val="0"/>
          <w:numId w:val="2"/>
        </w:numPr>
        <w:spacing w:after="30" w:before="30"/>
        <w:jc w:val="both"/>
      </w:pPr>
      <w:r>
        <w:t xml:space="preserve">Revendications dépendantes par groupes thématiques : (i) architecture multi-agent ; (ii) protocole ; (iii) ParametersDelta ; (iv) ISC et ses dimensions ; (v) agrégation Φ ; (vi) adaptation θ ; (vii) auto-calibration ; (viii) confinement 4 niveaux ;</w:t>
      </w:r>
    </w:p>
    <w:p>
      <w:pPr>
        <w:pStyle w:val="ListParagraph"/>
        <w:numPr>
          <w:ilvl w:val="0"/>
          <w:numId w:val="2"/>
        </w:numPr>
        <w:spacing w:after="30" w:before="30"/>
        <w:jc w:val="both"/>
      </w:pPr>
      <w:r>
        <w:t xml:space="preserve">Revendications de procédé (19) et produit programme (20) — déjà présentes.</w:t>
      </w:r>
    </w:p>
    <w:p>
      <w:pPr>
        <w:pStyle w:val="Heading2"/>
        <w:spacing w:after="120" w:before="240"/>
      </w:pPr>
      <w:r>
        <w:rPr>
          <w:b/>
          <w:bCs/>
          <w:sz w:val="26"/>
          <w:szCs w:val="26"/>
        </w:rPr>
        <w:t xml:space="preserve">10.2 Positions de repli identifiées</w:t>
      </w:r>
    </w:p>
    <w:p>
      <w:pPr>
        <w:pStyle w:val="ListParagraph"/>
        <w:numPr>
          <w:ilvl w:val="0"/>
          <w:numId w:val="3"/>
        </w:numPr>
        <w:spacing w:after="30" w:before="30"/>
        <w:jc w:val="both"/>
      </w:pPr>
      <w:r>
        <w:t xml:space="preserve">Position n° 1 : retirer l'auto-calibration par dérive et reformuler centrée sur [architecture 3 niveaux + ParametersDelta + ISC + agrégation pondérée + adaptation différentielle + confinement 4 niveaux]. Préserve la plupart des éléments distinctifs.</w:t>
      </w:r>
    </w:p>
    <w:p>
      <w:pPr>
        <w:pStyle w:val="ListParagraph"/>
        <w:numPr>
          <w:ilvl w:val="0"/>
          <w:numId w:val="3"/>
        </w:numPr>
        <w:spacing w:after="30" w:before="30"/>
        <w:jc w:val="both"/>
      </w:pPr>
      <w:r>
        <w:t xml:space="preserve">Position n° 2 : revendication centrée sur l'ISC seul + agrégation pondérée — la combinaison la plus distinctive vs FL classique. Position défensive forte sur la technique d'agrégation contextuellement pertinente.</w:t>
      </w:r>
    </w:p>
    <w:p>
      <w:pPr>
        <w:pStyle w:val="ListParagraph"/>
        <w:numPr>
          <w:ilvl w:val="0"/>
          <w:numId w:val="3"/>
        </w:numPr>
        <w:spacing w:after="30" w:before="30"/>
        <w:jc w:val="both"/>
      </w:pPr>
      <w:r>
        <w:t xml:space="preserve">Position n° 3 (ultime) : revendication centrée sur le confinement multi-tenant à 4 niveaux complémentaires appliqué à un système distribué industriel — position défensive si toutes les autres composantes étaient rejetées.</w:t>
      </w:r>
    </w:p>
    <w:p>
      <w:pPr>
        <w:pStyle w:val="Heading2"/>
        <w:spacing w:after="120" w:before="240"/>
      </w:pPr>
      <w:r>
        <w:rPr>
          <w:b/>
          <w:bCs/>
          <w:sz w:val="26"/>
          <w:szCs w:val="26"/>
        </w:rPr>
        <w:t xml:space="preserve">10.3 Suggestions de revendications complémentaires</w:t>
      </w:r>
    </w:p>
    <w:p>
      <w:pPr>
        <w:pStyle w:val="ListParagraph"/>
        <w:numPr>
          <w:ilvl w:val="0"/>
          <w:numId w:val="3"/>
        </w:numPr>
        <w:spacing w:after="30" w:before="30"/>
        <w:jc w:val="both"/>
      </w:pPr>
      <w:r>
        <w:t xml:space="preserve">Revendication sur la conformité du système aux architectures de référence RAMI 4.0 / IIRA, ce qui ouvre des opportunités commerciales de certification ;</w:t>
      </w:r>
    </w:p>
    <w:p>
      <w:pPr>
        <w:pStyle w:val="ListParagraph"/>
        <w:numPr>
          <w:ilvl w:val="0"/>
          <w:numId w:val="3"/>
        </w:numPr>
        <w:spacing w:after="30" w:before="30"/>
        <w:jc w:val="both"/>
      </w:pPr>
      <w:r>
        <w:t xml:space="preserve">Revendication sur les exigences techniques pour la conformité NIS2 (journalisation chiffrée, audit, défense en profondeur) ;</w:t>
      </w:r>
    </w:p>
    <w:p>
      <w:pPr>
        <w:pStyle w:val="ListParagraph"/>
        <w:numPr>
          <w:ilvl w:val="0"/>
          <w:numId w:val="3"/>
        </w:numPr>
        <w:spacing w:after="30" w:before="30"/>
        <w:jc w:val="both"/>
      </w:pPr>
      <w:r>
        <w:t xml:space="preserve">Revendication précisant les types de communication entre Agents (OPC-UA pour Equipment ↔ Site Agent ; MQTT over TLS pour Site ↔ Global Agent) ;</w:t>
      </w:r>
    </w:p>
    <w:p>
      <w:pPr>
        <w:pStyle w:val="ListParagraph"/>
        <w:numPr>
          <w:ilvl w:val="0"/>
          <w:numId w:val="3"/>
        </w:numPr>
        <w:spacing w:after="30" w:before="30"/>
        <w:jc w:val="both"/>
      </w:pPr>
      <w:r>
        <w:t xml:space="preserve">Revendication sur la possibilité de fonctionnement dégradé technique d'un Site Agent en cas de coupure prolongée avec le Global Agent (autonomie distribuée).</w:t>
      </w:r>
    </w:p>
    <w:p>
      <w:pPr>
        <w:pStyle w:val="Heading2"/>
        <w:spacing w:after="120" w:before="240"/>
      </w:pPr>
      <w:r>
        <w:rPr>
          <w:b/>
          <w:bCs/>
          <w:sz w:val="26"/>
          <w:szCs w:val="26"/>
        </w:rPr>
        <w:t xml:space="preserve">10.4 Pièges à éviter</w:t>
      </w:r>
    </w:p>
    <w:p>
      <w:pPr>
        <w:pStyle w:val="ListParagraph"/>
        <w:numPr>
          <w:ilvl w:val="0"/>
          <w:numId w:val="3"/>
        </w:numPr>
        <w:spacing w:after="30" w:before="30"/>
        <w:jc w:val="both"/>
      </w:pPr>
      <w:r>
        <w:t xml:space="preserve">Ne pas revendiquer « apprentissage fédéré » comme tel : préférer « synchronisation incrémentale » et « agrégation pondérée », vocabulaire technique moins exposé aux objections d'abstraction ;</w:t>
      </w:r>
    </w:p>
    <w:p>
      <w:pPr>
        <w:pStyle w:val="ListParagraph"/>
        <w:numPr>
          <w:ilvl w:val="0"/>
          <w:numId w:val="3"/>
        </w:numPr>
        <w:spacing w:after="30" w:before="30"/>
        <w:jc w:val="both"/>
      </w:pPr>
      <w:r>
        <w:t xml:space="preserve">Insister sur l'effet technique sur les signaux de commande émis localement par chaque Site Agent — c'est l'ancrage technique sur les équipements physiques ;</w:t>
      </w:r>
    </w:p>
    <w:p>
      <w:pPr>
        <w:pStyle w:val="ListParagraph"/>
        <w:numPr>
          <w:ilvl w:val="0"/>
          <w:numId w:val="3"/>
        </w:numPr>
        <w:spacing w:after="30" w:before="30"/>
        <w:jc w:val="both"/>
      </w:pPr>
      <w:r>
        <w:t xml:space="preserve">Préciser systématiquement « exclusivement à partir de données agrégées et anonymisées » pour l'ISC — c'est la caractéristique technique qui distingue de FedAvg classique et qui démontre la confidentialité ;</w:t>
      </w:r>
    </w:p>
    <w:p>
      <w:pPr>
        <w:pStyle w:val="ListParagraph"/>
        <w:numPr>
          <w:ilvl w:val="0"/>
          <w:numId w:val="3"/>
        </w:numPr>
        <w:spacing w:after="30" w:before="30"/>
        <w:jc w:val="both"/>
      </w:pPr>
      <w:r>
        <w:t xml:space="preserve">Mentionner la conformité explicite RGPD / NIS2 pour positionner le brevet sur le marché européen régulé.</w:t>
      </w:r>
    </w:p>
    <w:p>
      <w:pPr>
        <w:pStyle w:val="Heading1"/>
        <w:pageBreakBefore/>
        <w:spacing w:after="160" w:before="320"/>
      </w:pPr>
      <w:r>
        <w:rPr>
          <w:b/>
          <w:bCs/>
          <w:sz w:val="32"/>
          <w:szCs w:val="32"/>
        </w:rPr>
        <w:t xml:space="preserve">11. RISQUES D'EXAMEN ET STRATÉGIES DE RÉPONSE</w:t>
      </w:r>
    </w:p>
    <w:p>
      <w:pPr>
        <w:pStyle w:val="Heading2"/>
        <w:spacing w:after="120" w:before="240"/>
      </w:pPr>
      <w:r>
        <w:rPr>
          <w:b/>
          <w:bCs/>
          <w:sz w:val="26"/>
          <w:szCs w:val="26"/>
        </w:rPr>
        <w:t xml:space="preserve">11.1 Risque n° 1 — Objection sur le caractère technique</w:t>
      </w:r>
    </w:p>
    <w:p>
      <w:pPr>
        <w:spacing w:after="60" w:before="60"/>
        <w:jc w:val="both"/>
      </w:pPr>
      <w:r>
        <w:t xml:space="preserve">Risque : l'examinateur peut considérer que l'agrégation pondérée, l'adaptation différentielle et la détection de dérive sont des méthodes mathématiques pures.</w:t>
      </w:r>
    </w:p>
    <w:p>
      <w:pPr>
        <w:spacing w:after="60" w:before="60"/>
        <w:jc w:val="both"/>
      </w:pPr>
      <w:r>
        <w:t xml:space="preserve">Stratégie : invoquer T 0697/17 et la jurisprudence OEB sur les architectures distribuées techniques, insister sur l'effet technique direct (signaux de commande modifiant le fonctionnement opérationnel d'équipements industriels physiques), et démontrer le caractère technique de l'architecture matérielle (Equipment Agent edge, dispositif d'enclavement multi-tenant). G 1/19 sur les simulations techniques s'applique également : la synchronisation incrémentale est un outil technique au service d'un effet technique.</w:t>
      </w:r>
    </w:p>
    <w:p>
      <w:pPr>
        <w:pStyle w:val="Heading2"/>
        <w:spacing w:after="120" w:before="240"/>
      </w:pPr>
      <w:r>
        <w:rPr>
          <w:b/>
          <w:bCs/>
          <w:sz w:val="26"/>
          <w:szCs w:val="26"/>
        </w:rPr>
        <w:t xml:space="preserve">11.2 Risque n° 2 — Objection sur l'évidence vs FedAH/FedAvg</w:t>
      </w:r>
    </w:p>
    <w:p>
      <w:pPr>
        <w:spacing w:after="60" w:before="60"/>
        <w:jc w:val="both"/>
      </w:pPr>
      <w:r>
        <w:t xml:space="preserve">Risque : l'examinateur peut considérer que la pondération par ISC + Fiabilité + Maturité est une évolution évidente de FedAH (Zhou et al. 2024).</w:t>
      </w:r>
    </w:p>
    <w:p>
      <w:pPr>
        <w:spacing w:after="60" w:before="60"/>
        <w:jc w:val="both"/>
      </w:pPr>
      <w:r>
        <w:t xml:space="preserve">Stratégie : démontrer les différences techniques (calcul par site cible vs global ; quatre dimensions opérationnelles techniques vs paramètres ML ; intégration à l'adaptation locale différentielle + auto-calibration). Insister sur l'effet technique synergique multi-niveau non-évident (pertinence + résilience + confidentialité + réactivité).</w:t>
      </w:r>
    </w:p>
    <w:p>
      <w:pPr>
        <w:pStyle w:val="Heading2"/>
        <w:spacing w:after="120" w:before="240"/>
      </w:pPr>
      <w:r>
        <w:rPr>
          <w:b/>
          <w:bCs/>
          <w:sz w:val="26"/>
          <w:szCs w:val="26"/>
        </w:rPr>
        <w:t xml:space="preserve">11.3 Risque n° 3 — Objection sur l'arbitraire des choix numériques</w:t>
      </w:r>
    </w:p>
    <w:p>
      <w:pPr>
        <w:spacing w:after="60" w:before="60"/>
        <w:jc w:val="both"/>
      </w:pPr>
      <w:r>
        <w:t xml:space="preserve">Risque : exactement 3 niveaux d'agents, exactement 9 types de messages, exactement 4 niveaux de priorité, exactement 4 niveaux de confinement, exactement 4 dimensions d'ISC : ces choix peuvent être qualifiés d'arbitraires.</w:t>
      </w:r>
    </w:p>
    <w:p>
      <w:pPr>
        <w:spacing w:after="60" w:before="60"/>
        <w:jc w:val="both"/>
      </w:pPr>
      <w:r>
        <w:t xml:space="preserve">Stratégie : préparer une justification technique précise de chaque choix numérique (voir section 8 du présent dossier). Pour les choix les plus défendables (3 niveaux d'agents, 4 dimensions d'ISC), maintenir « exactement » ; pour les choix moins défendables (9 types de messages), envisager « au moins » avec énumération en revendication dépendante.</w:t>
      </w:r>
    </w:p>
    <w:p>
      <w:pPr>
        <w:pStyle w:val="Heading2"/>
        <w:spacing w:after="120" w:before="240"/>
      </w:pPr>
      <w:r>
        <w:rPr>
          <w:b/>
          <w:bCs/>
          <w:sz w:val="26"/>
          <w:szCs w:val="26"/>
        </w:rPr>
        <w:t xml:space="preserve">11.4 Risque n° 4 — Objection liée aux antériorités académiques récentes (FL personnalisé)</w:t>
      </w:r>
    </w:p>
    <w:p>
      <w:pPr>
        <w:spacing w:after="60" w:before="60"/>
        <w:jc w:val="both"/>
      </w:pPr>
      <w:r>
        <w:t xml:space="preserve">Risque : la littérature FL personnalisé évolue rapidement (FedAH 2024, FedPrism 2026) ; nouvelles publications peuvent émerger pendant la prosecution.</w:t>
      </w:r>
    </w:p>
    <w:p>
      <w:pPr>
        <w:spacing w:after="60" w:before="60"/>
        <w:jc w:val="both"/>
      </w:pPr>
      <w:r>
        <w:t xml:space="preserve">Stratégie : surveiller activement les nouvelles publications via les alertes Google Scholar et arXiv ; préparer des amendements de revendications pré-rédigés pour répondre rapidement aux nouvelles antériorités identifiées.</w:t>
      </w:r>
    </w:p>
    <w:p>
      <w:pPr>
        <w:pStyle w:val="Heading2"/>
        <w:spacing w:after="120" w:before="240"/>
      </w:pPr>
      <w:r>
        <w:rPr>
          <w:b/>
          <w:bCs/>
          <w:sz w:val="26"/>
          <w:szCs w:val="26"/>
        </w:rPr>
        <w:t xml:space="preserve">11.5 Plan de prosecution recommandé</w:t>
      </w:r>
    </w:p>
    <w:p>
      <w:pPr>
        <w:spacing w:after="60" w:before="60"/>
        <w:jc w:val="both"/>
      </w:pPr>
      <w:r>
        <w:t xml:space="preserve">Identique aux Brevets 1 et 2 : INPI → PCT → phases nationales. Pour le Brevet n° 3, considérer en plus :</w:t>
      </w:r>
    </w:p>
    <w:p>
      <w:pPr>
        <w:pStyle w:val="ListParagraph"/>
        <w:numPr>
          <w:ilvl w:val="0"/>
          <w:numId w:val="3"/>
        </w:numPr>
        <w:spacing w:after="30" w:before="30"/>
        <w:jc w:val="both"/>
      </w:pPr>
      <w:r>
        <w:t xml:space="preserve">Phase nationale prioritaire en Allemagne et France (marchés industriels matures, sensibilité forte à la souveraineté des données) ;</w:t>
      </w:r>
    </w:p>
    <w:p>
      <w:pPr>
        <w:pStyle w:val="ListParagraph"/>
        <w:numPr>
          <w:ilvl w:val="0"/>
          <w:numId w:val="3"/>
        </w:numPr>
        <w:spacing w:after="30" w:before="30"/>
        <w:jc w:val="both"/>
      </w:pPr>
      <w:r>
        <w:t xml:space="preserve">Phase USPTO délicate (FL est un domaine très breveté aux US, recherche d'antériorité approfondie nécessaire) ;</w:t>
      </w:r>
    </w:p>
    <w:p>
      <w:pPr>
        <w:pStyle w:val="ListParagraph"/>
        <w:numPr>
          <w:ilvl w:val="0"/>
          <w:numId w:val="3"/>
        </w:numPr>
        <w:spacing w:after="30" w:before="30"/>
        <w:jc w:val="both"/>
      </w:pPr>
      <w:r>
        <w:t xml:space="preserve">Phase OAPI stratégique pour les marchés africains industriels émergents (Côte d'Ivoire, Sénégal, Maroc, Cameroun).</w:t>
      </w:r>
    </w:p>
    <w:p>
      <w:pPr>
        <w:pStyle w:val="Heading1"/>
        <w:pageBreakBefore/>
        <w:spacing w:after="160" w:before="320"/>
      </w:pPr>
      <w:r>
        <w:rPr>
          <w:b/>
          <w:bCs/>
          <w:sz w:val="32"/>
          <w:szCs w:val="32"/>
        </w:rPr>
        <w:t xml:space="preserve">12. ANNEXE — BIBLIOGRAPHIE COMPLÈTE</w:t>
      </w:r>
    </w:p>
    <w:p>
      <w:pPr>
        <w:pStyle w:val="Heading2"/>
        <w:spacing w:after="120" w:before="240"/>
      </w:pPr>
      <w:r>
        <w:rPr>
          <w:b/>
          <w:bCs/>
          <w:sz w:val="26"/>
          <w:szCs w:val="26"/>
        </w:rPr>
        <w:t xml:space="preserve">12.1 Ouvrages de référence</w:t>
      </w:r>
    </w:p>
    <w:p>
      <w:pPr>
        <w:spacing w:after="30" w:before="30"/>
        <w:ind w:left="360" w:hanging="360"/>
        <w:jc w:val="both"/>
      </w:pPr>
      <w:r>
        <w:rPr>
          <w:sz w:val="20"/>
          <w:szCs w:val="20"/>
        </w:rPr>
        <w:t xml:space="preserve">Anderson R. (2020). Security Engineering, 3rd edition. Wiley.</w:t>
      </w:r>
    </w:p>
    <w:p>
      <w:pPr>
        <w:spacing w:after="30" w:before="30"/>
        <w:ind w:left="360" w:hanging="360"/>
        <w:jc w:val="both"/>
      </w:pPr>
      <w:r>
        <w:rPr>
          <w:sz w:val="20"/>
          <w:szCs w:val="20"/>
        </w:rPr>
        <w:t xml:space="preserve">Coulouris G., Dollimore J., Kindberg T., Blair G. (2011). Distributed Systems: Concepts and Design, 5th edition. Addison-Wesley.</w:t>
      </w:r>
    </w:p>
    <w:p>
      <w:pPr>
        <w:spacing w:after="30" w:before="30"/>
        <w:ind w:left="360" w:hanging="360"/>
        <w:jc w:val="both"/>
      </w:pPr>
      <w:r>
        <w:rPr>
          <w:sz w:val="20"/>
          <w:szCs w:val="20"/>
        </w:rPr>
        <w:t xml:space="preserve">Gama J. (2010). Knowledge Discovery from Data Streams. Chapman &amp; Hall/CRC.</w:t>
      </w:r>
    </w:p>
    <w:p>
      <w:pPr>
        <w:spacing w:after="30" w:before="30"/>
        <w:ind w:left="360" w:hanging="360"/>
        <w:jc w:val="both"/>
      </w:pPr>
      <w:r>
        <w:rPr>
          <w:sz w:val="20"/>
          <w:szCs w:val="20"/>
        </w:rPr>
        <w:t xml:space="preserve">MacKay D. J. C. (2003). Information Theory, Inference, and Learning Algorithms. Cambridge University Press.</w:t>
      </w:r>
    </w:p>
    <w:p>
      <w:pPr>
        <w:spacing w:after="30" w:before="30"/>
        <w:ind w:left="360" w:hanging="360"/>
        <w:jc w:val="both"/>
      </w:pPr>
      <w:r>
        <w:rPr>
          <w:sz w:val="20"/>
          <w:szCs w:val="20"/>
        </w:rPr>
        <w:t xml:space="preserve">Sutton R. S., Barto A. G. (2018). Reinforcement Learning: An Introduction, 2nd edition. MIT Press.</w:t>
      </w:r>
    </w:p>
    <w:p>
      <w:pPr>
        <w:spacing w:after="30" w:before="30"/>
        <w:ind w:left="360" w:hanging="360"/>
        <w:jc w:val="both"/>
      </w:pPr>
      <w:r>
        <w:rPr>
          <w:sz w:val="20"/>
          <w:szCs w:val="20"/>
        </w:rPr>
        <w:t xml:space="preserve">Wooldridge M. (2009). An Introduction to MultiAgent Systems, 2nd edition. Wiley.</w:t>
      </w:r>
    </w:p>
    <w:p>
      <w:pPr>
        <w:pStyle w:val="Heading2"/>
        <w:spacing w:after="120" w:before="240"/>
      </w:pPr>
      <w:r>
        <w:rPr>
          <w:b/>
          <w:bCs/>
          <w:sz w:val="26"/>
          <w:szCs w:val="26"/>
        </w:rPr>
        <w:t xml:space="preserve">12.2 Articles de revue à comité de lecture</w:t>
      </w:r>
    </w:p>
    <w:p>
      <w:pPr>
        <w:spacing w:after="30" w:before="30"/>
        <w:ind w:left="360" w:hanging="360"/>
        <w:jc w:val="both"/>
      </w:pPr>
      <w:r>
        <w:rPr>
          <w:sz w:val="20"/>
          <w:szCs w:val="20"/>
        </w:rPr>
        <w:t xml:space="preserve">Arivazhagan M. G., Aggarwal V., Singh A. K., Choudhary S. (2019). Federated Learning with Personalization Layers. arXiv 1912.00818 (FedPer).</w:t>
      </w:r>
    </w:p>
    <w:p>
      <w:pPr>
        <w:spacing w:after="30" w:before="30"/>
        <w:ind w:left="360" w:hanging="360"/>
        <w:jc w:val="both"/>
      </w:pPr>
      <w:r>
        <w:rPr>
          <w:sz w:val="20"/>
          <w:szCs w:val="20"/>
        </w:rPr>
        <w:t xml:space="preserve">Baena-García M. et al. (2006). Early Drift Detection Method. ECML PKDD Workshop on Knowledge Discovery from Data Streams.</w:t>
      </w:r>
    </w:p>
    <w:p>
      <w:pPr>
        <w:spacing w:after="30" w:before="30"/>
        <w:ind w:left="360" w:hanging="360"/>
        <w:jc w:val="both"/>
      </w:pPr>
      <w:r>
        <w:rPr>
          <w:sz w:val="20"/>
          <w:szCs w:val="20"/>
        </w:rPr>
        <w:t xml:space="preserve">Bell D. E., LaPadula L. J. (1973). Secure Computer Systems: Mathematical Foundations. MITRE Technical Report 2547.</w:t>
      </w:r>
    </w:p>
    <w:p>
      <w:pPr>
        <w:spacing w:after="30" w:before="30"/>
        <w:ind w:left="360" w:hanging="360"/>
        <w:jc w:val="both"/>
      </w:pPr>
      <w:r>
        <w:rPr>
          <w:sz w:val="20"/>
          <w:szCs w:val="20"/>
        </w:rPr>
        <w:t xml:space="preserve">Biba K. J. (1977). Integrity Considerations for Secure Computer Systems. MITRE Technical Report MTR-3153.</w:t>
      </w:r>
    </w:p>
    <w:p>
      <w:pPr>
        <w:spacing w:after="30" w:before="30"/>
        <w:ind w:left="360" w:hanging="360"/>
        <w:jc w:val="both"/>
      </w:pPr>
      <w:r>
        <w:rPr>
          <w:sz w:val="20"/>
          <w:szCs w:val="20"/>
        </w:rPr>
        <w:t xml:space="preserve">Bifet A., Gavaldà R. (2007). Learning from time-changing data with adaptive windowing. SDM (ADWIN).</w:t>
      </w:r>
    </w:p>
    <w:p>
      <w:pPr>
        <w:spacing w:after="30" w:before="30"/>
        <w:ind w:left="360" w:hanging="360"/>
        <w:jc w:val="both"/>
      </w:pPr>
      <w:r>
        <w:rPr>
          <w:sz w:val="20"/>
          <w:szCs w:val="20"/>
        </w:rPr>
        <w:t xml:space="preserve">Bracha G., Cook W. (1990). Mixin-based inheritance. OOPSLA/ECOOP.</w:t>
      </w:r>
    </w:p>
    <w:p>
      <w:pPr>
        <w:spacing w:after="30" w:before="30"/>
        <w:ind w:left="360" w:hanging="360"/>
        <w:jc w:val="both"/>
      </w:pPr>
      <w:r>
        <w:rPr>
          <w:sz w:val="20"/>
          <w:szCs w:val="20"/>
        </w:rPr>
        <w:t xml:space="preserve">Chen R. et al. (2025). A robust and personalized privacy-preserving approach for adaptive clustered federated distillation. Scientific Reports, 15.</w:t>
      </w:r>
    </w:p>
    <w:p>
      <w:pPr>
        <w:spacing w:after="30" w:before="30"/>
        <w:ind w:left="360" w:hanging="360"/>
        <w:jc w:val="both"/>
      </w:pPr>
      <w:r>
        <w:rPr>
          <w:sz w:val="20"/>
          <w:szCs w:val="20"/>
        </w:rPr>
        <w:t xml:space="preserve">Choi S. S., Cha S. H., Tappert C. C. (2010). A Survey of Binary Similarity and Distance Measures. Journal of Systemics, Cybernetics and Informatics, 8(1):43-48.</w:t>
      </w:r>
    </w:p>
    <w:p>
      <w:pPr>
        <w:spacing w:after="30" w:before="30"/>
        <w:ind w:left="360" w:hanging="360"/>
        <w:jc w:val="both"/>
      </w:pPr>
      <w:r>
        <w:rPr>
          <w:sz w:val="20"/>
          <w:szCs w:val="20"/>
        </w:rPr>
        <w:t xml:space="preserve">Gama J., Medas P., Castillo G., Rodrigues P. (2004). Learning with drift detection. SBIA Brazilian Symposium on Artificial Intelligence (DDM).</w:t>
      </w:r>
    </w:p>
    <w:p>
      <w:pPr>
        <w:spacing w:after="30" w:before="30"/>
        <w:ind w:left="360" w:hanging="360"/>
        <w:jc w:val="both"/>
      </w:pPr>
      <w:r>
        <w:rPr>
          <w:sz w:val="20"/>
          <w:szCs w:val="20"/>
        </w:rPr>
        <w:t xml:space="preserve">Gama J., Žliobaitė I., Bifet A., Pechenizkiy M., Bouchachia A. (2014). A survey on concept drift adaptation. ACM Computing Surveys, 46(4):44:1-44:37.</w:t>
      </w:r>
    </w:p>
    <w:p>
      <w:pPr>
        <w:spacing w:after="30" w:before="30"/>
        <w:ind w:left="360" w:hanging="360"/>
        <w:jc w:val="both"/>
      </w:pPr>
      <w:r>
        <w:rPr>
          <w:sz w:val="20"/>
          <w:szCs w:val="20"/>
        </w:rPr>
        <w:t xml:space="preserve">Hamade J. (2024). Architecting Secure Multi-Tenant Data Isolation. Medium.</w:t>
      </w:r>
    </w:p>
    <w:p>
      <w:pPr>
        <w:spacing w:after="30" w:before="30"/>
        <w:ind w:left="360" w:hanging="360"/>
        <w:jc w:val="both"/>
      </w:pPr>
      <w:r>
        <w:rPr>
          <w:sz w:val="20"/>
          <w:szCs w:val="20"/>
        </w:rPr>
        <w:t xml:space="preserve">Jaccard P. (1912). The Distribution of the Flora in the Alpine Zone. New Phytologist, 11(2):37-50.</w:t>
      </w:r>
    </w:p>
    <w:p>
      <w:pPr>
        <w:spacing w:after="30" w:before="30"/>
        <w:ind w:left="360" w:hanging="360"/>
        <w:jc w:val="both"/>
      </w:pPr>
      <w:r>
        <w:rPr>
          <w:sz w:val="20"/>
          <w:szCs w:val="20"/>
        </w:rPr>
        <w:t xml:space="preserve">Kairouz P. et al. (2021). Advances and Open Problems in Federated Learning. Foundations and Trends in Machine Learning, 14(1-2):1-210.</w:t>
      </w:r>
    </w:p>
    <w:p>
      <w:pPr>
        <w:spacing w:after="30" w:before="30"/>
        <w:ind w:left="360" w:hanging="360"/>
        <w:jc w:val="both"/>
      </w:pPr>
      <w:r>
        <w:rPr>
          <w:sz w:val="20"/>
          <w:szCs w:val="20"/>
        </w:rPr>
        <w:t xml:space="preserve">Khaleghi B., Khamis A., Karray F. O., Razavi S. N. (2013). Multisensor data fusion: A review of the state-of-the-art. Information Fusion, 14(1):28-44.</w:t>
      </w:r>
    </w:p>
    <w:p>
      <w:pPr>
        <w:spacing w:after="30" w:before="30"/>
        <w:ind w:left="360" w:hanging="360"/>
        <w:jc w:val="both"/>
      </w:pPr>
      <w:r>
        <w:rPr>
          <w:sz w:val="20"/>
          <w:szCs w:val="20"/>
        </w:rPr>
        <w:t xml:space="preserve">Kullback S., Leibler R. A. (1951). On information and sufficiency. Annals of Mathematical Statistics, 22(1):79-86.</w:t>
      </w:r>
    </w:p>
    <w:p>
      <w:pPr>
        <w:spacing w:after="30" w:before="30"/>
        <w:ind w:left="360" w:hanging="360"/>
        <w:jc w:val="both"/>
      </w:pPr>
      <w:r>
        <w:rPr>
          <w:sz w:val="20"/>
          <w:szCs w:val="20"/>
        </w:rPr>
        <w:t xml:space="preserve">Li T., Sahu A. K., Zaheer M., Sanjabi M., Talwalkar A., Smith V. (2020). Federated Optimization in Heterogeneous Networks. Proceedings of MLSys (FedProx).</w:t>
      </w:r>
    </w:p>
    <w:p>
      <w:pPr>
        <w:spacing w:after="30" w:before="30"/>
        <w:ind w:left="360" w:hanging="360"/>
        <w:jc w:val="both"/>
      </w:pPr>
      <w:r>
        <w:rPr>
          <w:sz w:val="20"/>
          <w:szCs w:val="20"/>
        </w:rPr>
        <w:t xml:space="preserve">Li X. et al. (2024). Personalized Federated Learning Algorithm with Adaptive Clustering for Non-IID IoT Data. PMC 10675707.</w:t>
      </w:r>
    </w:p>
    <w:p>
      <w:pPr>
        <w:spacing w:after="30" w:before="30"/>
        <w:ind w:left="360" w:hanging="360"/>
        <w:jc w:val="both"/>
      </w:pPr>
      <w:r>
        <w:rPr>
          <w:sz w:val="20"/>
          <w:szCs w:val="20"/>
        </w:rPr>
        <w:t xml:space="preserve">Lin J. (1991). Divergence measures based on the Shannon entropy. IEEE Transactions on Information Theory, 37(1):145-151.</w:t>
      </w:r>
    </w:p>
    <w:p>
      <w:pPr>
        <w:spacing w:after="30" w:before="30"/>
        <w:ind w:left="360" w:hanging="360"/>
        <w:jc w:val="both"/>
      </w:pPr>
      <w:r>
        <w:rPr>
          <w:sz w:val="20"/>
          <w:szCs w:val="20"/>
        </w:rPr>
        <w:t xml:space="preserve">McMahan H. B., Moore E., Ramage D., Hampson S., y Arcas B. A. (2017). Communication-Efficient Learning of Deep Networks from Decentralized Data. AISTATS (FedAvg).</w:t>
      </w:r>
    </w:p>
    <w:p>
      <w:pPr>
        <w:spacing w:after="30" w:before="30"/>
        <w:ind w:left="360" w:hanging="360"/>
        <w:jc w:val="both"/>
      </w:pPr>
      <w:r>
        <w:rPr>
          <w:sz w:val="20"/>
          <w:szCs w:val="20"/>
        </w:rPr>
        <w:t xml:space="preserve">Page E. S. (1954). Continuous inspection schemes. Biometrika, 41(1):100-115 (Page-Hinkley).</w:t>
      </w:r>
    </w:p>
    <w:p>
      <w:pPr>
        <w:spacing w:after="30" w:before="30"/>
        <w:ind w:left="360" w:hanging="360"/>
        <w:jc w:val="both"/>
      </w:pPr>
      <w:r>
        <w:rPr>
          <w:sz w:val="20"/>
          <w:szCs w:val="20"/>
        </w:rPr>
        <w:t xml:space="preserve">Pěchouček M., Mařík V. (2008). Industrial deployment of multi-agent technologies: review and selected case studies. Autonomous Agents and Multi-Agent Systems, 17(3):397-431.</w:t>
      </w:r>
    </w:p>
    <w:p>
      <w:pPr>
        <w:spacing w:after="30" w:before="30"/>
        <w:ind w:left="360" w:hanging="360"/>
        <w:jc w:val="both"/>
      </w:pPr>
      <w:r>
        <w:rPr>
          <w:sz w:val="20"/>
          <w:szCs w:val="20"/>
        </w:rPr>
        <w:t xml:space="preserve">Pillutla K. et al. (2022). Federated Learning with Personalization. Springer.</w:t>
      </w:r>
    </w:p>
    <w:p>
      <w:pPr>
        <w:spacing w:after="30" w:before="30"/>
        <w:ind w:left="360" w:hanging="360"/>
        <w:jc w:val="both"/>
      </w:pPr>
      <w:r>
        <w:rPr>
          <w:sz w:val="20"/>
          <w:szCs w:val="20"/>
        </w:rPr>
        <w:t xml:space="preserve">Sebastião R., Gama J. (2009). A study on change detection methods. Progress in Artificial Intelligence.</w:t>
      </w:r>
    </w:p>
    <w:p>
      <w:pPr>
        <w:spacing w:after="30" w:before="30"/>
        <w:ind w:left="360" w:hanging="360"/>
        <w:jc w:val="both"/>
      </w:pPr>
      <w:r>
        <w:rPr>
          <w:sz w:val="20"/>
          <w:szCs w:val="20"/>
        </w:rPr>
        <w:t xml:space="preserve">Wang Y. et al. (2022). A Concept Drift Detection Approach Based on Jensen-Shannon Divergence for Network Traffic Classification. AIPR (ACM).</w:t>
      </w:r>
    </w:p>
    <w:p>
      <w:pPr>
        <w:spacing w:after="30" w:before="30"/>
        <w:ind w:left="360" w:hanging="360"/>
        <w:jc w:val="both"/>
      </w:pPr>
      <w:r>
        <w:rPr>
          <w:sz w:val="20"/>
          <w:szCs w:val="20"/>
        </w:rPr>
        <w:t xml:space="preserve">Zhao Y. et al. (2025). Personalized Federated Learning via Learning Dynamic Graphs. arXiv 2503.05474.</w:t>
      </w:r>
    </w:p>
    <w:p>
      <w:pPr>
        <w:spacing w:after="30" w:before="30"/>
        <w:ind w:left="360" w:hanging="360"/>
        <w:jc w:val="both"/>
      </w:pPr>
      <w:r>
        <w:rPr>
          <w:sz w:val="20"/>
          <w:szCs w:val="20"/>
        </w:rPr>
        <w:t xml:space="preserve">Zhou P. et al. (2024). FedAH: Aggregated Head for Personalized Federated Learning. arXiv 2412.01295.</w:t>
      </w:r>
    </w:p>
    <w:p>
      <w:pPr>
        <w:spacing w:after="30" w:before="30"/>
        <w:ind w:left="360" w:hanging="360"/>
        <w:jc w:val="both"/>
      </w:pPr>
      <w:r>
        <w:rPr>
          <w:sz w:val="20"/>
          <w:szCs w:val="20"/>
        </w:rPr>
        <w:t xml:space="preserve">Zhu L., Liu Z., Han S. (2019). Deep Leakage from Gradients. NeurIPS.</w:t>
      </w:r>
    </w:p>
    <w:p>
      <w:pPr>
        <w:pStyle w:val="Heading2"/>
        <w:spacing w:after="120" w:before="240"/>
      </w:pPr>
      <w:r>
        <w:rPr>
          <w:b/>
          <w:bCs/>
          <w:sz w:val="26"/>
          <w:szCs w:val="26"/>
        </w:rPr>
        <w:t xml:space="preserve">12.3 Brevets antérieurs cités</w:t>
      </w:r>
    </w:p>
    <w:p>
      <w:pPr>
        <w:spacing w:after="30" w:before="30"/>
        <w:ind w:left="360" w:hanging="360"/>
        <w:jc w:val="both"/>
      </w:pPr>
      <w:r>
        <w:rPr>
          <w:sz w:val="20"/>
          <w:szCs w:val="20"/>
        </w:rPr>
        <w:t xml:space="preserve">US-9,952,580 (Honeywell). Multi-agent supervisory control system.</w:t>
      </w:r>
    </w:p>
    <w:p>
      <w:pPr>
        <w:spacing w:after="30" w:before="30"/>
        <w:ind w:left="360" w:hanging="360"/>
        <w:jc w:val="both"/>
      </w:pPr>
      <w:r>
        <w:rPr>
          <w:sz w:val="20"/>
          <w:szCs w:val="20"/>
        </w:rPr>
        <w:t xml:space="preserve">US-10,503,154 (Siemens). Hierarchical industrial automation.</w:t>
      </w:r>
    </w:p>
    <w:p>
      <w:pPr>
        <w:spacing w:after="30" w:before="30"/>
        <w:ind w:left="360" w:hanging="360"/>
        <w:jc w:val="both"/>
      </w:pPr>
      <w:r>
        <w:rPr>
          <w:sz w:val="20"/>
          <w:szCs w:val="20"/>
        </w:rPr>
        <w:t xml:space="preserve">US-10,635,648. Multi-tenant cloud architecture.</w:t>
      </w:r>
    </w:p>
    <w:p>
      <w:pPr>
        <w:spacing w:after="30" w:before="30"/>
        <w:ind w:left="360" w:hanging="360"/>
        <w:jc w:val="both"/>
      </w:pPr>
      <w:r>
        <w:rPr>
          <w:sz w:val="20"/>
          <w:szCs w:val="20"/>
        </w:rPr>
        <w:t xml:space="preserve">US-10,769,536 (Microsoft). Concept drift detection in machine learning models.</w:t>
      </w:r>
    </w:p>
    <w:p>
      <w:pPr>
        <w:spacing w:after="30" w:before="30"/>
        <w:ind w:left="360" w:hanging="360"/>
        <w:jc w:val="both"/>
      </w:pPr>
      <w:r>
        <w:rPr>
          <w:sz w:val="20"/>
          <w:szCs w:val="20"/>
        </w:rPr>
        <w:t xml:space="preserve">US-11,030,521 (Google). Drift detection for online ML systems.</w:t>
      </w:r>
    </w:p>
    <w:p>
      <w:pPr>
        <w:spacing w:after="30" w:before="30"/>
        <w:ind w:left="360" w:hanging="360"/>
        <w:jc w:val="both"/>
      </w:pPr>
      <w:r>
        <w:rPr>
          <w:sz w:val="20"/>
          <w:szCs w:val="20"/>
        </w:rPr>
        <w:t xml:space="preserve">US-11,210,591 (Microsoft). Distributed model training for predictive maintenance.</w:t>
      </w:r>
    </w:p>
    <w:p>
      <w:pPr>
        <w:spacing w:after="30" w:before="30"/>
        <w:ind w:left="360" w:hanging="360"/>
        <w:jc w:val="both"/>
      </w:pPr>
      <w:r>
        <w:rPr>
          <w:sz w:val="20"/>
          <w:szCs w:val="20"/>
        </w:rPr>
        <w:t xml:space="preserve">US-11,300,963 (GE). Edge-cloud orchestration for industrial IoT.</w:t>
      </w:r>
    </w:p>
    <w:p>
      <w:pPr>
        <w:spacing w:after="30" w:before="30"/>
        <w:ind w:left="360" w:hanging="360"/>
        <w:jc w:val="both"/>
      </w:pPr>
      <w:r>
        <w:rPr>
          <w:sz w:val="20"/>
          <w:szCs w:val="20"/>
        </w:rPr>
        <w:t xml:space="preserve">US-11,449,805 (IBM). Federated learning for equipment maintenance.</w:t>
      </w:r>
    </w:p>
    <w:p>
      <w:pPr>
        <w:spacing w:after="30" w:before="30"/>
        <w:ind w:left="360" w:hanging="360"/>
        <w:jc w:val="both"/>
      </w:pPr>
      <w:r>
        <w:rPr>
          <w:sz w:val="20"/>
          <w:szCs w:val="20"/>
        </w:rPr>
        <w:t xml:space="preserve">US-2021/0224721. Industrial federated learning.</w:t>
      </w:r>
    </w:p>
    <w:p>
      <w:pPr>
        <w:pStyle w:val="Heading2"/>
        <w:spacing w:after="120" w:before="240"/>
      </w:pPr>
      <w:r>
        <w:rPr>
          <w:b/>
          <w:bCs/>
          <w:sz w:val="26"/>
          <w:szCs w:val="26"/>
        </w:rPr>
        <w:t xml:space="preserve">12.4 Normes et règlements cités</w:t>
      </w:r>
    </w:p>
    <w:p>
      <w:pPr>
        <w:spacing w:after="30" w:before="30"/>
        <w:ind w:left="360" w:hanging="360"/>
        <w:jc w:val="both"/>
      </w:pPr>
      <w:r>
        <w:rPr>
          <w:sz w:val="20"/>
          <w:szCs w:val="20"/>
        </w:rPr>
        <w:t xml:space="preserve">DIN SPEC 91345:2016. Reference Architecture Model Industrie 4.0 (RAMI 4.0).</w:t>
      </w:r>
    </w:p>
    <w:p>
      <w:pPr>
        <w:spacing w:after="30" w:before="30"/>
        <w:ind w:left="360" w:hanging="360"/>
        <w:jc w:val="both"/>
      </w:pPr>
      <w:r>
        <w:rPr>
          <w:sz w:val="20"/>
          <w:szCs w:val="20"/>
        </w:rPr>
        <w:t xml:space="preserve">IEC 62541 (parties 1-100). OPC unified architecture.</w:t>
      </w:r>
    </w:p>
    <w:p>
      <w:pPr>
        <w:spacing w:after="30" w:before="30"/>
        <w:ind w:left="360" w:hanging="360"/>
        <w:jc w:val="both"/>
      </w:pPr>
      <w:r>
        <w:rPr>
          <w:sz w:val="20"/>
          <w:szCs w:val="20"/>
        </w:rPr>
        <w:t xml:space="preserve">ISO/IEC 20922:2016. Information technology — MQ Telemetry Transport (MQTT).</w:t>
      </w:r>
    </w:p>
    <w:p>
      <w:pPr>
        <w:spacing w:after="30" w:before="30"/>
        <w:ind w:left="360" w:hanging="360"/>
        <w:jc w:val="both"/>
      </w:pPr>
      <w:r>
        <w:rPr>
          <w:sz w:val="20"/>
          <w:szCs w:val="20"/>
        </w:rPr>
        <w:t xml:space="preserve">IEC 62264 / ANSI-ISA-95. Enterprise-control system integration.</w:t>
      </w:r>
    </w:p>
    <w:p>
      <w:pPr>
        <w:spacing w:after="30" w:before="30"/>
        <w:ind w:left="360" w:hanging="360"/>
        <w:jc w:val="both"/>
      </w:pPr>
      <w:r>
        <w:rPr>
          <w:sz w:val="20"/>
          <w:szCs w:val="20"/>
        </w:rPr>
        <w:t xml:space="preserve">Règlement (UE) 2016/679 (RGPD). Protection des personnes physiques à l'égard du traitement des données à caractère personnel.</w:t>
      </w:r>
    </w:p>
    <w:p>
      <w:pPr>
        <w:spacing w:after="30" w:before="30"/>
        <w:ind w:left="360" w:hanging="360"/>
        <w:jc w:val="both"/>
      </w:pPr>
      <w:r>
        <w:rPr>
          <w:sz w:val="20"/>
          <w:szCs w:val="20"/>
        </w:rPr>
        <w:t xml:space="preserve">Directive (UE) 2022/2555 (NIS2). Network and Information Security 2.</w:t>
      </w:r>
    </w:p>
    <w:p>
      <w:pPr>
        <w:spacing w:after="30" w:before="30"/>
        <w:ind w:left="360" w:hanging="360"/>
        <w:jc w:val="both"/>
      </w:pPr>
      <w:r>
        <w:rPr>
          <w:sz w:val="20"/>
          <w:szCs w:val="20"/>
        </w:rPr>
        <w:t xml:space="preserve">Règlement (UE) 2019/881 (Cybersecurity Act). EU Cybersecurity Certification framework.</w:t>
      </w:r>
    </w:p>
    <w:p>
      <w:pPr>
        <w:spacing w:after="30" w:before="30"/>
        <w:ind w:left="360" w:hanging="360"/>
        <w:jc w:val="both"/>
      </w:pPr>
      <w:r>
        <w:rPr>
          <w:sz w:val="20"/>
          <w:szCs w:val="20"/>
        </w:rPr>
        <w:t xml:space="preserve">ISO/IEC 27001:2022. Systèmes de management de la sécurité de l'information.</w:t>
      </w:r>
    </w:p>
    <w:p>
      <w:pPr>
        <w:spacing w:after="30" w:before="30"/>
        <w:ind w:left="360" w:hanging="360"/>
        <w:jc w:val="both"/>
      </w:pPr>
      <w:r>
        <w:rPr>
          <w:sz w:val="20"/>
          <w:szCs w:val="20"/>
        </w:rPr>
        <w:t xml:space="preserve">IEC 62443 (parties 1-1 à 4-2). Industrial communication networks — Network and system security.</w:t>
      </w:r>
    </w:p>
    <w:p>
      <w:pPr>
        <w:spacing w:after="30" w:before="30"/>
        <w:ind w:left="360" w:hanging="360"/>
        <w:jc w:val="both"/>
      </w:pPr>
      <w:r>
        <w:rPr>
          <w:sz w:val="20"/>
          <w:szCs w:val="20"/>
        </w:rPr>
        <w:t xml:space="preserve">Industrial Internet Consortium (IIC). Industrial Internet Reference Architecture (IIRA), version 1.10 (2022).</w:t>
      </w:r>
    </w:p>
    <w:p>
      <w:pPr>
        <w:spacing w:after="240" w:before="480"/>
        <w:jc w:val="center"/>
      </w:pPr>
      <w:r>
        <w:rPr>
          <w:b/>
          <w:bCs/>
          <w:i/>
          <w:iCs/>
        </w:rPr>
        <w:t xml:space="preserve">— FIN DU DOSSIER SCIENTIFIQUE BREVET N° 3 —</w:t>
      </w:r>
    </w:p>
    <w:p>
      <w:pPr>
        <w:spacing w:before="120"/>
        <w:jc w:val="center"/>
      </w:pPr>
      <w:r>
        <w:rPr>
          <w:i/>
          <w:iCs/>
          <w:sz w:val="18"/>
          <w:szCs w:val="18"/>
        </w:rPr>
        <w:t xml:space="preserve">Document préparatoire à l'usage exclusif du Conseil en Propriété Industrielle. Toutes les références sont indicatives ; la liste finale d'antériorités à citer dans la demande doit être validée par une recherche FTO professionnelle, avec attention particulière aux publications FL post-mai 2026 qui pourraient émerger pendant la prosecution.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MAINTRIX-T — Dossier scientifique Brevet n° 3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9E"/>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2026-05-17T12:29:16.566Z</dcterms:created>
  <dcterms:modified xsi:type="dcterms:W3CDTF">2026-05-17T12:29:16.566Z</dcterms:modified>
</cp:coreProperties>
</file>

<file path=docProps/custom.xml><?xml version="1.0" encoding="utf-8"?>
<Properties xmlns="http://schemas.openxmlformats.org/officeDocument/2006/custom-properties" xmlns:vt="http://schemas.openxmlformats.org/officeDocument/2006/docPropsVTypes"/>
</file>