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CCTP – Plateforme unifiée GMAO / Assistant Diagnostic IA</w:t>
      </w:r>
      <w:r>
        <w:rPr>
          <w:sz w:val="36"/>
          <w:szCs w:val="36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Objet du projet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Fourniture et mise en œuvre d’une plateforme unifiée de GMAO intégrée à un assistant diagnostic IA, en architecture modulaire, multi-tenants, sécurisée et bilingue (FR/EN). L’application doit pouvoir s’utiliser Online et Offline installé sur PC et Androïd</w:t>
        <w:br/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Exigences fonctionnelles / Functional requirements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Gestion des actifs / Asset management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Inventaire des équipements, localisation, historique des interventions.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Possibilité d’importer/Exporter les fichiers Excel/CSV  par chaque tenant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Ordres de travail / Work orders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Création, émission et suivi des ordres de travail (OT) correctifs, préventifs, conditionnels.</w:t>
      </w:r>
      <w:r>
        <w:t xml:space="preserve"> L’odre de travail doit être validé par la hiérarchie définie par chaque tenant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Rapports / Reports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Génération automatique de rapports d’intervention après chaque OT, et de rapports mensuels consolidés en format pdf par tenant.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 Stock &amp; pièces / Inventory &amp; spare parts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Suivi du stock de pièces détachées avec seuils mini/maxi.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Déclenchement automatique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commandes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réapprovisionnement si seuil atteint, après validation multi-niveaux tenant (à configurer par chaque tenant selon son organigramme).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2.5 Contrôle d’accès / Access control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8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L’administrateur plateforme contrôle la création de nouveaux tenants (entreprises clientes).</w:t>
      </w:r>
      <w:r/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Chaque tenant admin gère ses propres utilisateurs (invitations, rôles, droits).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2.6 Diagnostic IA / AI-assisted diagnosis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Module IA de diagnostic de panne avec explicabilité, alimenté par les historiques de maintenance.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2.7 Génération des Bons de Commande et ou Lettre Commande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Chaque tenant doit pouvoir configurer des seuils montants pour le Bon de Commande et la Lettre Commande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Configurer son entête pour l’impression de ses Bons  et Lettre Commande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Exigences techniques / Technical requirements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Architecture modulaire microservices, APIs sécurisées (REST/gRPC), hébergement cloud Kubernetes, isolation multi-tenants (DB dédiée ou RLS).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Chiffrement AES-256 au repos, TLS 1.3 en transit, KMS avec clés par tenant.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Interface utilisateur bilingue (FR/EN) avec détection automatique de la langue + choix manuel.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Sécurité &amp; conformité 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Authentification OIDC/SAML, MFA obligatoire pour admins, RBAC/ABAC, RLS ou DB par tenant.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Journaux d’audit inviolables, partitionnés par tenant, redaction des PII.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Conformité RGPD, ISO 27001, OWASP API Top 10.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Livrables 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 source modulaire avec CI/CD.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Documentation technique et utilisateur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FR/EN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Schémas d’architecture (UML + Cloud).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Scripts IaC (Terraform/Helm) pour déploiement reproductible.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Politiques RLS, IAM, NetworkPolicies.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Jeux de tests (unitaires, charge, sécurité).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Critères d’acceptation / Acceptance criteria</w:t>
      </w:r>
      <w:r/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Aucun accès inter-tenant possible.</w:t>
      </w:r>
      <w:r/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Toutes les API exigent token valide avec tenant_id.</w:t>
      </w:r>
      <w:r/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MFA actif pour admins.</w:t>
      </w:r>
      <w:r/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Génération réussie d’OT, rapports d’intervention, rapports mensuels.</w:t>
      </w:r>
      <w:r/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Seuil de stock déclenche une commande validée.</w:t>
      </w:r>
      <w:r/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UI FR/EN complète.</w:t>
      </w:r>
      <w:r/>
    </w:p>
    <w:p>
      <w:pPr>
        <w:pBdr/>
        <w:spacing/>
        <w:ind/>
        <w:rPr>
          <w:highlight w:val="none"/>
        </w:rPr>
      </w:pPr>
      <w:r/>
      <w:r>
        <w:t xml:space="preserve">matrice RBAC bilingue (FR/EN) prête à intégrer à ton CCTP. Elle couvre : contrôle plateforme, gestion tenant, GMAO (OT), rapports, stock &amp; commandes auto, diagnostic IA, données &amp; sécurité.</w:t>
      </w:r>
      <w:r/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2486"/>
        <w:gridCol w:w="1579"/>
        <w:gridCol w:w="1543"/>
        <w:gridCol w:w="1183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Rôle (FR)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 (EN)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Portée / Scope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Propriétaire tenant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Tenant 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Tenant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Détient le tenant ; gère facturation, domaines/SSO, rôles, paramètres globaux.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Administrateur tenant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Tenant 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Tenant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Administre utilisateurs, sites, intégrations, seuils stock, modèles IA locaux.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Responsable maintenance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Maintainer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Tenant (ou Site)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Crée/planifie/exécute OT, valide rapports, gère stocks &amp; commandes.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Lecteur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Viewer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Tenant (ou Site)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Lecture seule : OT, rapports, KPIs, inventaire.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 plateforme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 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Global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Crée/active/supprime tenants, paramétrage global, audit/incident.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(Pas d’accès aux données métiers des tenants par défaut)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Compte de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Service Account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Restreint (API)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Accès machine-to-machine avec scopes limités (intégrations ERP/IoT).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2) Matrice des permissions / Permission matrix</w:t>
      </w:r>
      <w:r>
        <w:rPr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Légende CRUD: C=Créer/Create, R=Lire/Read, U=Mettre à jour/Update, D=Supprimer/Delete, X=Exécuter/Run.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5945"/>
        <w:gridCol w:w="847"/>
        <w:gridCol w:w="2202"/>
        <w:gridCol w:w="3292"/>
        <w:gridCol w:w="724"/>
        <w:gridCol w:w="3352"/>
        <w:gridCol w:w="397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Domaine / Feature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Maintainer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Viewer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Platform 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Service Account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Tenants – paramètres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Tenant settings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(limité)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 (métadonnées seulement)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Utilisateurs du tenant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Tenant users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Invitations &amp; rôles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Invitations &amp; roles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Domaines/SSO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Domains/SSO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U (global)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Sites &amp; actifs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Sites &amp; assets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(si scope)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Ordres de travail (OT)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Work orders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(si scope)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Rapports d’intervention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Intervention reports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(si scope)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Rapport mensuel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Monthly report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Stock &amp; pièces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Inventory &amp; parts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(si scope)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Seuils &amp; commandes auto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Thresholds &amp; auto-orders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U (proposer/valider selon règle)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 (placer commande via API, si autorisé)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Diagnostic IA (inférence)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AI diagnosis (inference)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 (quota)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Modèles IA locaux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Tenant-specific models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(feedback)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Exports de données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Data exports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 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 R 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(si scope)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Logs d’audit (tenant)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Audit logs (tenant)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(global agrégé)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Paramètres sécurité (MFA, rotation clés)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Security settings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U (MFA obligatoire)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U (global)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Règles clés :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Platform 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 lit pas les données métiers d’un tenant sauf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accès JIT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approuvé (4-yeux) et tracé.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 Account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sans UI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scopes minimum et durée limitée.</w:t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3) Scopes API (JWT/OAuth2) à appliquer</w:t>
      </w:r>
      <w:r>
        <w:rPr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Associer 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scopes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aux tokens ; les middlewares bloquent si scope manquant.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2359"/>
        <w:gridCol w:w="4947"/>
        <w:gridCol w:w="498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Scope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 (FR/EN)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Rôles autorisés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cmms:workorders:read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Lire les OT / Read work orders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Owner, Admin, Maintainer, Viewer, Service (scopé)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cmms:workorders:write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Créer/mettre à jour OT / Create-update work orders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Admin, Maintainer, Service (scopé)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cmms:reports:generate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Générer rapports / Generate reports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Admin, Maintainer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inventory:read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Lire stock / Read inventory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Owner, Admin, Maintainer, Viewer, Service (scopé)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inventory:write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MAJ stock / Update inventory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Admin, Maintainer, Service (scopé)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inventory:autoorder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Placer commandes auto / Place auto-orders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Admin, Service (scopé)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ai:infer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Lancer diagnostic IA / Run AI inference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Admin, Maintainer, Service (quota)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ai:model:manage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Gérer modèles IA tenant / Manage tenant models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tenant:users:manage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Gérer utilisateurs/roles / Manage users &amp; roles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Owner, Admin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tenant:settings:manage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Paramètres tenant / Tenant settings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Owner, Admin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4) Règles d’isolement et d’application / Enforcement</w:t>
      </w:r>
      <w:r>
        <w:rPr>
          <w:sz w:val="32"/>
          <w:szCs w:val="32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tenant_id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obligatoire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dans 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JWT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injecté côté DB (</w:t>
      </w:r>
      <w:r>
        <w:rPr>
          <w:rFonts w:ascii="Courier New" w:hAnsi="Courier New" w:eastAsia="Courier New" w:cs="Courier New"/>
          <w:color w:val="000000"/>
          <w:sz w:val="20"/>
        </w:rPr>
        <w:t xml:space="preserve">SET app.tenant_id = :tenant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RLS PostgreSQL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activée sur toutes les tables multi-tenant.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Bucket/Préfixe S3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 tenant +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policies IAM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restreintes.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Index vecteur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 tenant pour le texte/embeddings.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Logs d’audit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partitionnés par tenant ;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aucune PII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clair (redaction).</w:t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5) Gouvernance d’accès / Access governance</w:t>
      </w:r>
      <w:r>
        <w:rPr>
          <w:sz w:val="32"/>
          <w:szCs w:val="32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MFA obligatoire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Owner/Admin.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Invitations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à usage unique, expirables, scopées au tenant et au rôle.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Revues mensuelles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 accès par tenant ; suppression comptes inactifs &gt; 90 jours.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JIT support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accès technique temporaire, approuvé et journalisé.</w:t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6) Règles spécifiques GMAO/Stocks</w:t>
      </w:r>
      <w:r>
        <w:rPr>
          <w:sz w:val="32"/>
          <w:szCs w:val="32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Seuils de réappro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 pièce et par site (</w:t>
      </w:r>
      <w:r>
        <w:rPr>
          <w:rFonts w:ascii="Courier New" w:hAnsi="Courier New" w:eastAsia="Courier New" w:cs="Courier New"/>
          <w:color w:val="000000"/>
          <w:sz w:val="20"/>
        </w:rPr>
        <w:t xml:space="preserve">min_qty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reorder_qty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Commande auto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créée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brouillon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</w:t>
      </w:r>
      <w:r>
        <w:rPr>
          <w:rFonts w:ascii="Courier New" w:hAnsi="Courier New" w:eastAsia="Courier New" w:cs="Courier New"/>
          <w:color w:val="000000"/>
          <w:sz w:val="20"/>
        </w:rPr>
        <w:t xml:space="preserve">on-hand &lt;= min_qty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nécessite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validation Admin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(ou auto-validation si paramétré).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Traçabilité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toute commande générée doit référencer l’OT ou l’alerte stock ayant déclenché l’événement.</w:t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7) Internationalisation / Internationalization</w:t>
      </w:r>
      <w:r>
        <w:rPr>
          <w:sz w:val="32"/>
          <w:szCs w:val="32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FR/EN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toutes les chaînes UI, gabarits de rapports et emails notifiés en deux langues (fallback anglais).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Locale par utilisateur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;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(date, devise, unités) par tenant.</w:t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8) Critères d’acceptation / Acceptance checks</w:t>
      </w:r>
      <w:r>
        <w:rPr>
          <w:sz w:val="32"/>
          <w:szCs w:val="32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Tests d’intégration prouvent :</w:t>
      </w:r>
      <w:r/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Aucune lecture inter-tenant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RLS activée.</w:t>
      </w:r>
      <w:r/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Maintainer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d’un site ne peut pas modifier d’autres sites si ABAC activé.</w:t>
      </w:r>
      <w:r/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Auto-order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crée en brouillon 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attend validation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Admin (journalisée).</w:t>
      </w:r>
      <w:r/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Rapports mensuels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 contiennent que les données du tenant.</w:t>
      </w:r>
      <w:r/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UI bilingue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complète (navigation, formulaires, rapports, emails).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2025-08-25T11:58:22Z</dcterms:modified>
</cp:coreProperties>
</file>