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7.35254287719727" w:lineRule="auto"/>
        <w:ind w:left="341.8998718261719" w:right="-8.00048828125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Fundamentos de Mineração de Dados e Ciência de Dados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Questão sobre Conteúdo Futuro 10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2.55615234375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Entrega: 10/11/2025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66.56002044677734" w:lineRule="auto"/>
        <w:ind w:left="10.0799560546875" w:right="291.7999267578125" w:hanging="10.079956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Explique, em no máximo 7 linhas,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o que são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qual a importância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 Estatísticas  Suficientes no contexto de Aprendizado de Máquina em Fluxos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80.52001953125" w:line="266.56002044677734" w:lineRule="auto"/>
        <w:ind w:left="0" w:right="291.7999267578125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 fluxos de dados, as estatísticas suficientes são resumos compactos dos dados que preservam toda a informação necessária para estimar os parâmetros de um modelo, sem precisar armazenar o conjunto completo. Elas são fundamentais em aprendizado incremental, pois permitem atualizar o modelo continuamente à medida que novos dados chegam, mantendo a eficiência de memória e tempo. Assim, evitam reprocessamentos e possibilitam aprendizado em tempo real, essencial em ambientes de streaming ou big data.</w:t>
      </w:r>
    </w:p>
    <w:sectPr>
      <w:pgSz w:h="16820" w:w="11900" w:orient="portrait"/>
      <w:pgMar w:bottom="12315" w:top="1396.600341796875" w:left="1705.5400085449219" w:right="2047.76000976562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