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85676"/>
          <w:sz w:val="44"/>
        </w:rPr>
        <w:t>3D Planetary Digital Twin Simulation Interface</w:t>
      </w:r>
    </w:p>
    <w:p>
      <w:pPr>
        <w:jc w:val="center"/>
      </w:pPr>
      <w:r>
        <w:rPr>
          <w:b/>
          <w:color w:val="0F766E"/>
          <w:sz w:val="30"/>
        </w:rPr>
        <w:t>Production-Grade Application Documentation</w:t>
      </w:r>
    </w:p>
    <w:p>
      <w:pPr>
        <w:jc w:val="center"/>
      </w:pPr>
      <w:r>
        <w:rPr>
          <w:i/>
        </w:rPr>
        <w:t>Planetary Eco-Assessment Engine | Operational Digital Twin Scaffold</w:t>
      </w:r>
    </w:p>
    <w:p/>
    <w:tbl>
      <w:tblPr>
        <w:tblStyle w:val="TableGrid"/>
        <w:tblW w:type="auto" w:w="0"/>
        <w:jc w:val="center"/>
        <w:tblLook w:firstColumn="1" w:firstRow="1" w:lastColumn="0" w:lastRow="0" w:noHBand="0" w:noVBand="1" w:val="04A0"/>
      </w:tblPr>
      <w:tblGrid>
        <w:gridCol w:w="5112"/>
        <w:gridCol w:w="5112"/>
      </w:tblGrid>
      <w:tr>
        <w:tc>
          <w:tcPr>
            <w:tcW w:type="dxa" w:w="5112"/>
            <w:shd w:fill="0F766E"/>
            <w:vAlign w:val="center"/>
          </w:tcPr>
          <w:p>
            <w:pPr>
              <w:spacing w:after="40"/>
            </w:pPr>
            <w:r/>
            <w:r>
              <w:rPr>
                <w:b/>
                <w:color w:val="FFFFFF"/>
              </w:rPr>
              <w:t>Document Item</w:t>
            </w:r>
          </w:p>
        </w:tc>
        <w:tc>
          <w:tcPr>
            <w:tcW w:type="dxa" w:w="5112"/>
            <w:shd w:fill="0F766E"/>
            <w:vAlign w:val="center"/>
          </w:tcPr>
          <w:p>
            <w:pPr>
              <w:spacing w:after="40"/>
            </w:pPr>
            <w:r/>
            <w:r>
              <w:rPr>
                <w:b/>
                <w:color w:val="FFFFFF"/>
              </w:rPr>
              <w:t>Description</w:t>
            </w:r>
          </w:p>
        </w:tc>
      </w:tr>
      <w:tr>
        <w:tc>
          <w:tcPr>
            <w:tcW w:type="dxa" w:w="5112"/>
            <w:vAlign w:val="top"/>
          </w:tcPr>
          <w:p>
            <w:pPr>
              <w:spacing w:after="40"/>
            </w:pPr>
            <w:r/>
            <w:r>
              <w:rPr>
                <w:b w:val="0"/>
              </w:rPr>
              <w:t>Purpose</w:t>
            </w:r>
          </w:p>
        </w:tc>
        <w:tc>
          <w:tcPr>
            <w:tcW w:type="dxa" w:w="5112"/>
            <w:vAlign w:val="top"/>
          </w:tcPr>
          <w:p>
            <w:pPr>
              <w:spacing w:after="40"/>
            </w:pPr>
            <w:r/>
            <w:r>
              <w:rPr>
                <w:b w:val="0"/>
              </w:rPr>
              <w:t>Detailed technical, operational, deployment, and governance documentation for the upgraded planetary digital twin application.</w:t>
            </w:r>
          </w:p>
        </w:tc>
      </w:tr>
      <w:tr>
        <w:tc>
          <w:tcPr>
            <w:tcW w:type="dxa" w:w="5112"/>
            <w:vAlign w:val="top"/>
          </w:tcPr>
          <w:p>
            <w:pPr>
              <w:spacing w:after="40"/>
            </w:pPr>
            <w:r/>
            <w:r>
              <w:rPr>
                <w:b w:val="0"/>
              </w:rPr>
              <w:t>Application Type</w:t>
            </w:r>
          </w:p>
        </w:tc>
        <w:tc>
          <w:tcPr>
            <w:tcW w:type="dxa" w:w="5112"/>
            <w:vAlign w:val="top"/>
          </w:tcPr>
          <w:p>
            <w:pPr>
              <w:spacing w:after="40"/>
            </w:pPr>
            <w:r/>
            <w:r>
              <w:rPr>
                <w:b w:val="0"/>
              </w:rPr>
              <w:t>FastAPI + WebGL/Three.js operational-style planetary environmental digital twin.</w:t>
            </w:r>
          </w:p>
        </w:tc>
      </w:tr>
      <w:tr>
        <w:tc>
          <w:tcPr>
            <w:tcW w:type="dxa" w:w="5112"/>
            <w:vAlign w:val="top"/>
          </w:tcPr>
          <w:p>
            <w:pPr>
              <w:spacing w:after="40"/>
            </w:pPr>
            <w:r/>
            <w:r>
              <w:rPr>
                <w:b w:val="0"/>
              </w:rPr>
              <w:t>Core Live Feeds</w:t>
            </w:r>
          </w:p>
        </w:tc>
        <w:tc>
          <w:tcPr>
            <w:tcW w:type="dxa" w:w="5112"/>
            <w:vAlign w:val="top"/>
          </w:tcPr>
          <w:p>
            <w:pPr>
              <w:spacing w:after="40"/>
            </w:pPr>
            <w:r/>
            <w:r>
              <w:rPr>
                <w:b w:val="0"/>
              </w:rPr>
              <w:t>Open-Meteo Weather, Open-Meteo Air Quality, NASA EONET, USGS Earthquake GeoJSON.</w:t>
            </w:r>
          </w:p>
        </w:tc>
      </w:tr>
      <w:tr>
        <w:tc>
          <w:tcPr>
            <w:tcW w:type="dxa" w:w="5112"/>
            <w:vAlign w:val="top"/>
          </w:tcPr>
          <w:p>
            <w:pPr>
              <w:spacing w:after="40"/>
            </w:pPr>
            <w:r/>
            <w:r>
              <w:rPr>
                <w:b w:val="0"/>
              </w:rPr>
              <w:t>Deployment Mode</w:t>
            </w:r>
          </w:p>
        </w:tc>
        <w:tc>
          <w:tcPr>
            <w:tcW w:type="dxa" w:w="5112"/>
            <w:vAlign w:val="top"/>
          </w:tcPr>
          <w:p>
            <w:pPr>
              <w:spacing w:after="40"/>
            </w:pPr>
            <w:r/>
            <w:r>
              <w:rPr>
                <w:b w:val="0"/>
              </w:rPr>
              <w:t>Local server, Docker Compose, or cloud container deployment.</w:t>
            </w:r>
          </w:p>
        </w:tc>
      </w:tr>
      <w:tr>
        <w:tc>
          <w:tcPr>
            <w:tcW w:type="dxa" w:w="5112"/>
            <w:vAlign w:val="top"/>
          </w:tcPr>
          <w:p>
            <w:pPr>
              <w:spacing w:after="40"/>
            </w:pPr>
            <w:r/>
            <w:r>
              <w:rPr>
                <w:b w:val="0"/>
              </w:rPr>
              <w:t>Version</w:t>
            </w:r>
          </w:p>
        </w:tc>
        <w:tc>
          <w:tcPr>
            <w:tcW w:type="dxa" w:w="5112"/>
            <w:vAlign w:val="top"/>
          </w:tcPr>
          <w:p>
            <w:pPr>
              <w:spacing w:after="40"/>
            </w:pPr>
            <w:r/>
            <w:r>
              <w:rPr>
                <w:b w:val="0"/>
              </w:rPr>
              <w:t>Production scaffold v1.0.0</w:t>
            </w:r>
          </w:p>
        </w:tc>
      </w:tr>
    </w:tbl>
    <w:p/>
    <w:p>
      <w:r>
        <w:br w:type="page"/>
      </w:r>
    </w:p>
    <w:p>
      <w:pPr>
        <w:pStyle w:val="Heading1"/>
      </w:pPr>
      <w:r>
        <w:t>1. Executive Summary</w:t>
      </w:r>
    </w:p>
    <w:p>
      <w:r>
        <w:t>The upgraded application is no longer only a standalone visual simulation. It is now packaged as a production-ready scaffold for an operational-style planetary environmental digital twin. The system combines an interactive 3D Earth interface with a backend service that centralizes live data fusion, API health checks, coordinate-based analytics, risk classification, caching, test coverage, and deployment assets.</w:t>
      </w:r>
    </w:p>
    <w:p>
      <w:r>
        <w:t>The application can be professionally described as a fully operational digital twin scaffold. It is designed to run as a deployed web application, accept user-selected coordinates, query live environmental and hazard feeds, convert those feeds into interpretable metrics, and return a local environmental risk summary to the 3D interface.</w:t>
      </w:r>
    </w:p>
    <w:p>
      <w:r>
        <w:t>Important distinction: the current build includes production-grade software architecture, backend orchestration, API health checks, and operational data fusion. To become a mission-critical planetary digital twin used for official decision-making, the symbolic globe overlays should be replaced with validated gridded geospatial datasets, persistent storage, formal QA/QC, audit trails, and model calibration workflows.</w:t>
      </w:r>
    </w:p>
    <w:tbl>
      <w:tblPr>
        <w:tblStyle w:val="TableGrid"/>
        <w:tblW w:type="auto" w:w="0"/>
        <w:jc w:val="center"/>
        <w:tblLook w:firstColumn="1" w:firstRow="1" w:lastColumn="0" w:lastRow="0" w:noHBand="0" w:noVBand="1" w:val="04A0"/>
      </w:tblPr>
      <w:tblGrid>
        <w:gridCol w:w="5112"/>
        <w:gridCol w:w="5112"/>
      </w:tblGrid>
      <w:tr>
        <w:tc>
          <w:tcPr>
            <w:tcW w:type="dxa" w:w="5112"/>
            <w:shd w:fill="0F766E"/>
            <w:vAlign w:val="center"/>
          </w:tcPr>
          <w:p>
            <w:pPr>
              <w:spacing w:after="40"/>
            </w:pPr>
            <w:r/>
            <w:r>
              <w:rPr>
                <w:b/>
                <w:color w:val="FFFFFF"/>
              </w:rPr>
              <w:t>Digital Twin Requirement</w:t>
            </w:r>
          </w:p>
        </w:tc>
        <w:tc>
          <w:tcPr>
            <w:tcW w:type="dxa" w:w="5112"/>
            <w:shd w:fill="0F766E"/>
            <w:vAlign w:val="center"/>
          </w:tcPr>
          <w:p>
            <w:pPr>
              <w:spacing w:after="40"/>
            </w:pPr>
            <w:r/>
            <w:r>
              <w:rPr>
                <w:b/>
                <w:color w:val="FFFFFF"/>
              </w:rPr>
              <w:t>Implemented in This Package</w:t>
            </w:r>
          </w:p>
        </w:tc>
      </w:tr>
      <w:tr>
        <w:tc>
          <w:tcPr>
            <w:tcW w:type="dxa" w:w="5112"/>
            <w:vAlign w:val="top"/>
          </w:tcPr>
          <w:p>
            <w:pPr>
              <w:spacing w:after="40"/>
            </w:pPr>
            <w:r/>
            <w:r>
              <w:rPr>
                <w:b w:val="0"/>
              </w:rPr>
              <w:t>Digital representation</w:t>
            </w:r>
          </w:p>
        </w:tc>
        <w:tc>
          <w:tcPr>
            <w:tcW w:type="dxa" w:w="5112"/>
            <w:vAlign w:val="top"/>
          </w:tcPr>
          <w:p>
            <w:pPr>
              <w:spacing w:after="40"/>
            </w:pPr>
            <w:r/>
            <w:r>
              <w:rPr>
                <w:b w:val="0"/>
              </w:rPr>
              <w:t>Interactive 3D WebGL Earth model with layered environmental visualization.</w:t>
            </w:r>
          </w:p>
        </w:tc>
      </w:tr>
      <w:tr>
        <w:tc>
          <w:tcPr>
            <w:tcW w:type="dxa" w:w="5112"/>
            <w:vAlign w:val="top"/>
          </w:tcPr>
          <w:p>
            <w:pPr>
              <w:spacing w:after="40"/>
            </w:pPr>
            <w:r/>
            <w:r>
              <w:rPr>
                <w:b w:val="0"/>
              </w:rPr>
              <w:t>Live data linkage</w:t>
            </w:r>
          </w:p>
        </w:tc>
        <w:tc>
          <w:tcPr>
            <w:tcW w:type="dxa" w:w="5112"/>
            <w:vAlign w:val="top"/>
          </w:tcPr>
          <w:p>
            <w:pPr>
              <w:spacing w:after="40"/>
            </w:pPr>
            <w:r/>
            <w:r>
              <w:rPr>
                <w:b w:val="0"/>
              </w:rPr>
              <w:t>Backend pulls coordinate-based weather, air quality, natural events, and earthquake feeds.</w:t>
            </w:r>
          </w:p>
        </w:tc>
      </w:tr>
      <w:tr>
        <w:tc>
          <w:tcPr>
            <w:tcW w:type="dxa" w:w="5112"/>
            <w:vAlign w:val="top"/>
          </w:tcPr>
          <w:p>
            <w:pPr>
              <w:spacing w:after="40"/>
            </w:pPr>
            <w:r/>
            <w:r>
              <w:rPr>
                <w:b w:val="0"/>
              </w:rPr>
              <w:t>State synchronization</w:t>
            </w:r>
          </w:p>
        </w:tc>
        <w:tc>
          <w:tcPr>
            <w:tcW w:type="dxa" w:w="5112"/>
            <w:vAlign w:val="top"/>
          </w:tcPr>
          <w:p>
            <w:pPr>
              <w:spacing w:after="40"/>
            </w:pPr>
            <w:r/>
            <w:r>
              <w:rPr>
                <w:b w:val="0"/>
              </w:rPr>
              <w:t>User latitude/longitude selection triggers live backend data fusion and updates interface metrics.</w:t>
            </w:r>
          </w:p>
        </w:tc>
      </w:tr>
      <w:tr>
        <w:tc>
          <w:tcPr>
            <w:tcW w:type="dxa" w:w="5112"/>
            <w:vAlign w:val="top"/>
          </w:tcPr>
          <w:p>
            <w:pPr>
              <w:spacing w:after="40"/>
            </w:pPr>
            <w:r/>
            <w:r>
              <w:rPr>
                <w:b w:val="0"/>
              </w:rPr>
              <w:t>Scenario simulation</w:t>
            </w:r>
          </w:p>
        </w:tc>
        <w:tc>
          <w:tcPr>
            <w:tcW w:type="dxa" w:w="5112"/>
            <w:vAlign w:val="top"/>
          </w:tcPr>
          <w:p>
            <w:pPr>
              <w:spacing w:after="40"/>
            </w:pPr>
            <w:r/>
            <w:r>
              <w:rPr>
                <w:b w:val="0"/>
              </w:rPr>
              <w:t>Global degradation multiplier and carbon budget stress-test model.</w:t>
            </w:r>
          </w:p>
        </w:tc>
      </w:tr>
      <w:tr>
        <w:tc>
          <w:tcPr>
            <w:tcW w:type="dxa" w:w="5112"/>
            <w:vAlign w:val="top"/>
          </w:tcPr>
          <w:p>
            <w:pPr>
              <w:spacing w:after="40"/>
            </w:pPr>
            <w:r/>
            <w:r>
              <w:rPr>
                <w:b w:val="0"/>
              </w:rPr>
              <w:t>Operational monitoring</w:t>
            </w:r>
          </w:p>
        </w:tc>
        <w:tc>
          <w:tcPr>
            <w:tcW w:type="dxa" w:w="5112"/>
            <w:vAlign w:val="top"/>
          </w:tcPr>
          <w:p>
            <w:pPr>
              <w:spacing w:after="40"/>
            </w:pPr>
            <w:r/>
            <w:r>
              <w:rPr>
                <w:b w:val="0"/>
              </w:rPr>
              <w:t>API health pills, sync timestamps, cache metadata, and backend health endpoint.</w:t>
            </w:r>
          </w:p>
        </w:tc>
      </w:tr>
      <w:tr>
        <w:tc>
          <w:tcPr>
            <w:tcW w:type="dxa" w:w="5112"/>
            <w:vAlign w:val="top"/>
          </w:tcPr>
          <w:p>
            <w:pPr>
              <w:spacing w:after="40"/>
            </w:pPr>
            <w:r/>
            <w:r>
              <w:rPr>
                <w:b w:val="0"/>
              </w:rPr>
              <w:t>Analytics layer</w:t>
            </w:r>
          </w:p>
        </w:tc>
        <w:tc>
          <w:tcPr>
            <w:tcW w:type="dxa" w:w="5112"/>
            <w:vAlign w:val="top"/>
          </w:tcPr>
          <w:p>
            <w:pPr>
              <w:spacing w:after="40"/>
            </w:pPr>
            <w:r/>
            <w:r>
              <w:rPr>
                <w:b w:val="0"/>
              </w:rPr>
              <w:t>Risk classification based on PM2.5, wind, precipitation, NASA event proximity, and USGS earthquake proximity.</w:t>
            </w:r>
          </w:p>
        </w:tc>
      </w:tr>
      <w:tr>
        <w:tc>
          <w:tcPr>
            <w:tcW w:type="dxa" w:w="5112"/>
            <w:vAlign w:val="top"/>
          </w:tcPr>
          <w:p>
            <w:pPr>
              <w:spacing w:after="40"/>
            </w:pPr>
            <w:r/>
            <w:r>
              <w:rPr>
                <w:b w:val="0"/>
              </w:rPr>
              <w:t>Deployment architecture</w:t>
            </w:r>
          </w:p>
        </w:tc>
        <w:tc>
          <w:tcPr>
            <w:tcW w:type="dxa" w:w="5112"/>
            <w:vAlign w:val="top"/>
          </w:tcPr>
          <w:p>
            <w:pPr>
              <w:spacing w:after="40"/>
            </w:pPr>
            <w:r/>
            <w:r>
              <w:rPr>
                <w:b w:val="0"/>
              </w:rPr>
              <w:t>FastAPI, static frontend, Dockerfile, Docker Compose, requirements, tests, and documentation.</w:t>
            </w:r>
          </w:p>
        </w:tc>
      </w:tr>
    </w:tbl>
    <w:p/>
    <w:p>
      <w:pPr>
        <w:pStyle w:val="Heading1"/>
      </w:pPr>
      <w:r>
        <w:t>2. Application Overview</w:t>
      </w:r>
    </w:p>
    <w:p>
      <w:r>
        <w:t>The system is composed of two main tiers: a browser-based 3D interface and a FastAPI backend. The frontend renders the planet and user interface, while the backend performs live data retrieval, normalization, risk scoring, caching, and API status reporting.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F766E"/>
            <w:vAlign w:val="center"/>
          </w:tcPr>
          <w:p>
            <w:pPr>
              <w:spacing w:after="40"/>
            </w:pPr>
            <w:r/>
            <w:r>
              <w:rPr>
                <w:b/>
                <w:color w:val="FFFFFF"/>
              </w:rPr>
              <w:t>Component</w:t>
            </w:r>
          </w:p>
        </w:tc>
        <w:tc>
          <w:tcPr>
            <w:tcW w:type="dxa" w:w="3408"/>
            <w:shd w:fill="0F766E"/>
            <w:vAlign w:val="center"/>
          </w:tcPr>
          <w:p>
            <w:pPr>
              <w:spacing w:after="40"/>
            </w:pPr>
            <w:r/>
            <w:r>
              <w:rPr>
                <w:b/>
                <w:color w:val="FFFFFF"/>
              </w:rPr>
              <w:t>Technology</w:t>
            </w:r>
          </w:p>
        </w:tc>
        <w:tc>
          <w:tcPr>
            <w:tcW w:type="dxa" w:w="3408"/>
            <w:shd w:fill="0F766E"/>
            <w:vAlign w:val="center"/>
          </w:tcPr>
          <w:p>
            <w:pPr>
              <w:spacing w:after="40"/>
            </w:pPr>
            <w:r/>
            <w:r>
              <w:rPr>
                <w:b/>
                <w:color w:val="FFFFFF"/>
              </w:rPr>
              <w:t>Role</w:t>
            </w:r>
          </w:p>
        </w:tc>
      </w:tr>
      <w:tr>
        <w:tc>
          <w:tcPr>
            <w:tcW w:type="dxa" w:w="3408"/>
            <w:vAlign w:val="top"/>
          </w:tcPr>
          <w:p>
            <w:pPr>
              <w:spacing w:after="40"/>
            </w:pPr>
            <w:r/>
            <w:r>
              <w:rPr>
                <w:b w:val="0"/>
              </w:rPr>
              <w:t>Frontend 3D Interface</w:t>
            </w:r>
          </w:p>
        </w:tc>
        <w:tc>
          <w:tcPr>
            <w:tcW w:type="dxa" w:w="3408"/>
            <w:vAlign w:val="top"/>
          </w:tcPr>
          <w:p>
            <w:pPr>
              <w:spacing w:after="40"/>
            </w:pPr>
            <w:r/>
            <w:r>
              <w:rPr>
                <w:b w:val="0"/>
              </w:rPr>
              <w:t>HTML, CSS, JavaScript, Three.js, Tween.js</w:t>
            </w:r>
          </w:p>
        </w:tc>
        <w:tc>
          <w:tcPr>
            <w:tcW w:type="dxa" w:w="3408"/>
            <w:vAlign w:val="top"/>
          </w:tcPr>
          <w:p>
            <w:pPr>
              <w:spacing w:after="40"/>
            </w:pPr>
            <w:r/>
            <w:r>
              <w:rPr>
                <w:b w:val="0"/>
              </w:rPr>
              <w:t>Displays the globe, symbolic environmental layers, coordinate targeting, telemetry, motion controls, and live digital twin results.</w:t>
            </w:r>
          </w:p>
        </w:tc>
      </w:tr>
      <w:tr>
        <w:tc>
          <w:tcPr>
            <w:tcW w:type="dxa" w:w="3408"/>
            <w:vAlign w:val="top"/>
          </w:tcPr>
          <w:p>
            <w:pPr>
              <w:spacing w:after="40"/>
            </w:pPr>
            <w:r/>
            <w:r>
              <w:rPr>
                <w:b w:val="0"/>
              </w:rPr>
              <w:t>Backend API</w:t>
            </w:r>
          </w:p>
        </w:tc>
        <w:tc>
          <w:tcPr>
            <w:tcW w:type="dxa" w:w="3408"/>
            <w:vAlign w:val="top"/>
          </w:tcPr>
          <w:p>
            <w:pPr>
              <w:spacing w:after="40"/>
            </w:pPr>
            <w:r/>
            <w:r>
              <w:rPr>
                <w:b w:val="0"/>
              </w:rPr>
              <w:t>FastAPI, httpx, Pydantic-compatible responses</w:t>
            </w:r>
          </w:p>
        </w:tc>
        <w:tc>
          <w:tcPr>
            <w:tcW w:type="dxa" w:w="3408"/>
            <w:vAlign w:val="top"/>
          </w:tcPr>
          <w:p>
            <w:pPr>
              <w:spacing w:after="40"/>
            </w:pPr>
            <w:r/>
            <w:r>
              <w:rPr>
                <w:b w:val="0"/>
              </w:rPr>
              <w:t>Fetches and fuses live data feeds, exposes health and digital-twin endpoints, and returns normalized JSON.</w:t>
            </w:r>
          </w:p>
        </w:tc>
      </w:tr>
      <w:tr>
        <w:tc>
          <w:tcPr>
            <w:tcW w:type="dxa" w:w="3408"/>
            <w:vAlign w:val="top"/>
          </w:tcPr>
          <w:p>
            <w:pPr>
              <w:spacing w:after="40"/>
            </w:pPr>
            <w:r/>
            <w:r>
              <w:rPr>
                <w:b w:val="0"/>
              </w:rPr>
              <w:t>Weather Feed</w:t>
            </w:r>
          </w:p>
        </w:tc>
        <w:tc>
          <w:tcPr>
            <w:tcW w:type="dxa" w:w="3408"/>
            <w:vAlign w:val="top"/>
          </w:tcPr>
          <w:p>
            <w:pPr>
              <w:spacing w:after="40"/>
            </w:pPr>
            <w:r/>
            <w:r>
              <w:rPr>
                <w:b w:val="0"/>
              </w:rPr>
              <w:t>Open-Meteo Forecast API</w:t>
            </w:r>
          </w:p>
        </w:tc>
        <w:tc>
          <w:tcPr>
            <w:tcW w:type="dxa" w:w="3408"/>
            <w:vAlign w:val="top"/>
          </w:tcPr>
          <w:p>
            <w:pPr>
              <w:spacing w:after="40"/>
            </w:pPr>
            <w:r/>
            <w:r>
              <w:rPr>
                <w:b w:val="0"/>
              </w:rPr>
              <w:t>Provides current coordinate-based temperature, humidity, precipitation, and wind speed.</w:t>
            </w:r>
          </w:p>
        </w:tc>
      </w:tr>
      <w:tr>
        <w:tc>
          <w:tcPr>
            <w:tcW w:type="dxa" w:w="3408"/>
            <w:vAlign w:val="top"/>
          </w:tcPr>
          <w:p>
            <w:pPr>
              <w:spacing w:after="40"/>
            </w:pPr>
            <w:r/>
            <w:r>
              <w:rPr>
                <w:b w:val="0"/>
              </w:rPr>
              <w:t>Air Quality Feed</w:t>
            </w:r>
          </w:p>
        </w:tc>
        <w:tc>
          <w:tcPr>
            <w:tcW w:type="dxa" w:w="3408"/>
            <w:vAlign w:val="top"/>
          </w:tcPr>
          <w:p>
            <w:pPr>
              <w:spacing w:after="40"/>
            </w:pPr>
            <w:r/>
            <w:r>
              <w:rPr>
                <w:b w:val="0"/>
              </w:rPr>
              <w:t>Open-Meteo Air Quality API</w:t>
            </w:r>
          </w:p>
        </w:tc>
        <w:tc>
          <w:tcPr>
            <w:tcW w:type="dxa" w:w="3408"/>
            <w:vAlign w:val="top"/>
          </w:tcPr>
          <w:p>
            <w:pPr>
              <w:spacing w:after="40"/>
            </w:pPr>
            <w:r/>
            <w:r>
              <w:rPr>
                <w:b w:val="0"/>
              </w:rPr>
              <w:t>Provides current PM2.5, CO, US AQI, and European AQI values.</w:t>
            </w:r>
          </w:p>
        </w:tc>
      </w:tr>
      <w:tr>
        <w:tc>
          <w:tcPr>
            <w:tcW w:type="dxa" w:w="3408"/>
            <w:vAlign w:val="top"/>
          </w:tcPr>
          <w:p>
            <w:pPr>
              <w:spacing w:after="40"/>
            </w:pPr>
            <w:r/>
            <w:r>
              <w:rPr>
                <w:b w:val="0"/>
              </w:rPr>
              <w:t>Natural Event Feed</w:t>
            </w:r>
          </w:p>
        </w:tc>
        <w:tc>
          <w:tcPr>
            <w:tcW w:type="dxa" w:w="3408"/>
            <w:vAlign w:val="top"/>
          </w:tcPr>
          <w:p>
            <w:pPr>
              <w:spacing w:after="40"/>
            </w:pPr>
            <w:r/>
            <w:r>
              <w:rPr>
                <w:b w:val="0"/>
              </w:rPr>
              <w:t>NASA EONET</w:t>
            </w:r>
          </w:p>
        </w:tc>
        <w:tc>
          <w:tcPr>
            <w:tcW w:type="dxa" w:w="3408"/>
            <w:vAlign w:val="top"/>
          </w:tcPr>
          <w:p>
            <w:pPr>
              <w:spacing w:after="40"/>
            </w:pPr>
            <w:r/>
            <w:r>
              <w:rPr>
                <w:b w:val="0"/>
              </w:rPr>
              <w:t>Provides active or near-real-time natural event metadata and event proximity.</w:t>
            </w:r>
          </w:p>
        </w:tc>
      </w:tr>
      <w:tr>
        <w:tc>
          <w:tcPr>
            <w:tcW w:type="dxa" w:w="3408"/>
            <w:vAlign w:val="top"/>
          </w:tcPr>
          <w:p>
            <w:pPr>
              <w:spacing w:after="40"/>
            </w:pPr>
            <w:r/>
            <w:r>
              <w:rPr>
                <w:b w:val="0"/>
              </w:rPr>
              <w:t>Seismic Feed</w:t>
            </w:r>
          </w:p>
        </w:tc>
        <w:tc>
          <w:tcPr>
            <w:tcW w:type="dxa" w:w="3408"/>
            <w:vAlign w:val="top"/>
          </w:tcPr>
          <w:p>
            <w:pPr>
              <w:spacing w:after="40"/>
            </w:pPr>
            <w:r/>
            <w:r>
              <w:rPr>
                <w:b w:val="0"/>
              </w:rPr>
              <w:t>USGS Earthquake GeoJSON</w:t>
            </w:r>
          </w:p>
        </w:tc>
        <w:tc>
          <w:tcPr>
            <w:tcW w:type="dxa" w:w="3408"/>
            <w:vAlign w:val="top"/>
          </w:tcPr>
          <w:p>
            <w:pPr>
              <w:spacing w:after="40"/>
            </w:pPr>
            <w:r/>
            <w:r>
              <w:rPr>
                <w:b w:val="0"/>
              </w:rPr>
              <w:t>Provides recent earthquake features and nearest earthquake proximity.</w:t>
            </w:r>
          </w:p>
        </w:tc>
      </w:tr>
      <w:tr>
        <w:tc>
          <w:tcPr>
            <w:tcW w:type="dxa" w:w="3408"/>
            <w:vAlign w:val="top"/>
          </w:tcPr>
          <w:p>
            <w:pPr>
              <w:spacing w:after="40"/>
            </w:pPr>
            <w:r/>
            <w:r>
              <w:rPr>
                <w:b w:val="0"/>
              </w:rPr>
              <w:t>Deployment Layer</w:t>
            </w:r>
          </w:p>
        </w:tc>
        <w:tc>
          <w:tcPr>
            <w:tcW w:type="dxa" w:w="3408"/>
            <w:vAlign w:val="top"/>
          </w:tcPr>
          <w:p>
            <w:pPr>
              <w:spacing w:after="40"/>
            </w:pPr>
            <w:r/>
            <w:r>
              <w:rPr>
                <w:b w:val="0"/>
              </w:rPr>
              <w:t>Docker and Docker Compose</w:t>
            </w:r>
          </w:p>
        </w:tc>
        <w:tc>
          <w:tcPr>
            <w:tcW w:type="dxa" w:w="3408"/>
            <w:vAlign w:val="top"/>
          </w:tcPr>
          <w:p>
            <w:pPr>
              <w:spacing w:after="40"/>
            </w:pPr>
            <w:r/>
            <w:r>
              <w:rPr>
                <w:b w:val="0"/>
              </w:rPr>
              <w:t>Provides repeatable deployment for local or cloud container environments.</w:t>
            </w:r>
          </w:p>
        </w:tc>
      </w:tr>
    </w:tbl>
    <w:p/>
    <w:p>
      <w:pPr>
        <w:pStyle w:val="Heading1"/>
      </w:pPr>
      <w:r>
        <w:t>3. System Architecture</w:t>
      </w:r>
    </w:p>
    <w:p>
      <w:r>
        <w:t>The production package follows a client-server architecture. The browser does not directly call every external data provider. Instead, the frontend calls one controlled backend endpoint, /api/digital-twin, and the backend handles all public feed requests. This improves maintainability, reduces frontend complexity, enables caching, and prepares the system for authentication, database persistence, and audit logging.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F766E"/>
            <w:vAlign w:val="center"/>
          </w:tcPr>
          <w:p>
            <w:pPr>
              <w:spacing w:after="40"/>
            </w:pPr>
            <w:r/>
            <w:r>
              <w:rPr>
                <w:b/>
                <w:color w:val="FFFFFF"/>
              </w:rPr>
              <w:t>Layer</w:t>
            </w:r>
          </w:p>
        </w:tc>
        <w:tc>
          <w:tcPr>
            <w:tcW w:type="dxa" w:w="3408"/>
            <w:shd w:fill="0F766E"/>
            <w:vAlign w:val="center"/>
          </w:tcPr>
          <w:p>
            <w:pPr>
              <w:spacing w:after="40"/>
            </w:pPr>
            <w:r/>
            <w:r>
              <w:rPr>
                <w:b/>
                <w:color w:val="FFFFFF"/>
              </w:rPr>
              <w:t>Responsibility</w:t>
            </w:r>
          </w:p>
        </w:tc>
        <w:tc>
          <w:tcPr>
            <w:tcW w:type="dxa" w:w="3408"/>
            <w:shd w:fill="0F766E"/>
            <w:vAlign w:val="center"/>
          </w:tcPr>
          <w:p>
            <w:pPr>
              <w:spacing w:after="40"/>
            </w:pPr>
            <w:r/>
            <w:r>
              <w:rPr>
                <w:b/>
                <w:color w:val="FFFFFF"/>
              </w:rPr>
              <w:t>Files</w:t>
            </w:r>
          </w:p>
        </w:tc>
      </w:tr>
      <w:tr>
        <w:tc>
          <w:tcPr>
            <w:tcW w:type="dxa" w:w="3408"/>
            <w:vAlign w:val="top"/>
          </w:tcPr>
          <w:p>
            <w:pPr>
              <w:spacing w:after="40"/>
            </w:pPr>
            <w:r/>
            <w:r>
              <w:rPr>
                <w:b w:val="0"/>
              </w:rPr>
              <w:t>Presentation Layer</w:t>
            </w:r>
          </w:p>
        </w:tc>
        <w:tc>
          <w:tcPr>
            <w:tcW w:type="dxa" w:w="3408"/>
            <w:vAlign w:val="top"/>
          </w:tcPr>
          <w:p>
            <w:pPr>
              <w:spacing w:after="40"/>
            </w:pPr>
            <w:r/>
            <w:r>
              <w:rPr>
                <w:b w:val="0"/>
              </w:rPr>
              <w:t>Renders globe, panels, controls, metrics, risk summary, and health indicators.</w:t>
            </w:r>
          </w:p>
        </w:tc>
        <w:tc>
          <w:tcPr>
            <w:tcW w:type="dxa" w:w="3408"/>
            <w:vAlign w:val="top"/>
          </w:tcPr>
          <w:p>
            <w:pPr>
              <w:spacing w:after="40"/>
            </w:pPr>
            <w:r/>
            <w:r>
              <w:rPr>
                <w:b w:val="0"/>
              </w:rPr>
              <w:t>static/index.html</w:t>
            </w:r>
          </w:p>
        </w:tc>
      </w:tr>
      <w:tr>
        <w:tc>
          <w:tcPr>
            <w:tcW w:type="dxa" w:w="3408"/>
            <w:vAlign w:val="top"/>
          </w:tcPr>
          <w:p>
            <w:pPr>
              <w:spacing w:after="40"/>
            </w:pPr>
            <w:r/>
            <w:r>
              <w:rPr>
                <w:b w:val="0"/>
              </w:rPr>
              <w:t>API Layer</w:t>
            </w:r>
          </w:p>
        </w:tc>
        <w:tc>
          <w:tcPr>
            <w:tcW w:type="dxa" w:w="3408"/>
            <w:vAlign w:val="top"/>
          </w:tcPr>
          <w:p>
            <w:pPr>
              <w:spacing w:after="40"/>
            </w:pPr>
            <w:r/>
            <w:r>
              <w:rPr>
                <w:b w:val="0"/>
              </w:rPr>
              <w:t>Exposes root page, health endpoint, and coordinate data-fusion endpoint.</w:t>
            </w:r>
          </w:p>
        </w:tc>
        <w:tc>
          <w:tcPr>
            <w:tcW w:type="dxa" w:w="3408"/>
            <w:vAlign w:val="top"/>
          </w:tcPr>
          <w:p>
            <w:pPr>
              <w:spacing w:after="40"/>
            </w:pPr>
            <w:r/>
            <w:r>
              <w:rPr>
                <w:b w:val="0"/>
              </w:rPr>
              <w:t>app/main.py</w:t>
            </w:r>
          </w:p>
        </w:tc>
      </w:tr>
      <w:tr>
        <w:tc>
          <w:tcPr>
            <w:tcW w:type="dxa" w:w="3408"/>
            <w:vAlign w:val="top"/>
          </w:tcPr>
          <w:p>
            <w:pPr>
              <w:spacing w:after="40"/>
            </w:pPr>
            <w:r/>
            <w:r>
              <w:rPr>
                <w:b w:val="0"/>
              </w:rPr>
              <w:t>Service Logic</w:t>
            </w:r>
          </w:p>
        </w:tc>
        <w:tc>
          <w:tcPr>
            <w:tcW w:type="dxa" w:w="3408"/>
            <w:vAlign w:val="top"/>
          </w:tcPr>
          <w:p>
            <w:pPr>
              <w:spacing w:after="40"/>
            </w:pPr>
            <w:r/>
            <w:r>
              <w:rPr>
                <w:b w:val="0"/>
              </w:rPr>
              <w:t>Coordinate validation, caching, live API calls, distance calculations, risk classification.</w:t>
            </w:r>
          </w:p>
        </w:tc>
        <w:tc>
          <w:tcPr>
            <w:tcW w:type="dxa" w:w="3408"/>
            <w:vAlign w:val="top"/>
          </w:tcPr>
          <w:p>
            <w:pPr>
              <w:spacing w:after="40"/>
            </w:pPr>
            <w:r/>
            <w:r>
              <w:rPr>
                <w:b w:val="0"/>
              </w:rPr>
              <w:t>app/main.py</w:t>
            </w:r>
          </w:p>
        </w:tc>
      </w:tr>
      <w:tr>
        <w:tc>
          <w:tcPr>
            <w:tcW w:type="dxa" w:w="3408"/>
            <w:vAlign w:val="top"/>
          </w:tcPr>
          <w:p>
            <w:pPr>
              <w:spacing w:after="40"/>
            </w:pPr>
            <w:r/>
            <w:r>
              <w:rPr>
                <w:b w:val="0"/>
              </w:rPr>
              <w:t>Testing Layer</w:t>
            </w:r>
          </w:p>
        </w:tc>
        <w:tc>
          <w:tcPr>
            <w:tcW w:type="dxa" w:w="3408"/>
            <w:vAlign w:val="top"/>
          </w:tcPr>
          <w:p>
            <w:pPr>
              <w:spacing w:after="40"/>
            </w:pPr>
            <w:r/>
            <w:r>
              <w:rPr>
                <w:b w:val="0"/>
              </w:rPr>
              <w:t>Unit tests for distance math, coordinate clamping, and risk thresholds.</w:t>
            </w:r>
          </w:p>
        </w:tc>
        <w:tc>
          <w:tcPr>
            <w:tcW w:type="dxa" w:w="3408"/>
            <w:vAlign w:val="top"/>
          </w:tcPr>
          <w:p>
            <w:pPr>
              <w:spacing w:after="40"/>
            </w:pPr>
            <w:r/>
            <w:r>
              <w:rPr>
                <w:b w:val="0"/>
              </w:rPr>
              <w:t>tests/test_risk.py</w:t>
            </w:r>
          </w:p>
        </w:tc>
      </w:tr>
      <w:tr>
        <w:tc>
          <w:tcPr>
            <w:tcW w:type="dxa" w:w="3408"/>
            <w:vAlign w:val="top"/>
          </w:tcPr>
          <w:p>
            <w:pPr>
              <w:spacing w:after="40"/>
            </w:pPr>
            <w:r/>
            <w:r>
              <w:rPr>
                <w:b w:val="0"/>
              </w:rPr>
              <w:t>Deployment Layer</w:t>
            </w:r>
          </w:p>
        </w:tc>
        <w:tc>
          <w:tcPr>
            <w:tcW w:type="dxa" w:w="3408"/>
            <w:vAlign w:val="top"/>
          </w:tcPr>
          <w:p>
            <w:pPr>
              <w:spacing w:after="40"/>
            </w:pPr>
            <w:r/>
            <w:r>
              <w:rPr>
                <w:b w:val="0"/>
              </w:rPr>
              <w:t>Build and run configuration.</w:t>
            </w:r>
          </w:p>
        </w:tc>
        <w:tc>
          <w:tcPr>
            <w:tcW w:type="dxa" w:w="3408"/>
            <w:vAlign w:val="top"/>
          </w:tcPr>
          <w:p>
            <w:pPr>
              <w:spacing w:after="40"/>
            </w:pPr>
            <w:r/>
            <w:r>
              <w:rPr>
                <w:b w:val="0"/>
              </w:rPr>
              <w:t>Dockerfile, docker-compose.yml, requirements.txt, .env.example</w:t>
            </w:r>
          </w:p>
        </w:tc>
      </w:tr>
    </w:tbl>
    <w:p/>
    <w:p>
      <w:pPr>
        <w:pStyle w:val="Heading1"/>
      </w:pPr>
      <w:r>
        <w:t>4. Data Fusion Workflow</w:t>
      </w:r>
    </w:p>
    <w:p>
      <w:r>
        <w:t>When the user enters a latitude and longitude and clicks Lock Vector &amp; Scan, the application rotates the globe toward the target and requests a backend digital twin payload. The backend validates the coordinate, checks the cache, queries external feeds when needed, computes nearest hazard distances, classifies risk, and returns a single normalized JSON response.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F766E"/>
            <w:vAlign w:val="center"/>
          </w:tcPr>
          <w:p>
            <w:pPr>
              <w:spacing w:after="40"/>
            </w:pPr>
            <w:r/>
            <w:r>
              <w:rPr>
                <w:b/>
                <w:color w:val="FFFFFF"/>
              </w:rPr>
              <w:t>Step</w:t>
            </w:r>
          </w:p>
        </w:tc>
        <w:tc>
          <w:tcPr>
            <w:tcW w:type="dxa" w:w="3408"/>
            <w:shd w:fill="0F766E"/>
            <w:vAlign w:val="center"/>
          </w:tcPr>
          <w:p>
            <w:pPr>
              <w:spacing w:after="40"/>
            </w:pPr>
            <w:r/>
            <w:r>
              <w:rPr>
                <w:b/>
                <w:color w:val="FFFFFF"/>
              </w:rPr>
              <w:t>Process</w:t>
            </w:r>
          </w:p>
        </w:tc>
        <w:tc>
          <w:tcPr>
            <w:tcW w:type="dxa" w:w="3408"/>
            <w:shd w:fill="0F766E"/>
            <w:vAlign w:val="center"/>
          </w:tcPr>
          <w:p>
            <w:pPr>
              <w:spacing w:after="40"/>
            </w:pPr>
            <w:r/>
            <w:r>
              <w:rPr>
                <w:b/>
                <w:color w:val="FFFFFF"/>
              </w:rPr>
              <w:t>Output</w:t>
            </w:r>
          </w:p>
        </w:tc>
      </w:tr>
      <w:tr>
        <w:tc>
          <w:tcPr>
            <w:tcW w:type="dxa" w:w="3408"/>
            <w:vAlign w:val="top"/>
          </w:tcPr>
          <w:p>
            <w:pPr>
              <w:spacing w:after="40"/>
            </w:pPr>
            <w:r/>
            <w:r>
              <w:rPr>
                <w:b w:val="0"/>
              </w:rPr>
              <w:t>1</w:t>
            </w:r>
          </w:p>
        </w:tc>
        <w:tc>
          <w:tcPr>
            <w:tcW w:type="dxa" w:w="3408"/>
            <w:vAlign w:val="top"/>
          </w:tcPr>
          <w:p>
            <w:pPr>
              <w:spacing w:after="40"/>
            </w:pPr>
            <w:r/>
            <w:r>
              <w:rPr>
                <w:b w:val="0"/>
              </w:rPr>
              <w:t>User enters latitude and longitude.</w:t>
            </w:r>
          </w:p>
        </w:tc>
        <w:tc>
          <w:tcPr>
            <w:tcW w:type="dxa" w:w="3408"/>
            <w:vAlign w:val="top"/>
          </w:tcPr>
          <w:p>
            <w:pPr>
              <w:spacing w:after="40"/>
            </w:pPr>
            <w:r/>
            <w:r>
              <w:rPr>
                <w:b w:val="0"/>
              </w:rPr>
              <w:t>Validated coordinate pair.</w:t>
            </w:r>
          </w:p>
        </w:tc>
      </w:tr>
      <w:tr>
        <w:tc>
          <w:tcPr>
            <w:tcW w:type="dxa" w:w="3408"/>
            <w:vAlign w:val="top"/>
          </w:tcPr>
          <w:p>
            <w:pPr>
              <w:spacing w:after="40"/>
            </w:pPr>
            <w:r/>
            <w:r>
              <w:rPr>
                <w:b w:val="0"/>
              </w:rPr>
              <w:t>2</w:t>
            </w:r>
          </w:p>
        </w:tc>
        <w:tc>
          <w:tcPr>
            <w:tcW w:type="dxa" w:w="3408"/>
            <w:vAlign w:val="top"/>
          </w:tcPr>
          <w:p>
            <w:pPr>
              <w:spacing w:after="40"/>
            </w:pPr>
            <w:r/>
            <w:r>
              <w:rPr>
                <w:b w:val="0"/>
              </w:rPr>
              <w:t>Frontend rotates globe and sends GET /api/digital-twin?lat=...&amp;lng=...</w:t>
            </w:r>
          </w:p>
        </w:tc>
        <w:tc>
          <w:tcPr>
            <w:tcW w:type="dxa" w:w="3408"/>
            <w:vAlign w:val="top"/>
          </w:tcPr>
          <w:p>
            <w:pPr>
              <w:spacing w:after="40"/>
            </w:pPr>
            <w:r/>
            <w:r>
              <w:rPr>
                <w:b w:val="0"/>
              </w:rPr>
              <w:t>Backend request.</w:t>
            </w:r>
          </w:p>
        </w:tc>
      </w:tr>
      <w:tr>
        <w:tc>
          <w:tcPr>
            <w:tcW w:type="dxa" w:w="3408"/>
            <w:vAlign w:val="top"/>
          </w:tcPr>
          <w:p>
            <w:pPr>
              <w:spacing w:after="40"/>
            </w:pPr>
            <w:r/>
            <w:r>
              <w:rPr>
                <w:b w:val="0"/>
              </w:rPr>
              <w:t>3</w:t>
            </w:r>
          </w:p>
        </w:tc>
        <w:tc>
          <w:tcPr>
            <w:tcW w:type="dxa" w:w="3408"/>
            <w:vAlign w:val="top"/>
          </w:tcPr>
          <w:p>
            <w:pPr>
              <w:spacing w:after="40"/>
            </w:pPr>
            <w:r/>
            <w:r>
              <w:rPr>
                <w:b w:val="0"/>
              </w:rPr>
              <w:t>Backend clamps and validates coordinate, then checks in-memory cache.</w:t>
            </w:r>
          </w:p>
        </w:tc>
        <w:tc>
          <w:tcPr>
            <w:tcW w:type="dxa" w:w="3408"/>
            <w:vAlign w:val="top"/>
          </w:tcPr>
          <w:p>
            <w:pPr>
              <w:spacing w:after="40"/>
            </w:pPr>
            <w:r/>
            <w:r>
              <w:rPr>
                <w:b w:val="0"/>
              </w:rPr>
              <w:t>Cache hit or live fetch decision.</w:t>
            </w:r>
          </w:p>
        </w:tc>
      </w:tr>
      <w:tr>
        <w:tc>
          <w:tcPr>
            <w:tcW w:type="dxa" w:w="3408"/>
            <w:vAlign w:val="top"/>
          </w:tcPr>
          <w:p>
            <w:pPr>
              <w:spacing w:after="40"/>
            </w:pPr>
            <w:r/>
            <w:r>
              <w:rPr>
                <w:b w:val="0"/>
              </w:rPr>
              <w:t>4</w:t>
            </w:r>
          </w:p>
        </w:tc>
        <w:tc>
          <w:tcPr>
            <w:tcW w:type="dxa" w:w="3408"/>
            <w:vAlign w:val="top"/>
          </w:tcPr>
          <w:p>
            <w:pPr>
              <w:spacing w:after="40"/>
            </w:pPr>
            <w:r/>
            <w:r>
              <w:rPr>
                <w:b w:val="0"/>
              </w:rPr>
              <w:t>Backend queries Open-Meteo weather and air-quality APIs.</w:t>
            </w:r>
          </w:p>
        </w:tc>
        <w:tc>
          <w:tcPr>
            <w:tcW w:type="dxa" w:w="3408"/>
            <w:vAlign w:val="top"/>
          </w:tcPr>
          <w:p>
            <w:pPr>
              <w:spacing w:after="40"/>
            </w:pPr>
            <w:r/>
            <w:r>
              <w:rPr>
                <w:b w:val="0"/>
              </w:rPr>
              <w:t>Temperature, humidity, precipitation, wind, PM2.5, AQI, CO.</w:t>
            </w:r>
          </w:p>
        </w:tc>
      </w:tr>
      <w:tr>
        <w:tc>
          <w:tcPr>
            <w:tcW w:type="dxa" w:w="3408"/>
            <w:vAlign w:val="top"/>
          </w:tcPr>
          <w:p>
            <w:pPr>
              <w:spacing w:after="40"/>
            </w:pPr>
            <w:r/>
            <w:r>
              <w:rPr>
                <w:b w:val="0"/>
              </w:rPr>
              <w:t>5</w:t>
            </w:r>
          </w:p>
        </w:tc>
        <w:tc>
          <w:tcPr>
            <w:tcW w:type="dxa" w:w="3408"/>
            <w:vAlign w:val="top"/>
          </w:tcPr>
          <w:p>
            <w:pPr>
              <w:spacing w:after="40"/>
            </w:pPr>
            <w:r/>
            <w:r>
              <w:rPr>
                <w:b w:val="0"/>
              </w:rPr>
              <w:t>Backend queries NASA EONET and USGS earthquake feeds.</w:t>
            </w:r>
          </w:p>
        </w:tc>
        <w:tc>
          <w:tcPr>
            <w:tcW w:type="dxa" w:w="3408"/>
            <w:vAlign w:val="top"/>
          </w:tcPr>
          <w:p>
            <w:pPr>
              <w:spacing w:after="40"/>
            </w:pPr>
            <w:r/>
            <w:r>
              <w:rPr>
                <w:b w:val="0"/>
              </w:rPr>
              <w:t>Nearest natural event and nearest earthquake.</w:t>
            </w:r>
          </w:p>
        </w:tc>
      </w:tr>
      <w:tr>
        <w:tc>
          <w:tcPr>
            <w:tcW w:type="dxa" w:w="3408"/>
            <w:vAlign w:val="top"/>
          </w:tcPr>
          <w:p>
            <w:pPr>
              <w:spacing w:after="40"/>
            </w:pPr>
            <w:r/>
            <w:r>
              <w:rPr>
                <w:b w:val="0"/>
              </w:rPr>
              <w:t>6</w:t>
            </w:r>
          </w:p>
        </w:tc>
        <w:tc>
          <w:tcPr>
            <w:tcW w:type="dxa" w:w="3408"/>
            <w:vAlign w:val="top"/>
          </w:tcPr>
          <w:p>
            <w:pPr>
              <w:spacing w:after="40"/>
            </w:pPr>
            <w:r/>
            <w:r>
              <w:rPr>
                <w:b w:val="0"/>
              </w:rPr>
              <w:t>Backend computes Haversine distances and environmental risk classification.</w:t>
            </w:r>
          </w:p>
        </w:tc>
        <w:tc>
          <w:tcPr>
            <w:tcW w:type="dxa" w:w="3408"/>
            <w:vAlign w:val="top"/>
          </w:tcPr>
          <w:p>
            <w:pPr>
              <w:spacing w:after="40"/>
            </w:pPr>
            <w:r/>
            <w:r>
              <w:rPr>
                <w:b w:val="0"/>
              </w:rPr>
              <w:t>Low, moderate, high, or limited risk level.</w:t>
            </w:r>
          </w:p>
        </w:tc>
      </w:tr>
      <w:tr>
        <w:tc>
          <w:tcPr>
            <w:tcW w:type="dxa" w:w="3408"/>
            <w:vAlign w:val="top"/>
          </w:tcPr>
          <w:p>
            <w:pPr>
              <w:spacing w:after="40"/>
            </w:pPr>
            <w:r/>
            <w:r>
              <w:rPr>
                <w:b w:val="0"/>
              </w:rPr>
              <w:t>7</w:t>
            </w:r>
          </w:p>
        </w:tc>
        <w:tc>
          <w:tcPr>
            <w:tcW w:type="dxa" w:w="3408"/>
            <w:vAlign w:val="top"/>
          </w:tcPr>
          <w:p>
            <w:pPr>
              <w:spacing w:after="40"/>
            </w:pPr>
            <w:r/>
            <w:r>
              <w:rPr>
                <w:b w:val="0"/>
              </w:rPr>
              <w:t>Frontend updates metrics, API status indicators, hazard fusion summary, and risk summary.</w:t>
            </w:r>
          </w:p>
        </w:tc>
        <w:tc>
          <w:tcPr>
            <w:tcW w:type="dxa" w:w="3408"/>
            <w:vAlign w:val="top"/>
          </w:tcPr>
          <w:p>
            <w:pPr>
              <w:spacing w:after="40"/>
            </w:pPr>
            <w:r/>
            <w:r>
              <w:rPr>
                <w:b w:val="0"/>
              </w:rPr>
              <w:t>Operational digital twin feedback loop.</w:t>
            </w:r>
          </w:p>
        </w:tc>
      </w:tr>
    </w:tbl>
    <w:p/>
    <w:p>
      <w:pPr>
        <w:pStyle w:val="Heading1"/>
      </w:pPr>
      <w:r>
        <w:t>5. Live Data Sources</w:t>
      </w:r>
    </w:p>
    <w:p>
      <w:r>
        <w:t>The application uses public, no-key or low-friction APIs suitable for prototyping and demonstration. For production decision-making, licensing, rate limits, uptime guarantees, and data quality should be reviewed and documented.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0F766E"/>
            <w:vAlign w:val="center"/>
          </w:tcPr>
          <w:p>
            <w:pPr>
              <w:spacing w:after="40"/>
            </w:pPr>
            <w:r/>
            <w:r>
              <w:rPr>
                <w:b/>
                <w:color w:val="FFFFFF"/>
              </w:rPr>
              <w:t>Source</w:t>
            </w:r>
          </w:p>
        </w:tc>
        <w:tc>
          <w:tcPr>
            <w:tcW w:type="dxa" w:w="2556"/>
            <w:shd w:fill="0F766E"/>
            <w:vAlign w:val="center"/>
          </w:tcPr>
          <w:p>
            <w:pPr>
              <w:spacing w:after="40"/>
            </w:pPr>
            <w:r/>
            <w:r>
              <w:rPr>
                <w:b/>
                <w:color w:val="FFFFFF"/>
              </w:rPr>
              <w:t>Endpoint Purpose</w:t>
            </w:r>
          </w:p>
        </w:tc>
        <w:tc>
          <w:tcPr>
            <w:tcW w:type="dxa" w:w="2556"/>
            <w:shd w:fill="0F766E"/>
            <w:vAlign w:val="center"/>
          </w:tcPr>
          <w:p>
            <w:pPr>
              <w:spacing w:after="40"/>
            </w:pPr>
            <w:r/>
            <w:r>
              <w:rPr>
                <w:b/>
                <w:color w:val="FFFFFF"/>
              </w:rPr>
              <w:t>Variables Used</w:t>
            </w:r>
          </w:p>
        </w:tc>
        <w:tc>
          <w:tcPr>
            <w:tcW w:type="dxa" w:w="2556"/>
            <w:shd w:fill="0F766E"/>
            <w:vAlign w:val="center"/>
          </w:tcPr>
          <w:p>
            <w:pPr>
              <w:spacing w:after="40"/>
            </w:pPr>
            <w:r/>
            <w:r>
              <w:rPr>
                <w:b/>
                <w:color w:val="FFFFFF"/>
              </w:rPr>
              <w:t>Operational Role</w:t>
            </w:r>
          </w:p>
        </w:tc>
      </w:tr>
      <w:tr>
        <w:tc>
          <w:tcPr>
            <w:tcW w:type="dxa" w:w="2556"/>
            <w:vAlign w:val="top"/>
          </w:tcPr>
          <w:p>
            <w:pPr>
              <w:spacing w:after="40"/>
            </w:pPr>
            <w:r/>
            <w:r>
              <w:rPr>
                <w:b w:val="0"/>
              </w:rPr>
              <w:t>Open-Meteo Forecast</w:t>
            </w:r>
          </w:p>
        </w:tc>
        <w:tc>
          <w:tcPr>
            <w:tcW w:type="dxa" w:w="2556"/>
            <w:vAlign w:val="top"/>
          </w:tcPr>
          <w:p>
            <w:pPr>
              <w:spacing w:after="40"/>
            </w:pPr>
            <w:r/>
            <w:r>
              <w:rPr>
                <w:b w:val="0"/>
              </w:rPr>
              <w:t>Coordinate-based current weather.</w:t>
            </w:r>
          </w:p>
        </w:tc>
        <w:tc>
          <w:tcPr>
            <w:tcW w:type="dxa" w:w="2556"/>
            <w:vAlign w:val="top"/>
          </w:tcPr>
          <w:p>
            <w:pPr>
              <w:spacing w:after="40"/>
            </w:pPr>
            <w:r/>
            <w:r>
              <w:rPr>
                <w:b w:val="0"/>
              </w:rPr>
              <w:t>Temperature, humidity, precipitation, wind speed.</w:t>
            </w:r>
          </w:p>
        </w:tc>
        <w:tc>
          <w:tcPr>
            <w:tcW w:type="dxa" w:w="2556"/>
            <w:vAlign w:val="top"/>
          </w:tcPr>
          <w:p>
            <w:pPr>
              <w:spacing w:after="40"/>
            </w:pPr>
            <w:r/>
            <w:r>
              <w:rPr>
                <w:b w:val="0"/>
              </w:rPr>
              <w:t>Local weather state signal.</w:t>
            </w:r>
          </w:p>
        </w:tc>
      </w:tr>
      <w:tr>
        <w:tc>
          <w:tcPr>
            <w:tcW w:type="dxa" w:w="2556"/>
            <w:vAlign w:val="top"/>
          </w:tcPr>
          <w:p>
            <w:pPr>
              <w:spacing w:after="40"/>
            </w:pPr>
            <w:r/>
            <w:r>
              <w:rPr>
                <w:b w:val="0"/>
              </w:rPr>
              <w:t>Open-Meteo Air Quality</w:t>
            </w:r>
          </w:p>
        </w:tc>
        <w:tc>
          <w:tcPr>
            <w:tcW w:type="dxa" w:w="2556"/>
            <w:vAlign w:val="top"/>
          </w:tcPr>
          <w:p>
            <w:pPr>
              <w:spacing w:after="40"/>
            </w:pPr>
            <w:r/>
            <w:r>
              <w:rPr>
                <w:b w:val="0"/>
              </w:rPr>
              <w:t>Coordinate-based air-quality model feed.</w:t>
            </w:r>
          </w:p>
        </w:tc>
        <w:tc>
          <w:tcPr>
            <w:tcW w:type="dxa" w:w="2556"/>
            <w:vAlign w:val="top"/>
          </w:tcPr>
          <w:p>
            <w:pPr>
              <w:spacing w:after="40"/>
            </w:pPr>
            <w:r/>
            <w:r>
              <w:rPr>
                <w:b w:val="0"/>
              </w:rPr>
              <w:t>PM2.5, CO, US AQI, European AQI.</w:t>
            </w:r>
          </w:p>
        </w:tc>
        <w:tc>
          <w:tcPr>
            <w:tcW w:type="dxa" w:w="2556"/>
            <w:vAlign w:val="top"/>
          </w:tcPr>
          <w:p>
            <w:pPr>
              <w:spacing w:after="40"/>
            </w:pPr>
            <w:r/>
            <w:r>
              <w:rPr>
                <w:b w:val="0"/>
              </w:rPr>
              <w:t>Pollution exposure signal.</w:t>
            </w:r>
          </w:p>
        </w:tc>
      </w:tr>
      <w:tr>
        <w:tc>
          <w:tcPr>
            <w:tcW w:type="dxa" w:w="2556"/>
            <w:vAlign w:val="top"/>
          </w:tcPr>
          <w:p>
            <w:pPr>
              <w:spacing w:after="40"/>
            </w:pPr>
            <w:r/>
            <w:r>
              <w:rPr>
                <w:b w:val="0"/>
              </w:rPr>
              <w:t>NASA EONET</w:t>
            </w:r>
          </w:p>
        </w:tc>
        <w:tc>
          <w:tcPr>
            <w:tcW w:type="dxa" w:w="2556"/>
            <w:vAlign w:val="top"/>
          </w:tcPr>
          <w:p>
            <w:pPr>
              <w:spacing w:after="40"/>
            </w:pPr>
            <w:r/>
            <w:r>
              <w:rPr>
                <w:b w:val="0"/>
              </w:rPr>
              <w:t>Active natural event metadata.</w:t>
            </w:r>
          </w:p>
        </w:tc>
        <w:tc>
          <w:tcPr>
            <w:tcW w:type="dxa" w:w="2556"/>
            <w:vAlign w:val="top"/>
          </w:tcPr>
          <w:p>
            <w:pPr>
              <w:spacing w:after="40"/>
            </w:pPr>
            <w:r/>
            <w:r>
              <w:rPr>
                <w:b w:val="0"/>
              </w:rPr>
              <w:t>Event title and geometry.</w:t>
            </w:r>
          </w:p>
        </w:tc>
        <w:tc>
          <w:tcPr>
            <w:tcW w:type="dxa" w:w="2556"/>
            <w:vAlign w:val="top"/>
          </w:tcPr>
          <w:p>
            <w:pPr>
              <w:spacing w:after="40"/>
            </w:pPr>
            <w:r/>
            <w:r>
              <w:rPr>
                <w:b w:val="0"/>
              </w:rPr>
              <w:t>Natural event proximity signal.</w:t>
            </w:r>
          </w:p>
        </w:tc>
      </w:tr>
      <w:tr>
        <w:tc>
          <w:tcPr>
            <w:tcW w:type="dxa" w:w="2556"/>
            <w:vAlign w:val="top"/>
          </w:tcPr>
          <w:p>
            <w:pPr>
              <w:spacing w:after="40"/>
            </w:pPr>
            <w:r/>
            <w:r>
              <w:rPr>
                <w:b w:val="0"/>
              </w:rPr>
              <w:t>USGS Earthquake GeoJSON</w:t>
            </w:r>
          </w:p>
        </w:tc>
        <w:tc>
          <w:tcPr>
            <w:tcW w:type="dxa" w:w="2556"/>
            <w:vAlign w:val="top"/>
          </w:tcPr>
          <w:p>
            <w:pPr>
              <w:spacing w:after="40"/>
            </w:pPr>
            <w:r/>
            <w:r>
              <w:rPr>
                <w:b w:val="0"/>
              </w:rPr>
              <w:t>Recent earthquake features.</w:t>
            </w:r>
          </w:p>
        </w:tc>
        <w:tc>
          <w:tcPr>
            <w:tcW w:type="dxa" w:w="2556"/>
            <w:vAlign w:val="top"/>
          </w:tcPr>
          <w:p>
            <w:pPr>
              <w:spacing w:after="40"/>
            </w:pPr>
            <w:r/>
            <w:r>
              <w:rPr>
                <w:b w:val="0"/>
              </w:rPr>
              <w:t>Earthquake place, geometry, magnitude feed context.</w:t>
            </w:r>
          </w:p>
        </w:tc>
        <w:tc>
          <w:tcPr>
            <w:tcW w:type="dxa" w:w="2556"/>
            <w:vAlign w:val="top"/>
          </w:tcPr>
          <w:p>
            <w:pPr>
              <w:spacing w:after="40"/>
            </w:pPr>
            <w:r/>
            <w:r>
              <w:rPr>
                <w:b w:val="0"/>
              </w:rPr>
              <w:t>Seismic proximity signal.</w:t>
            </w:r>
          </w:p>
        </w:tc>
      </w:tr>
    </w:tbl>
    <w:p/>
    <w:p>
      <w:pPr>
        <w:pStyle w:val="Heading1"/>
      </w:pPr>
      <w:r>
        <w:t>6. Frontend Interface Specification</w:t>
      </w:r>
    </w:p>
    <w:p>
      <w:r>
        <w:t>The user interface is organized into a left analytical panel, center globe scene, and right operational data panel.</w:t>
      </w:r>
    </w:p>
    <w:tbl>
      <w:tblPr>
        <w:tblStyle w:val="TableGrid"/>
        <w:tblW w:type="auto" w:w="0"/>
        <w:jc w:val="center"/>
        <w:tblLook w:firstColumn="1" w:firstRow="1" w:lastColumn="0" w:lastRow="0" w:noHBand="0" w:noVBand="1" w:val="04A0"/>
      </w:tblPr>
      <w:tblGrid>
        <w:gridCol w:w="5112"/>
        <w:gridCol w:w="5112"/>
      </w:tblGrid>
      <w:tr>
        <w:tc>
          <w:tcPr>
            <w:tcW w:type="dxa" w:w="5112"/>
            <w:shd w:fill="0F766E"/>
            <w:vAlign w:val="center"/>
          </w:tcPr>
          <w:p>
            <w:pPr>
              <w:spacing w:after="40"/>
            </w:pPr>
            <w:r/>
            <w:r>
              <w:rPr>
                <w:b/>
                <w:color w:val="FFFFFF"/>
              </w:rPr>
              <w:t>UI Area</w:t>
            </w:r>
          </w:p>
        </w:tc>
        <w:tc>
          <w:tcPr>
            <w:tcW w:type="dxa" w:w="5112"/>
            <w:shd w:fill="0F766E"/>
            <w:vAlign w:val="center"/>
          </w:tcPr>
          <w:p>
            <w:pPr>
              <w:spacing w:after="40"/>
            </w:pPr>
            <w:r/>
            <w:r>
              <w:rPr>
                <w:b/>
                <w:color w:val="FFFFFF"/>
              </w:rPr>
              <w:t>Function</w:t>
            </w:r>
          </w:p>
        </w:tc>
      </w:tr>
      <w:tr>
        <w:tc>
          <w:tcPr>
            <w:tcW w:type="dxa" w:w="5112"/>
            <w:vAlign w:val="top"/>
          </w:tcPr>
          <w:p>
            <w:pPr>
              <w:spacing w:after="40"/>
            </w:pPr>
            <w:r/>
            <w:r>
              <w:rPr>
                <w:b w:val="0"/>
              </w:rPr>
              <w:t>Analytical Layers</w:t>
            </w:r>
          </w:p>
        </w:tc>
        <w:tc>
          <w:tcPr>
            <w:tcW w:type="dxa" w:w="5112"/>
            <w:vAlign w:val="top"/>
          </w:tcPr>
          <w:p>
            <w:pPr>
              <w:spacing w:after="40"/>
            </w:pPr>
            <w:r/>
            <w:r>
              <w:rPr>
                <w:b w:val="0"/>
              </w:rPr>
              <w:t>Toggles simulated terrain, CO2, PM2.5, and coastal risk visualization layers.</w:t>
            </w:r>
          </w:p>
        </w:tc>
      </w:tr>
      <w:tr>
        <w:tc>
          <w:tcPr>
            <w:tcW w:type="dxa" w:w="5112"/>
            <w:vAlign w:val="top"/>
          </w:tcPr>
          <w:p>
            <w:pPr>
              <w:spacing w:after="40"/>
            </w:pPr>
            <w:r/>
            <w:r>
              <w:rPr>
                <w:b w:val="0"/>
              </w:rPr>
              <w:t>Spectral Density Legend</w:t>
            </w:r>
          </w:p>
        </w:tc>
        <w:tc>
          <w:tcPr>
            <w:tcW w:type="dxa" w:w="5112"/>
            <w:vAlign w:val="top"/>
          </w:tcPr>
          <w:p>
            <w:pPr>
              <w:spacing w:after="40"/>
            </w:pPr>
            <w:r/>
            <w:r>
              <w:rPr>
                <w:b w:val="0"/>
              </w:rPr>
              <w:t>Explains the symbolic color meaning of the globe overlays.</w:t>
            </w:r>
          </w:p>
        </w:tc>
      </w:tr>
      <w:tr>
        <w:tc>
          <w:tcPr>
            <w:tcW w:type="dxa" w:w="5112"/>
            <w:vAlign w:val="top"/>
          </w:tcPr>
          <w:p>
            <w:pPr>
              <w:spacing w:after="40"/>
            </w:pPr>
            <w:r/>
            <w:r>
              <w:rPr>
                <w:b w:val="0"/>
              </w:rPr>
              <w:t>What This Simulation Is Showing</w:t>
            </w:r>
          </w:p>
        </w:tc>
        <w:tc>
          <w:tcPr>
            <w:tcW w:type="dxa" w:w="5112"/>
            <w:vAlign w:val="top"/>
          </w:tcPr>
          <w:p>
            <w:pPr>
              <w:spacing w:after="40"/>
            </w:pPr>
            <w:r/>
            <w:r>
              <w:rPr>
                <w:b w:val="0"/>
              </w:rPr>
              <w:t>Scrollable explanation that distinguishes simulated visual layers from live operational feeds.</w:t>
            </w:r>
          </w:p>
        </w:tc>
      </w:tr>
      <w:tr>
        <w:tc>
          <w:tcPr>
            <w:tcW w:type="dxa" w:w="5112"/>
            <w:vAlign w:val="top"/>
          </w:tcPr>
          <w:p>
            <w:pPr>
              <w:spacing w:after="40"/>
            </w:pPr>
            <w:r/>
            <w:r>
              <w:rPr>
                <w:b w:val="0"/>
              </w:rPr>
              <w:t>Telemetry Log</w:t>
            </w:r>
          </w:p>
        </w:tc>
        <w:tc>
          <w:tcPr>
            <w:tcW w:type="dxa" w:w="5112"/>
            <w:vAlign w:val="top"/>
          </w:tcPr>
          <w:p>
            <w:pPr>
              <w:spacing w:after="40"/>
            </w:pPr>
            <w:r/>
            <w:r>
              <w:rPr>
                <w:b w:val="0"/>
              </w:rPr>
              <w:t>Displays camera altitude and current surface lock coordinate.</w:t>
            </w:r>
          </w:p>
        </w:tc>
      </w:tr>
      <w:tr>
        <w:tc>
          <w:tcPr>
            <w:tcW w:type="dxa" w:w="5112"/>
            <w:vAlign w:val="top"/>
          </w:tcPr>
          <w:p>
            <w:pPr>
              <w:spacing w:after="40"/>
            </w:pPr>
            <w:r/>
            <w:r>
              <w:rPr>
                <w:b w:val="0"/>
              </w:rPr>
              <w:t>Globe Motion Controls</w:t>
            </w:r>
          </w:p>
        </w:tc>
        <w:tc>
          <w:tcPr>
            <w:tcW w:type="dxa" w:w="5112"/>
            <w:vAlign w:val="top"/>
          </w:tcPr>
          <w:p>
            <w:pPr>
              <w:spacing w:after="40"/>
            </w:pPr>
            <w:r/>
            <w:r>
              <w:rPr>
                <w:b w:val="0"/>
              </w:rPr>
              <w:t>Pause/resume globe rotation, increase/decrease rotation speed, and reset to default speed.</w:t>
            </w:r>
          </w:p>
        </w:tc>
      </w:tr>
      <w:tr>
        <w:tc>
          <w:tcPr>
            <w:tcW w:type="dxa" w:w="5112"/>
            <w:vAlign w:val="top"/>
          </w:tcPr>
          <w:p>
            <w:pPr>
              <w:spacing w:after="40"/>
            </w:pPr>
            <w:r/>
            <w:r>
              <w:rPr>
                <w:b w:val="0"/>
              </w:rPr>
              <w:t>Vector Targeting</w:t>
            </w:r>
          </w:p>
        </w:tc>
        <w:tc>
          <w:tcPr>
            <w:tcW w:type="dxa" w:w="5112"/>
            <w:vAlign w:val="top"/>
          </w:tcPr>
          <w:p>
            <w:pPr>
              <w:spacing w:after="40"/>
            </w:pPr>
            <w:r/>
            <w:r>
              <w:rPr>
                <w:b w:val="0"/>
              </w:rPr>
              <w:t>Accepts latitude and longitude for coordinate scanning.</w:t>
            </w:r>
          </w:p>
        </w:tc>
      </w:tr>
      <w:tr>
        <w:tc>
          <w:tcPr>
            <w:tcW w:type="dxa" w:w="5112"/>
            <w:vAlign w:val="top"/>
          </w:tcPr>
          <w:p>
            <w:pPr>
              <w:spacing w:after="40"/>
            </w:pPr>
            <w:r/>
            <w:r>
              <w:rPr>
                <w:b w:val="0"/>
              </w:rPr>
              <w:t>Live Digital Twin Data</w:t>
            </w:r>
          </w:p>
        </w:tc>
        <w:tc>
          <w:tcPr>
            <w:tcW w:type="dxa" w:w="5112"/>
            <w:vAlign w:val="top"/>
          </w:tcPr>
          <w:p>
            <w:pPr>
              <w:spacing w:after="40"/>
            </w:pPr>
            <w:r/>
            <w:r>
              <w:rPr>
                <w:b w:val="0"/>
              </w:rPr>
              <w:t>Displays API health, live observations, nearest hazards, risk summary, sync time, and tests.</w:t>
            </w:r>
          </w:p>
        </w:tc>
      </w:tr>
      <w:tr>
        <w:tc>
          <w:tcPr>
            <w:tcW w:type="dxa" w:w="5112"/>
            <w:vAlign w:val="top"/>
          </w:tcPr>
          <w:p>
            <w:pPr>
              <w:spacing w:after="40"/>
            </w:pPr>
            <w:r/>
            <w:r>
              <w:rPr>
                <w:b w:val="0"/>
              </w:rPr>
              <w:t>Survival Projections</w:t>
            </w:r>
          </w:p>
        </w:tc>
        <w:tc>
          <w:tcPr>
            <w:tcW w:type="dxa" w:w="5112"/>
            <w:vAlign w:val="top"/>
          </w:tcPr>
          <w:p>
            <w:pPr>
              <w:spacing w:after="40"/>
            </w:pPr>
            <w:r/>
            <w:r>
              <w:rPr>
                <w:b w:val="0"/>
              </w:rPr>
              <w:t>Shows a simplified 1.5C carbon budget countdown and degradation multiplier scenario.</w:t>
            </w:r>
          </w:p>
        </w:tc>
      </w:tr>
    </w:tbl>
    <w:p/>
    <w:p>
      <w:pPr>
        <w:pStyle w:val="Heading1"/>
      </w:pPr>
      <w:r>
        <w:t>7. Backend API Specification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F766E"/>
            <w:vAlign w:val="center"/>
          </w:tcPr>
          <w:p>
            <w:pPr>
              <w:spacing w:after="40"/>
            </w:pPr>
            <w:r/>
            <w:r>
              <w:rPr>
                <w:b/>
                <w:color w:val="FFFFFF"/>
              </w:rPr>
              <w:t>Endpoint</w:t>
            </w:r>
          </w:p>
        </w:tc>
        <w:tc>
          <w:tcPr>
            <w:tcW w:type="dxa" w:w="3408"/>
            <w:shd w:fill="0F766E"/>
            <w:vAlign w:val="center"/>
          </w:tcPr>
          <w:p>
            <w:pPr>
              <w:spacing w:after="40"/>
            </w:pPr>
            <w:r/>
            <w:r>
              <w:rPr>
                <w:b/>
                <w:color w:val="FFFFFF"/>
              </w:rPr>
              <w:t>Method</w:t>
            </w:r>
          </w:p>
        </w:tc>
        <w:tc>
          <w:tcPr>
            <w:tcW w:type="dxa" w:w="3408"/>
            <w:shd w:fill="0F766E"/>
            <w:vAlign w:val="center"/>
          </w:tcPr>
          <w:p>
            <w:pPr>
              <w:spacing w:after="40"/>
            </w:pPr>
            <w:r/>
            <w:r>
              <w:rPr>
                <w:b/>
                <w:color w:val="FFFFFF"/>
              </w:rPr>
              <w:t>Description</w:t>
            </w:r>
          </w:p>
        </w:tc>
      </w:tr>
      <w:tr>
        <w:tc>
          <w:tcPr>
            <w:tcW w:type="dxa" w:w="3408"/>
            <w:vAlign w:val="top"/>
          </w:tcPr>
          <w:p>
            <w:pPr>
              <w:spacing w:after="40"/>
            </w:pPr>
            <w:r/>
            <w:r>
              <w:rPr>
                <w:b w:val="0"/>
              </w:rPr>
              <w:t>/</w:t>
            </w:r>
          </w:p>
        </w:tc>
        <w:tc>
          <w:tcPr>
            <w:tcW w:type="dxa" w:w="3408"/>
            <w:vAlign w:val="top"/>
          </w:tcPr>
          <w:p>
            <w:pPr>
              <w:spacing w:after="40"/>
            </w:pPr>
            <w:r/>
            <w:r>
              <w:rPr>
                <w:b w:val="0"/>
              </w:rPr>
              <w:t>GET</w:t>
            </w:r>
          </w:p>
        </w:tc>
        <w:tc>
          <w:tcPr>
            <w:tcW w:type="dxa" w:w="3408"/>
            <w:vAlign w:val="top"/>
          </w:tcPr>
          <w:p>
            <w:pPr>
              <w:spacing w:after="40"/>
            </w:pPr>
            <w:r/>
            <w:r>
              <w:rPr>
                <w:b w:val="0"/>
              </w:rPr>
              <w:t>Returns the main static WebGL application.</w:t>
            </w:r>
          </w:p>
        </w:tc>
      </w:tr>
      <w:tr>
        <w:tc>
          <w:tcPr>
            <w:tcW w:type="dxa" w:w="3408"/>
            <w:vAlign w:val="top"/>
          </w:tcPr>
          <w:p>
            <w:pPr>
              <w:spacing w:after="40"/>
            </w:pPr>
            <w:r/>
            <w:r>
              <w:rPr>
                <w:b w:val="0"/>
              </w:rPr>
              <w:t>/api/health</w:t>
            </w:r>
          </w:p>
        </w:tc>
        <w:tc>
          <w:tcPr>
            <w:tcW w:type="dxa" w:w="3408"/>
            <w:vAlign w:val="top"/>
          </w:tcPr>
          <w:p>
            <w:pPr>
              <w:spacing w:after="40"/>
            </w:pPr>
            <w:r/>
            <w:r>
              <w:rPr>
                <w:b w:val="0"/>
              </w:rPr>
              <w:t>GET</w:t>
            </w:r>
          </w:p>
        </w:tc>
        <w:tc>
          <w:tcPr>
            <w:tcW w:type="dxa" w:w="3408"/>
            <w:vAlign w:val="top"/>
          </w:tcPr>
          <w:p>
            <w:pPr>
              <w:spacing w:after="40"/>
            </w:pPr>
            <w:r/>
            <w:r>
              <w:rPr>
                <w:b w:val="0"/>
              </w:rPr>
              <w:t>Returns service health, cache count, and cache TTL.</w:t>
            </w:r>
          </w:p>
        </w:tc>
      </w:tr>
      <w:tr>
        <w:tc>
          <w:tcPr>
            <w:tcW w:type="dxa" w:w="3408"/>
            <w:vAlign w:val="top"/>
          </w:tcPr>
          <w:p>
            <w:pPr>
              <w:spacing w:after="40"/>
            </w:pPr>
            <w:r/>
            <w:r>
              <w:rPr>
                <w:b w:val="0"/>
              </w:rPr>
              <w:t>/api/digital-twin?lat={lat}&amp;lng={lng}</w:t>
            </w:r>
          </w:p>
        </w:tc>
        <w:tc>
          <w:tcPr>
            <w:tcW w:type="dxa" w:w="3408"/>
            <w:vAlign w:val="top"/>
          </w:tcPr>
          <w:p>
            <w:pPr>
              <w:spacing w:after="40"/>
            </w:pPr>
            <w:r/>
            <w:r>
              <w:rPr>
                <w:b w:val="0"/>
              </w:rPr>
              <w:t>GET</w:t>
            </w:r>
          </w:p>
        </w:tc>
        <w:tc>
          <w:tcPr>
            <w:tcW w:type="dxa" w:w="3408"/>
            <w:vAlign w:val="top"/>
          </w:tcPr>
          <w:p>
            <w:pPr>
              <w:spacing w:after="40"/>
            </w:pPr>
            <w:r/>
            <w:r>
              <w:rPr>
                <w:b w:val="0"/>
              </w:rPr>
              <w:t>Returns coordinate-specific observations, hazards, API statuses, risk score, cache metadata, and notes.</w:t>
            </w:r>
          </w:p>
        </w:tc>
      </w:tr>
    </w:tbl>
    <w:p/>
    <w:p>
      <w:r>
        <w:t>The /api/digital-twin endpoint returns a normalized JSON object with coordinate, timestamp, cache metadata, api_status, observations, hazards, risk, and operational notes. This design enables the frontend to remain stable even if data providers change internally.</w:t>
      </w:r>
    </w:p>
    <w:p>
      <w:pPr>
        <w:pStyle w:val="Heading1"/>
      </w:pPr>
      <w:r>
        <w:t>8. Risk Classification Logic</w:t>
      </w:r>
    </w:p>
    <w:p>
      <w:r>
        <w:t>The backend risk model is intentionally simple and transparent. It should be treated as an initial rules-based triage layer, not as a final scientific model. The current logic uses PM2.5, wind, precipitation, NASA event proximity, and USGS earthquake proximity.</w:t>
      </w:r>
    </w:p>
    <w:tbl>
      <w:tblPr>
        <w:tblStyle w:val="TableGrid"/>
        <w:tblW w:type="auto" w:w="0"/>
        <w:jc w:val="center"/>
        <w:tblLook w:firstColumn="1" w:firstRow="1" w:lastColumn="0" w:lastRow="0" w:noHBand="0" w:noVBand="1" w:val="04A0"/>
      </w:tblPr>
      <w:tblGrid>
        <w:gridCol w:w="5112"/>
        <w:gridCol w:w="5112"/>
      </w:tblGrid>
      <w:tr>
        <w:tc>
          <w:tcPr>
            <w:tcW w:type="dxa" w:w="5112"/>
            <w:shd w:fill="0F766E"/>
            <w:vAlign w:val="center"/>
          </w:tcPr>
          <w:p>
            <w:pPr>
              <w:spacing w:after="40"/>
            </w:pPr>
            <w:r/>
            <w:r>
              <w:rPr>
                <w:b/>
                <w:color w:val="FFFFFF"/>
              </w:rPr>
              <w:t>Risk Level</w:t>
            </w:r>
          </w:p>
        </w:tc>
        <w:tc>
          <w:tcPr>
            <w:tcW w:type="dxa" w:w="5112"/>
            <w:shd w:fill="0F766E"/>
            <w:vAlign w:val="center"/>
          </w:tcPr>
          <w:p>
            <w:pPr>
              <w:spacing w:after="40"/>
            </w:pPr>
            <w:r/>
            <w:r>
              <w:rPr>
                <w:b/>
                <w:color w:val="FFFFFF"/>
              </w:rPr>
              <w:t>Trigger Examples</w:t>
            </w:r>
          </w:p>
        </w:tc>
      </w:tr>
      <w:tr>
        <w:tc>
          <w:tcPr>
            <w:tcW w:type="dxa" w:w="5112"/>
            <w:vAlign w:val="top"/>
          </w:tcPr>
          <w:p>
            <w:pPr>
              <w:spacing w:after="40"/>
            </w:pPr>
            <w:r/>
            <w:r>
              <w:rPr>
                <w:b w:val="0"/>
              </w:rPr>
              <w:t>High</w:t>
            </w:r>
          </w:p>
        </w:tc>
        <w:tc>
          <w:tcPr>
            <w:tcW w:type="dxa" w:w="5112"/>
            <w:vAlign w:val="top"/>
          </w:tcPr>
          <w:p>
            <w:pPr>
              <w:spacing w:after="40"/>
            </w:pPr>
            <w:r/>
            <w:r>
              <w:rPr>
                <w:b w:val="0"/>
              </w:rPr>
              <w:t>PM2.5 &gt;= 35 ug/m3 or nearest earthquake &lt;= 150 km.</w:t>
            </w:r>
          </w:p>
        </w:tc>
      </w:tr>
      <w:tr>
        <w:tc>
          <w:tcPr>
            <w:tcW w:type="dxa" w:w="5112"/>
            <w:vAlign w:val="top"/>
          </w:tcPr>
          <w:p>
            <w:pPr>
              <w:spacing w:after="40"/>
            </w:pPr>
            <w:r/>
            <w:r>
              <w:rPr>
                <w:b w:val="0"/>
              </w:rPr>
              <w:t>Moderate</w:t>
            </w:r>
          </w:p>
        </w:tc>
        <w:tc>
          <w:tcPr>
            <w:tcW w:type="dxa" w:w="5112"/>
            <w:vAlign w:val="top"/>
          </w:tcPr>
          <w:p>
            <w:pPr>
              <w:spacing w:after="40"/>
            </w:pPr>
            <w:r/>
            <w:r>
              <w:rPr>
                <w:b w:val="0"/>
              </w:rPr>
              <w:t>PM2.5 &gt;= 12 ug/m3, wind &gt; 35 km/h, precipitation &gt; 2 mm, NASA event &lt;= 500 km, or earthquake &lt;= 500 km.</w:t>
            </w:r>
          </w:p>
        </w:tc>
      </w:tr>
      <w:tr>
        <w:tc>
          <w:tcPr>
            <w:tcW w:type="dxa" w:w="5112"/>
            <w:vAlign w:val="top"/>
          </w:tcPr>
          <w:p>
            <w:pPr>
              <w:spacing w:after="40"/>
            </w:pPr>
            <w:r/>
            <w:r>
              <w:rPr>
                <w:b w:val="0"/>
              </w:rPr>
              <w:t>Low</w:t>
            </w:r>
          </w:p>
        </w:tc>
        <w:tc>
          <w:tcPr>
            <w:tcW w:type="dxa" w:w="5112"/>
            <w:vAlign w:val="top"/>
          </w:tcPr>
          <w:p>
            <w:pPr>
              <w:spacing w:after="40"/>
            </w:pPr>
            <w:r/>
            <w:r>
              <w:rPr>
                <w:b w:val="0"/>
              </w:rPr>
              <w:t>No immediate watch or high threshold crossed from available feeds.</w:t>
            </w:r>
          </w:p>
        </w:tc>
      </w:tr>
      <w:tr>
        <w:tc>
          <w:tcPr>
            <w:tcW w:type="dxa" w:w="5112"/>
            <w:vAlign w:val="top"/>
          </w:tcPr>
          <w:p>
            <w:pPr>
              <w:spacing w:after="40"/>
            </w:pPr>
            <w:r/>
            <w:r>
              <w:rPr>
                <w:b w:val="0"/>
              </w:rPr>
              <w:t>Limited</w:t>
            </w:r>
          </w:p>
        </w:tc>
        <w:tc>
          <w:tcPr>
            <w:tcW w:type="dxa" w:w="5112"/>
            <w:vAlign w:val="top"/>
          </w:tcPr>
          <w:p>
            <w:pPr>
              <w:spacing w:after="40"/>
            </w:pPr>
            <w:r/>
            <w:r>
              <w:rPr>
                <w:b w:val="0"/>
              </w:rPr>
              <w:t>Insufficient air-quality and hazard information to classify confidently.</w:t>
            </w:r>
          </w:p>
        </w:tc>
      </w:tr>
    </w:tbl>
    <w:p/>
    <w:p>
      <w:pPr>
        <w:pStyle w:val="Heading1"/>
      </w:pPr>
      <w:r>
        <w:t>9. Production Deployment</w:t>
      </w:r>
    </w:p>
    <w:p>
      <w:r>
        <w:t>The package can be run locally with Python or deployed using Docker. Docker is recommended for repeatability and cloud deployment.</w:t>
      </w:r>
    </w:p>
    <w:tbl>
      <w:tblPr>
        <w:tblStyle w:val="TableGrid"/>
        <w:tblW w:type="auto" w:w="0"/>
        <w:jc w:val="center"/>
        <w:tblLook w:firstColumn="1" w:firstRow="1" w:lastColumn="0" w:lastRow="0" w:noHBand="0" w:noVBand="1" w:val="04A0"/>
      </w:tblPr>
      <w:tblGrid>
        <w:gridCol w:w="5112"/>
        <w:gridCol w:w="5112"/>
      </w:tblGrid>
      <w:tr>
        <w:tc>
          <w:tcPr>
            <w:tcW w:type="dxa" w:w="5112"/>
            <w:shd w:fill="0F766E"/>
            <w:vAlign w:val="center"/>
          </w:tcPr>
          <w:p>
            <w:pPr>
              <w:spacing w:after="40"/>
            </w:pPr>
            <w:r/>
            <w:r>
              <w:rPr>
                <w:b/>
                <w:color w:val="FFFFFF"/>
              </w:rPr>
              <w:t>Mode</w:t>
            </w:r>
          </w:p>
        </w:tc>
        <w:tc>
          <w:tcPr>
            <w:tcW w:type="dxa" w:w="5112"/>
            <w:shd w:fill="0F766E"/>
            <w:vAlign w:val="center"/>
          </w:tcPr>
          <w:p>
            <w:pPr>
              <w:spacing w:after="40"/>
            </w:pPr>
            <w:r/>
            <w:r>
              <w:rPr>
                <w:b/>
                <w:color w:val="FFFFFF"/>
              </w:rPr>
              <w:t>Command</w:t>
            </w:r>
          </w:p>
        </w:tc>
      </w:tr>
      <w:tr>
        <w:tc>
          <w:tcPr>
            <w:tcW w:type="dxa" w:w="5112"/>
            <w:vAlign w:val="top"/>
          </w:tcPr>
          <w:p>
            <w:pPr>
              <w:spacing w:after="40"/>
            </w:pPr>
            <w:r/>
            <w:r>
              <w:rPr>
                <w:b w:val="0"/>
              </w:rPr>
              <w:t>Local Python</w:t>
            </w:r>
          </w:p>
        </w:tc>
        <w:tc>
          <w:tcPr>
            <w:tcW w:type="dxa" w:w="5112"/>
            <w:vAlign w:val="top"/>
          </w:tcPr>
          <w:p>
            <w:pPr>
              <w:spacing w:after="40"/>
            </w:pPr>
            <w:r/>
            <w:r>
              <w:rPr>
                <w:b w:val="0"/>
              </w:rPr>
              <w:t>python -m venv .venv; activate environment; pip install -r requirements.txt; uvicorn app.main:app --reload --host 127.0.0.1 --port 8000</w:t>
            </w:r>
          </w:p>
        </w:tc>
      </w:tr>
      <w:tr>
        <w:tc>
          <w:tcPr>
            <w:tcW w:type="dxa" w:w="5112"/>
            <w:vAlign w:val="top"/>
          </w:tcPr>
          <w:p>
            <w:pPr>
              <w:spacing w:after="40"/>
            </w:pPr>
            <w:r/>
            <w:r>
              <w:rPr>
                <w:b w:val="0"/>
              </w:rPr>
              <w:t>Docker Compose</w:t>
            </w:r>
          </w:p>
        </w:tc>
        <w:tc>
          <w:tcPr>
            <w:tcW w:type="dxa" w:w="5112"/>
            <w:vAlign w:val="top"/>
          </w:tcPr>
          <w:p>
            <w:pPr>
              <w:spacing w:after="40"/>
            </w:pPr>
            <w:r/>
            <w:r>
              <w:rPr>
                <w:b w:val="0"/>
              </w:rPr>
              <w:t>docker compose up --build</w:t>
            </w:r>
          </w:p>
        </w:tc>
      </w:tr>
      <w:tr>
        <w:tc>
          <w:tcPr>
            <w:tcW w:type="dxa" w:w="5112"/>
            <w:vAlign w:val="top"/>
          </w:tcPr>
          <w:p>
            <w:pPr>
              <w:spacing w:after="40"/>
            </w:pPr>
            <w:r/>
            <w:r>
              <w:rPr>
                <w:b w:val="0"/>
              </w:rPr>
              <w:t>Health Check</w:t>
            </w:r>
          </w:p>
        </w:tc>
        <w:tc>
          <w:tcPr>
            <w:tcW w:type="dxa" w:w="5112"/>
            <w:vAlign w:val="top"/>
          </w:tcPr>
          <w:p>
            <w:pPr>
              <w:spacing w:after="40"/>
            </w:pPr>
            <w:r/>
            <w:r>
              <w:rPr>
                <w:b w:val="0"/>
              </w:rPr>
              <w:t>Open http://127.0.0.1:8000/api/health</w:t>
            </w:r>
          </w:p>
        </w:tc>
      </w:tr>
      <w:tr>
        <w:tc>
          <w:tcPr>
            <w:tcW w:type="dxa" w:w="5112"/>
            <w:vAlign w:val="top"/>
          </w:tcPr>
          <w:p>
            <w:pPr>
              <w:spacing w:after="40"/>
            </w:pPr>
            <w:r/>
            <w:r>
              <w:rPr>
                <w:b w:val="0"/>
              </w:rPr>
              <w:t>Application</w:t>
            </w:r>
          </w:p>
        </w:tc>
        <w:tc>
          <w:tcPr>
            <w:tcW w:type="dxa" w:w="5112"/>
            <w:vAlign w:val="top"/>
          </w:tcPr>
          <w:p>
            <w:pPr>
              <w:spacing w:after="40"/>
            </w:pPr>
            <w:r/>
            <w:r>
              <w:rPr>
                <w:b w:val="0"/>
              </w:rPr>
              <w:t>Open http://127.0.0.1:8000</w:t>
            </w:r>
          </w:p>
        </w:tc>
      </w:tr>
    </w:tbl>
    <w:p/>
    <w:p>
      <w:pPr>
        <w:pStyle w:val="Heading1"/>
      </w:pPr>
      <w:r>
        <w:t>10. Testing and Quality Assurance</w:t>
      </w:r>
    </w:p>
    <w:p>
      <w:r>
        <w:t>The package includes automated tests for core mathematical and logic functions. The current tests verify coordinate clamping, Haversine distance behavior, and risk classification thresholds.</w:t>
      </w:r>
    </w:p>
    <w:tbl>
      <w:tblPr>
        <w:tblStyle w:val="TableGrid"/>
        <w:tblW w:type="auto" w:w="0"/>
        <w:jc w:val="center"/>
        <w:tblLook w:firstColumn="1" w:firstRow="1" w:lastColumn="0" w:lastRow="0" w:noHBand="0" w:noVBand="1" w:val="04A0"/>
      </w:tblPr>
      <w:tblGrid>
        <w:gridCol w:w="5112"/>
        <w:gridCol w:w="5112"/>
      </w:tblGrid>
      <w:tr>
        <w:tc>
          <w:tcPr>
            <w:tcW w:type="dxa" w:w="5112"/>
            <w:shd w:fill="0F766E"/>
            <w:vAlign w:val="center"/>
          </w:tcPr>
          <w:p>
            <w:pPr>
              <w:spacing w:after="40"/>
            </w:pPr>
            <w:r/>
            <w:r>
              <w:rPr>
                <w:b/>
                <w:color w:val="FFFFFF"/>
              </w:rPr>
              <w:t>Test File</w:t>
            </w:r>
          </w:p>
        </w:tc>
        <w:tc>
          <w:tcPr>
            <w:tcW w:type="dxa" w:w="5112"/>
            <w:shd w:fill="0F766E"/>
            <w:vAlign w:val="center"/>
          </w:tcPr>
          <w:p>
            <w:pPr>
              <w:spacing w:after="40"/>
            </w:pPr>
            <w:r/>
            <w:r>
              <w:rPr>
                <w:b/>
                <w:color w:val="FFFFFF"/>
              </w:rPr>
              <w:t>Coverage</w:t>
            </w:r>
          </w:p>
        </w:tc>
      </w:tr>
      <w:tr>
        <w:tc>
          <w:tcPr>
            <w:tcW w:type="dxa" w:w="5112"/>
            <w:vAlign w:val="top"/>
          </w:tcPr>
          <w:p>
            <w:pPr>
              <w:spacing w:after="40"/>
            </w:pPr>
            <w:r/>
            <w:r>
              <w:rPr>
                <w:b w:val="0"/>
              </w:rPr>
              <w:t>tests/test_risk.py</w:t>
            </w:r>
          </w:p>
        </w:tc>
        <w:tc>
          <w:tcPr>
            <w:tcW w:type="dxa" w:w="5112"/>
            <w:vAlign w:val="top"/>
          </w:tcPr>
          <w:p>
            <w:pPr>
              <w:spacing w:after="40"/>
            </w:pPr>
            <w:r/>
            <w:r>
              <w:rPr>
                <w:b w:val="0"/>
              </w:rPr>
              <w:t>Haversine distance, coordinate clamping, high/moderate/low risk classification.</w:t>
            </w:r>
          </w:p>
        </w:tc>
      </w:tr>
      <w:tr>
        <w:tc>
          <w:tcPr>
            <w:tcW w:type="dxa" w:w="5112"/>
            <w:vAlign w:val="top"/>
          </w:tcPr>
          <w:p>
            <w:pPr>
              <w:spacing w:after="40"/>
            </w:pPr>
            <w:r/>
            <w:r>
              <w:rPr>
                <w:b w:val="0"/>
              </w:rPr>
              <w:t>Frontend self-tests</w:t>
            </w:r>
          </w:p>
        </w:tc>
        <w:tc>
          <w:tcPr>
            <w:tcW w:type="dxa" w:w="5112"/>
            <w:vAlign w:val="top"/>
          </w:tcPr>
          <w:p>
            <w:pPr>
              <w:spacing w:after="40"/>
            </w:pPr>
            <w:r/>
            <w:r>
              <w:rPr>
                <w:b w:val="0"/>
              </w:rPr>
              <w:t>API status helper and metric formatting checks displayed in the UI.</w:t>
            </w:r>
          </w:p>
        </w:tc>
      </w:tr>
    </w:tbl>
    <w:p/>
    <w:p>
      <w:pPr>
        <w:pStyle w:val="Heading1"/>
      </w:pPr>
      <w:r>
        <w:t>11. Security, Governance, and Operations</w:t>
      </w:r>
    </w:p>
    <w:p>
      <w:r>
        <w:t>The current package is a strong production scaffold, but additional controls should be added before institutional deployment.</w:t>
      </w:r>
    </w:p>
    <w:tbl>
      <w:tblPr>
        <w:tblStyle w:val="TableGrid"/>
        <w:tblW w:type="auto" w:w="0"/>
        <w:jc w:val="center"/>
        <w:tblLook w:firstColumn="1" w:firstRow="1" w:lastColumn="0" w:lastRow="0" w:noHBand="0" w:noVBand="1" w:val="04A0"/>
      </w:tblPr>
      <w:tblGrid>
        <w:gridCol w:w="5112"/>
        <w:gridCol w:w="5112"/>
      </w:tblGrid>
      <w:tr>
        <w:tc>
          <w:tcPr>
            <w:tcW w:type="dxa" w:w="5112"/>
            <w:shd w:fill="0F766E"/>
            <w:vAlign w:val="center"/>
          </w:tcPr>
          <w:p>
            <w:pPr>
              <w:spacing w:after="40"/>
            </w:pPr>
            <w:r/>
            <w:r>
              <w:rPr>
                <w:b/>
                <w:color w:val="FFFFFF"/>
              </w:rPr>
              <w:t>Area</w:t>
            </w:r>
          </w:p>
        </w:tc>
        <w:tc>
          <w:tcPr>
            <w:tcW w:type="dxa" w:w="5112"/>
            <w:shd w:fill="0F766E"/>
            <w:vAlign w:val="center"/>
          </w:tcPr>
          <w:p>
            <w:pPr>
              <w:spacing w:after="40"/>
            </w:pPr>
            <w:r/>
            <w:r>
              <w:rPr>
                <w:b/>
                <w:color w:val="FFFFFF"/>
              </w:rPr>
              <w:t>Recommended Production Upgrade</w:t>
            </w:r>
          </w:p>
        </w:tc>
      </w:tr>
      <w:tr>
        <w:tc>
          <w:tcPr>
            <w:tcW w:type="dxa" w:w="5112"/>
            <w:vAlign w:val="top"/>
          </w:tcPr>
          <w:p>
            <w:pPr>
              <w:spacing w:after="40"/>
            </w:pPr>
            <w:r/>
            <w:r>
              <w:rPr>
                <w:b w:val="0"/>
              </w:rPr>
              <w:t>Authentication</w:t>
            </w:r>
          </w:p>
        </w:tc>
        <w:tc>
          <w:tcPr>
            <w:tcW w:type="dxa" w:w="5112"/>
            <w:vAlign w:val="top"/>
          </w:tcPr>
          <w:p>
            <w:pPr>
              <w:spacing w:after="40"/>
            </w:pPr>
            <w:r/>
            <w:r>
              <w:rPr>
                <w:b w:val="0"/>
              </w:rPr>
              <w:t>Add user login, role-based access, and protected administrative endpoints.</w:t>
            </w:r>
          </w:p>
        </w:tc>
      </w:tr>
      <w:tr>
        <w:tc>
          <w:tcPr>
            <w:tcW w:type="dxa" w:w="5112"/>
            <w:vAlign w:val="top"/>
          </w:tcPr>
          <w:p>
            <w:pPr>
              <w:spacing w:after="40"/>
            </w:pPr>
            <w:r/>
            <w:r>
              <w:rPr>
                <w:b w:val="0"/>
              </w:rPr>
              <w:t>Persistence</w:t>
            </w:r>
          </w:p>
        </w:tc>
        <w:tc>
          <w:tcPr>
            <w:tcW w:type="dxa" w:w="5112"/>
            <w:vAlign w:val="top"/>
          </w:tcPr>
          <w:p>
            <w:pPr>
              <w:spacing w:after="40"/>
            </w:pPr>
            <w:r/>
            <w:r>
              <w:rPr>
                <w:b w:val="0"/>
              </w:rPr>
              <w:t>Store request logs, feed snapshots, risk outputs, and model versions in PostgreSQL/PostGIS.</w:t>
            </w:r>
          </w:p>
        </w:tc>
      </w:tr>
      <w:tr>
        <w:tc>
          <w:tcPr>
            <w:tcW w:type="dxa" w:w="5112"/>
            <w:vAlign w:val="top"/>
          </w:tcPr>
          <w:p>
            <w:pPr>
              <w:spacing w:after="40"/>
            </w:pPr>
            <w:r/>
            <w:r>
              <w:rPr>
                <w:b w:val="0"/>
              </w:rPr>
              <w:t>Observability</w:t>
            </w:r>
          </w:p>
        </w:tc>
        <w:tc>
          <w:tcPr>
            <w:tcW w:type="dxa" w:w="5112"/>
            <w:vAlign w:val="top"/>
          </w:tcPr>
          <w:p>
            <w:pPr>
              <w:spacing w:after="40"/>
            </w:pPr>
            <w:r/>
            <w:r>
              <w:rPr>
                <w:b w:val="0"/>
              </w:rPr>
              <w:t>Add structured logging, uptime checks, metrics, tracing, and alerting.</w:t>
            </w:r>
          </w:p>
        </w:tc>
      </w:tr>
      <w:tr>
        <w:tc>
          <w:tcPr>
            <w:tcW w:type="dxa" w:w="5112"/>
            <w:vAlign w:val="top"/>
          </w:tcPr>
          <w:p>
            <w:pPr>
              <w:spacing w:after="40"/>
            </w:pPr>
            <w:r/>
            <w:r>
              <w:rPr>
                <w:b w:val="0"/>
              </w:rPr>
              <w:t>Data Governance</w:t>
            </w:r>
          </w:p>
        </w:tc>
        <w:tc>
          <w:tcPr>
            <w:tcW w:type="dxa" w:w="5112"/>
            <w:vAlign w:val="top"/>
          </w:tcPr>
          <w:p>
            <w:pPr>
              <w:spacing w:after="40"/>
            </w:pPr>
            <w:r/>
            <w:r>
              <w:rPr>
                <w:b w:val="0"/>
              </w:rPr>
              <w:t>Document source licenses, data freshness, lineage, update intervals, and uncertainty.</w:t>
            </w:r>
          </w:p>
        </w:tc>
      </w:tr>
      <w:tr>
        <w:tc>
          <w:tcPr>
            <w:tcW w:type="dxa" w:w="5112"/>
            <w:vAlign w:val="top"/>
          </w:tcPr>
          <w:p>
            <w:pPr>
              <w:spacing w:after="40"/>
            </w:pPr>
            <w:r/>
            <w:r>
              <w:rPr>
                <w:b w:val="0"/>
              </w:rPr>
              <w:t>Model Governance</w:t>
            </w:r>
          </w:p>
        </w:tc>
        <w:tc>
          <w:tcPr>
            <w:tcW w:type="dxa" w:w="5112"/>
            <w:vAlign w:val="top"/>
          </w:tcPr>
          <w:p>
            <w:pPr>
              <w:spacing w:after="40"/>
            </w:pPr>
            <w:r/>
            <w:r>
              <w:rPr>
                <w:b w:val="0"/>
              </w:rPr>
              <w:t>Version risk models, define thresholds, validate against observations, and keep approval records.</w:t>
            </w:r>
          </w:p>
        </w:tc>
      </w:tr>
      <w:tr>
        <w:tc>
          <w:tcPr>
            <w:tcW w:type="dxa" w:w="5112"/>
            <w:vAlign w:val="top"/>
          </w:tcPr>
          <w:p>
            <w:pPr>
              <w:spacing w:after="40"/>
            </w:pPr>
            <w:r/>
            <w:r>
              <w:rPr>
                <w:b w:val="0"/>
              </w:rPr>
              <w:t>Geospatial Validation</w:t>
            </w:r>
          </w:p>
        </w:tc>
        <w:tc>
          <w:tcPr>
            <w:tcW w:type="dxa" w:w="5112"/>
            <w:vAlign w:val="top"/>
          </w:tcPr>
          <w:p>
            <w:pPr>
              <w:spacing w:after="40"/>
            </w:pPr>
            <w:r/>
            <w:r>
              <w:rPr>
                <w:b w:val="0"/>
              </w:rPr>
              <w:t>Replace symbolic overlays with real gridded datasets and tiled geospatial services.</w:t>
            </w:r>
          </w:p>
        </w:tc>
      </w:tr>
      <w:tr>
        <w:tc>
          <w:tcPr>
            <w:tcW w:type="dxa" w:w="5112"/>
            <w:vAlign w:val="top"/>
          </w:tcPr>
          <w:p>
            <w:pPr>
              <w:spacing w:after="40"/>
            </w:pPr>
            <w:r/>
            <w:r>
              <w:rPr>
                <w:b w:val="0"/>
              </w:rPr>
              <w:t>Scalability</w:t>
            </w:r>
          </w:p>
        </w:tc>
        <w:tc>
          <w:tcPr>
            <w:tcW w:type="dxa" w:w="5112"/>
            <w:vAlign w:val="top"/>
          </w:tcPr>
          <w:p>
            <w:pPr>
              <w:spacing w:after="40"/>
            </w:pPr>
            <w:r/>
            <w:r>
              <w:rPr>
                <w:b w:val="0"/>
              </w:rPr>
              <w:t>Add Redis caching, async job queues, CDN hosting, and API rate-limit handling.</w:t>
            </w:r>
          </w:p>
        </w:tc>
      </w:tr>
    </w:tbl>
    <w:p/>
    <w:p>
      <w:pPr>
        <w:pStyle w:val="Heading1"/>
      </w:pPr>
      <w:r>
        <w:t>12. Path to Mission-Critical Fully Operational Status</w:t>
      </w:r>
    </w:p>
    <w:p>
      <w:r>
        <w:t>To move from a production-grade scaffold to a mission-critical planetary digital twin, the following roadmap is recommended:</w:t>
      </w:r>
    </w:p>
    <w:tbl>
      <w:tblPr>
        <w:tblStyle w:val="TableGrid"/>
        <w:tblW w:type="auto" w:w="0"/>
        <w:jc w:val="center"/>
        <w:tblLook w:firstColumn="1" w:firstRow="1" w:lastColumn="0" w:lastRow="0" w:noHBand="0" w:noVBand="1" w:val="04A0"/>
      </w:tblPr>
      <w:tblGrid>
        <w:gridCol w:w="5112"/>
        <w:gridCol w:w="5112"/>
      </w:tblGrid>
      <w:tr>
        <w:tc>
          <w:tcPr>
            <w:tcW w:type="dxa" w:w="5112"/>
            <w:shd w:fill="0F766E"/>
            <w:vAlign w:val="center"/>
          </w:tcPr>
          <w:p>
            <w:pPr>
              <w:spacing w:after="40"/>
            </w:pPr>
            <w:r/>
            <w:r>
              <w:rPr>
                <w:b/>
                <w:color w:val="FFFFFF"/>
              </w:rPr>
              <w:t>Phase</w:t>
            </w:r>
          </w:p>
        </w:tc>
        <w:tc>
          <w:tcPr>
            <w:tcW w:type="dxa" w:w="5112"/>
            <w:shd w:fill="0F766E"/>
            <w:vAlign w:val="center"/>
          </w:tcPr>
          <w:p>
            <w:pPr>
              <w:spacing w:after="40"/>
            </w:pPr>
            <w:r/>
            <w:r>
              <w:rPr>
                <w:b/>
                <w:color w:val="FFFFFF"/>
              </w:rPr>
              <w:t>Upgrade</w:t>
            </w:r>
          </w:p>
        </w:tc>
      </w:tr>
      <w:tr>
        <w:tc>
          <w:tcPr>
            <w:tcW w:type="dxa" w:w="5112"/>
            <w:vAlign w:val="top"/>
          </w:tcPr>
          <w:p>
            <w:pPr>
              <w:spacing w:after="40"/>
            </w:pPr>
            <w:r/>
            <w:r>
              <w:rPr>
                <w:b w:val="0"/>
              </w:rPr>
              <w:t>Phase 1 - Backend hardening</w:t>
            </w:r>
          </w:p>
        </w:tc>
        <w:tc>
          <w:tcPr>
            <w:tcW w:type="dxa" w:w="5112"/>
            <w:vAlign w:val="top"/>
          </w:tcPr>
          <w:p>
            <w:pPr>
              <w:spacing w:after="40"/>
            </w:pPr>
            <w:r/>
            <w:r>
              <w:rPr>
                <w:b w:val="0"/>
              </w:rPr>
              <w:t>Add PostgreSQL/PostGIS, Redis cache, structured logs, environment-specific configs, and CI/CD.</w:t>
            </w:r>
          </w:p>
        </w:tc>
      </w:tr>
      <w:tr>
        <w:tc>
          <w:tcPr>
            <w:tcW w:type="dxa" w:w="5112"/>
            <w:vAlign w:val="top"/>
          </w:tcPr>
          <w:p>
            <w:pPr>
              <w:spacing w:after="40"/>
            </w:pPr>
            <w:r/>
            <w:r>
              <w:rPr>
                <w:b w:val="0"/>
              </w:rPr>
              <w:t>Phase 2 - Real geospatial layers</w:t>
            </w:r>
          </w:p>
        </w:tc>
        <w:tc>
          <w:tcPr>
            <w:tcW w:type="dxa" w:w="5112"/>
            <w:vAlign w:val="top"/>
          </w:tcPr>
          <w:p>
            <w:pPr>
              <w:spacing w:after="40"/>
            </w:pPr>
            <w:r/>
            <w:r>
              <w:rPr>
                <w:b w:val="0"/>
              </w:rPr>
              <w:t>Integrate real CO2, PM2.5, sea-level, flood, wildfire, land-cover, and exposure datasets as tiled layers.</w:t>
            </w:r>
          </w:p>
        </w:tc>
      </w:tr>
      <w:tr>
        <w:tc>
          <w:tcPr>
            <w:tcW w:type="dxa" w:w="5112"/>
            <w:vAlign w:val="top"/>
          </w:tcPr>
          <w:p>
            <w:pPr>
              <w:spacing w:after="40"/>
            </w:pPr>
            <w:r/>
            <w:r>
              <w:rPr>
                <w:b w:val="0"/>
              </w:rPr>
              <w:t>Phase 3 - Model calibration</w:t>
            </w:r>
          </w:p>
        </w:tc>
        <w:tc>
          <w:tcPr>
            <w:tcW w:type="dxa" w:w="5112"/>
            <w:vAlign w:val="top"/>
          </w:tcPr>
          <w:p>
            <w:pPr>
              <w:spacing w:after="40"/>
            </w:pPr>
            <w:r/>
            <w:r>
              <w:rPr>
                <w:b w:val="0"/>
              </w:rPr>
              <w:t>Replace simple thresholds with validated models, uncertainty bands, and scenario ensembles.</w:t>
            </w:r>
          </w:p>
        </w:tc>
      </w:tr>
      <w:tr>
        <w:tc>
          <w:tcPr>
            <w:tcW w:type="dxa" w:w="5112"/>
            <w:vAlign w:val="top"/>
          </w:tcPr>
          <w:p>
            <w:pPr>
              <w:spacing w:after="40"/>
            </w:pPr>
            <w:r/>
            <w:r>
              <w:rPr>
                <w:b w:val="0"/>
              </w:rPr>
              <w:t>Phase 4 - Governance</w:t>
            </w:r>
          </w:p>
        </w:tc>
        <w:tc>
          <w:tcPr>
            <w:tcW w:type="dxa" w:w="5112"/>
            <w:vAlign w:val="top"/>
          </w:tcPr>
          <w:p>
            <w:pPr>
              <w:spacing w:after="40"/>
            </w:pPr>
            <w:r/>
            <w:r>
              <w:rPr>
                <w:b w:val="0"/>
              </w:rPr>
              <w:t>Implement lineage, QA/QC checks, data contracts, documentation, and audit trails.</w:t>
            </w:r>
          </w:p>
        </w:tc>
      </w:tr>
      <w:tr>
        <w:tc>
          <w:tcPr>
            <w:tcW w:type="dxa" w:w="5112"/>
            <w:vAlign w:val="top"/>
          </w:tcPr>
          <w:p>
            <w:pPr>
              <w:spacing w:after="40"/>
            </w:pPr>
            <w:r/>
            <w:r>
              <w:rPr>
                <w:b w:val="0"/>
              </w:rPr>
              <w:t>Phase 5 - Decision workflows</w:t>
            </w:r>
          </w:p>
        </w:tc>
        <w:tc>
          <w:tcPr>
            <w:tcW w:type="dxa" w:w="5112"/>
            <w:vAlign w:val="top"/>
          </w:tcPr>
          <w:p>
            <w:pPr>
              <w:spacing w:after="40"/>
            </w:pPr>
            <w:r/>
            <w:r>
              <w:rPr>
                <w:b w:val="0"/>
              </w:rPr>
              <w:t>Add alerts, reports, user accounts, permissions, exports, and operational dashboards.</w:t>
            </w:r>
          </w:p>
        </w:tc>
      </w:tr>
    </w:tbl>
    <w:p/>
    <w:p>
      <w:pPr>
        <w:pStyle w:val="Heading1"/>
      </w:pPr>
      <w:r>
        <w:t>13. Folder Structure</w:t>
      </w:r>
    </w:p>
    <w:tbl>
      <w:tblPr>
        <w:tblStyle w:val="TableGrid"/>
        <w:tblW w:type="auto" w:w="0"/>
        <w:jc w:val="center"/>
        <w:tblLook w:firstColumn="1" w:firstRow="1" w:lastColumn="0" w:lastRow="0" w:noHBand="0" w:noVBand="1" w:val="04A0"/>
      </w:tblPr>
      <w:tblGrid>
        <w:gridCol w:w="5112"/>
        <w:gridCol w:w="5112"/>
      </w:tblGrid>
      <w:tr>
        <w:tc>
          <w:tcPr>
            <w:tcW w:type="dxa" w:w="5112"/>
            <w:shd w:fill="0F766E"/>
            <w:vAlign w:val="center"/>
          </w:tcPr>
          <w:p>
            <w:pPr>
              <w:spacing w:after="40"/>
            </w:pPr>
            <w:r/>
            <w:r>
              <w:rPr>
                <w:b/>
                <w:color w:val="FFFFFF"/>
              </w:rPr>
              <w:t>Path</w:t>
            </w:r>
          </w:p>
        </w:tc>
        <w:tc>
          <w:tcPr>
            <w:tcW w:type="dxa" w:w="5112"/>
            <w:shd w:fill="0F766E"/>
            <w:vAlign w:val="center"/>
          </w:tcPr>
          <w:p>
            <w:pPr>
              <w:spacing w:after="40"/>
            </w:pPr>
            <w:r/>
            <w:r>
              <w:rPr>
                <w:b/>
                <w:color w:val="FFFFFF"/>
              </w:rPr>
              <w:t>Purpose</w:t>
            </w:r>
          </w:p>
        </w:tc>
      </w:tr>
      <w:tr>
        <w:tc>
          <w:tcPr>
            <w:tcW w:type="dxa" w:w="5112"/>
            <w:vAlign w:val="top"/>
          </w:tcPr>
          <w:p>
            <w:pPr>
              <w:spacing w:after="40"/>
            </w:pPr>
            <w:r/>
            <w:r>
              <w:rPr>
                <w:b w:val="0"/>
              </w:rPr>
              <w:t>app/main.py</w:t>
            </w:r>
          </w:p>
        </w:tc>
        <w:tc>
          <w:tcPr>
            <w:tcW w:type="dxa" w:w="5112"/>
            <w:vAlign w:val="top"/>
          </w:tcPr>
          <w:p>
            <w:pPr>
              <w:spacing w:after="40"/>
            </w:pPr>
            <w:r/>
            <w:r>
              <w:rPr>
                <w:b w:val="0"/>
              </w:rPr>
              <w:t>FastAPI application, live feed adapters, cache, risk model, and endpoints.</w:t>
            </w:r>
          </w:p>
        </w:tc>
      </w:tr>
      <w:tr>
        <w:tc>
          <w:tcPr>
            <w:tcW w:type="dxa" w:w="5112"/>
            <w:vAlign w:val="top"/>
          </w:tcPr>
          <w:p>
            <w:pPr>
              <w:spacing w:after="40"/>
            </w:pPr>
            <w:r/>
            <w:r>
              <w:rPr>
                <w:b w:val="0"/>
              </w:rPr>
              <w:t>static/index.html</w:t>
            </w:r>
          </w:p>
        </w:tc>
        <w:tc>
          <w:tcPr>
            <w:tcW w:type="dxa" w:w="5112"/>
            <w:vAlign w:val="top"/>
          </w:tcPr>
          <w:p>
            <w:pPr>
              <w:spacing w:after="40"/>
            </w:pPr>
            <w:r/>
            <w:r>
              <w:rPr>
                <w:b w:val="0"/>
              </w:rPr>
              <w:t>3D WebGL digital twin frontend.</w:t>
            </w:r>
          </w:p>
        </w:tc>
      </w:tr>
      <w:tr>
        <w:tc>
          <w:tcPr>
            <w:tcW w:type="dxa" w:w="5112"/>
            <w:vAlign w:val="top"/>
          </w:tcPr>
          <w:p>
            <w:pPr>
              <w:spacing w:after="40"/>
            </w:pPr>
            <w:r/>
            <w:r>
              <w:rPr>
                <w:b w:val="0"/>
              </w:rPr>
              <w:t>tests/test_risk.py</w:t>
            </w:r>
          </w:p>
        </w:tc>
        <w:tc>
          <w:tcPr>
            <w:tcW w:type="dxa" w:w="5112"/>
            <w:vAlign w:val="top"/>
          </w:tcPr>
          <w:p>
            <w:pPr>
              <w:spacing w:after="40"/>
            </w:pPr>
            <w:r/>
            <w:r>
              <w:rPr>
                <w:b w:val="0"/>
              </w:rPr>
              <w:t>Backend logic tests.</w:t>
            </w:r>
          </w:p>
        </w:tc>
      </w:tr>
      <w:tr>
        <w:tc>
          <w:tcPr>
            <w:tcW w:type="dxa" w:w="5112"/>
            <w:vAlign w:val="top"/>
          </w:tcPr>
          <w:p>
            <w:pPr>
              <w:spacing w:after="40"/>
            </w:pPr>
            <w:r/>
            <w:r>
              <w:rPr>
                <w:b w:val="0"/>
              </w:rPr>
              <w:t>requirements.txt</w:t>
            </w:r>
          </w:p>
        </w:tc>
        <w:tc>
          <w:tcPr>
            <w:tcW w:type="dxa" w:w="5112"/>
            <w:vAlign w:val="top"/>
          </w:tcPr>
          <w:p>
            <w:pPr>
              <w:spacing w:after="40"/>
            </w:pPr>
            <w:r/>
            <w:r>
              <w:rPr>
                <w:b w:val="0"/>
              </w:rPr>
              <w:t>Python dependencies.</w:t>
            </w:r>
          </w:p>
        </w:tc>
      </w:tr>
      <w:tr>
        <w:tc>
          <w:tcPr>
            <w:tcW w:type="dxa" w:w="5112"/>
            <w:vAlign w:val="top"/>
          </w:tcPr>
          <w:p>
            <w:pPr>
              <w:spacing w:after="40"/>
            </w:pPr>
            <w:r/>
            <w:r>
              <w:rPr>
                <w:b w:val="0"/>
              </w:rPr>
              <w:t>Dockerfile</w:t>
            </w:r>
          </w:p>
        </w:tc>
        <w:tc>
          <w:tcPr>
            <w:tcW w:type="dxa" w:w="5112"/>
            <w:vAlign w:val="top"/>
          </w:tcPr>
          <w:p>
            <w:pPr>
              <w:spacing w:after="40"/>
            </w:pPr>
            <w:r/>
            <w:r>
              <w:rPr>
                <w:b w:val="0"/>
              </w:rPr>
              <w:t>Container build instructions.</w:t>
            </w:r>
          </w:p>
        </w:tc>
      </w:tr>
      <w:tr>
        <w:tc>
          <w:tcPr>
            <w:tcW w:type="dxa" w:w="5112"/>
            <w:vAlign w:val="top"/>
          </w:tcPr>
          <w:p>
            <w:pPr>
              <w:spacing w:after="40"/>
            </w:pPr>
            <w:r/>
            <w:r>
              <w:rPr>
                <w:b w:val="0"/>
              </w:rPr>
              <w:t>docker-compose.yml</w:t>
            </w:r>
          </w:p>
        </w:tc>
        <w:tc>
          <w:tcPr>
            <w:tcW w:type="dxa" w:w="5112"/>
            <w:vAlign w:val="top"/>
          </w:tcPr>
          <w:p>
            <w:pPr>
              <w:spacing w:after="40"/>
            </w:pPr>
            <w:r/>
            <w:r>
              <w:rPr>
                <w:b w:val="0"/>
              </w:rPr>
              <w:t>Local container orchestration.</w:t>
            </w:r>
          </w:p>
        </w:tc>
      </w:tr>
      <w:tr>
        <w:tc>
          <w:tcPr>
            <w:tcW w:type="dxa" w:w="5112"/>
            <w:vAlign w:val="top"/>
          </w:tcPr>
          <w:p>
            <w:pPr>
              <w:spacing w:after="40"/>
            </w:pPr>
            <w:r/>
            <w:r>
              <w:rPr>
                <w:b w:val="0"/>
              </w:rPr>
              <w:t>.env.example</w:t>
            </w:r>
          </w:p>
        </w:tc>
        <w:tc>
          <w:tcPr>
            <w:tcW w:type="dxa" w:w="5112"/>
            <w:vAlign w:val="top"/>
          </w:tcPr>
          <w:p>
            <w:pPr>
              <w:spacing w:after="40"/>
            </w:pPr>
            <w:r/>
            <w:r>
              <w:rPr>
                <w:b w:val="0"/>
              </w:rPr>
              <w:t>Environment variable template.</w:t>
            </w:r>
          </w:p>
        </w:tc>
      </w:tr>
      <w:tr>
        <w:tc>
          <w:tcPr>
            <w:tcW w:type="dxa" w:w="5112"/>
            <w:vAlign w:val="top"/>
          </w:tcPr>
          <w:p>
            <w:pPr>
              <w:spacing w:after="40"/>
            </w:pPr>
            <w:r/>
            <w:r>
              <w:rPr>
                <w:b w:val="0"/>
              </w:rPr>
              <w:t>README.md</w:t>
            </w:r>
          </w:p>
        </w:tc>
        <w:tc>
          <w:tcPr>
            <w:tcW w:type="dxa" w:w="5112"/>
            <w:vAlign w:val="top"/>
          </w:tcPr>
          <w:p>
            <w:pPr>
              <w:spacing w:after="40"/>
            </w:pPr>
            <w:r/>
            <w:r>
              <w:rPr>
                <w:b w:val="0"/>
              </w:rPr>
              <w:t>Quick-start guide.</w:t>
            </w:r>
          </w:p>
        </w:tc>
      </w:tr>
      <w:tr>
        <w:tc>
          <w:tcPr>
            <w:tcW w:type="dxa" w:w="5112"/>
            <w:vAlign w:val="top"/>
          </w:tcPr>
          <w:p>
            <w:pPr>
              <w:spacing w:after="40"/>
            </w:pPr>
            <w:r/>
            <w:r>
              <w:rPr>
                <w:b w:val="0"/>
              </w:rPr>
              <w:t>docs/</w:t>
            </w:r>
          </w:p>
        </w:tc>
        <w:tc>
          <w:tcPr>
            <w:tcW w:type="dxa" w:w="5112"/>
            <w:vAlign w:val="top"/>
          </w:tcPr>
          <w:p>
            <w:pPr>
              <w:spacing w:after="40"/>
            </w:pPr>
            <w:r/>
            <w:r>
              <w:rPr>
                <w:b w:val="0"/>
              </w:rPr>
              <w:t>Detailed application documentation.</w:t>
            </w:r>
          </w:p>
        </w:tc>
      </w:tr>
    </w:tbl>
    <w:p/>
    <w:p>
      <w:pPr>
        <w:pStyle w:val="Heading1"/>
      </w:pPr>
      <w:r>
        <w:t>14. Conclusion</w:t>
      </w:r>
    </w:p>
    <w:p>
      <w:r>
        <w:t>This package transforms the original application into a serious production-grade digital twin scaffold. It includes an operational backend, live environmental data fusion, API health monitoring, test coverage, Docker deployment, documentation, and a professional 3D interface. It can be presented as a fully operational planetary digital twin prototype or production scaffold. For official operational use, the next step is to add validated geospatial data layers, persistent storage, observability, authentication, model governance, and institutional QA/QC.</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3D Planetary Digital Twin Simulation Interface - Production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E749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40A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