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52639"/>
          <w:sz w:val="48"/>
          <w:szCs w:val="48"/>
        </w:rPr>
        <w:t xml:space="preserve">FEC NORMALIZER</w:t>
      </w:r>
    </w:p>
    <w:p>
      <w:pPr>
        <w:spacing w:after="100"/>
      </w:pPr>
      <w:r>
        <w:rPr>
          <w:rFonts w:ascii="Arial" w:cs="Arial" w:eastAsia="Arial" w:hAnsi="Arial"/>
          <w:color w:val="5EB2A1"/>
          <w:sz w:val="26"/>
          <w:szCs w:val="26"/>
        </w:rPr>
        <w:t xml:space="preserve">Manuel utilisateur — Auditoria</w:t>
      </w:r>
    </w:p>
    <w:p>
      <w:pPr>
        <w:pBdr>
          <w:bottom w:val="single" w:color="5EB2A1" w:sz="6" w:space="4"/>
        </w:pBdr>
        <w:spacing w:after="400"/>
      </w:pPr>
      <w:r>
        <w:rPr>
          <w:rFonts w:ascii="Arial" w:cs="Arial" w:eastAsia="Arial" w:hAnsi="Arial"/>
          <w:i/>
          <w:iCs/>
          <w:color w:val="A9BDCB"/>
          <w:sz w:val="18"/>
          <w:szCs w:val="18"/>
        </w:rPr>
        <w:t xml:space="preserve">Version 1.4 — Mai 2026</w:t>
      </w:r>
    </w:p>
    <w:p>
      <w:pPr>
        <w:spacing w:after="80" w:before="80" w:line="320"/>
      </w:pPr>
      <w:r>
        <w:rPr>
          <w:rFonts w:ascii="Arial" w:cs="Arial" w:eastAsia="Arial" w:hAnsi="Arial"/>
        </w:rPr>
        <w:t xml:space="preserve">FEC Normalizer est un outil web Auditoria qui automatise le retraitement préalable des Fichiers d'Écritures Comptables avant analyse d'audit. Il prend en charge le cumul multi-sociétés et multi-exercices, et restitue un Excel enrichi prêt à exploiter en TCD, accompagné d'un diagnostic conforme aux exigences CNCC.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B2A1" w:sz="24"/>
              <w:bottom w:val="none" w:color="FFFFFF" w:sz="0"/>
              <w:right w:val="none" w:color="FFFFFF" w:sz="0"/>
            </w:tcBorders>
            <w:shd w:fill="E8F5F2" w:val="clear"/>
            <w:tcMar>
              <w:top w:type="dxa" w:w="160"/>
              <w:left w:type="dxa" w:w="200"/>
              <w:bottom w:type="dxa" w:w="160"/>
              <w:right w:type="dxa" w:w="200"/>
            </w:tcMar>
          </w:tcPr>
          <w:p>
            <w:pPr>
              <w:spacing w:after="80"/>
            </w:pPr>
            <w:r>
              <w:rPr>
                <w:rFonts w:ascii="Arial" w:cs="Arial" w:eastAsia="Arial" w:hAnsi="Arial"/>
                <w:b/>
                <w:bCs/>
                <w:color w:val="152639"/>
                <w:sz w:val="22"/>
                <w:szCs w:val="22"/>
              </w:rPr>
              <w:t xml:space="preserve">À retenir</w:t>
            </w:r>
          </w:p>
          <w:p>
            <w:pPr>
              <w:spacing w:line="280"/>
            </w:pPr>
            <w:r>
              <w:rPr>
                <w:rFonts w:ascii="Arial" w:cs="Arial" w:eastAsia="Arial" w:hAnsi="Arial"/>
              </w:rPr>
              <w:t xml:space="preserve">• Accès libre sans authentification (réseau Extencia)</w:t>
            </w:r>
          </w:p>
          <w:p>
            <w:pPr>
              <w:spacing w:line="280"/>
            </w:pPr>
            <w:r>
              <w:rPr>
                <w:rFonts w:ascii="Arial" w:cs="Arial" w:eastAsia="Arial" w:hAnsi="Arial"/>
              </w:rPr>
              <w:t xml:space="preserve">• Aucun FEC n'est conservé sur le serveur (rétention nulle)</w:t>
            </w:r>
          </w:p>
          <w:p>
            <w:pPr>
              <w:spacing w:line="280"/>
            </w:pPr>
            <w:r>
              <w:rPr>
                <w:rFonts w:ascii="Arial" w:cs="Arial" w:eastAsia="Arial" w:hAnsi="Arial"/>
              </w:rPr>
              <w:t xml:space="preserve">• Pas de logs identifiants — confidentialité maximale</w:t>
            </w:r>
          </w:p>
          <w:p>
            <w:pPr>
              <w:spacing w:line="280"/>
            </w:pPr>
            <w:r>
              <w:rPr>
                <w:rFonts w:ascii="Arial" w:cs="Arial" w:eastAsia="Arial" w:hAnsi="Arial"/>
              </w:rPr>
              <w:t xml:space="preserve">• Outil interne Auditoria / Extencia, à usage des collaborateurs uniquement</w:t>
            </w:r>
          </w:p>
        </w:tc>
      </w:tr>
    </w:tbl>
    <w:p>
      <w:pPr>
        <w:spacing w:after="120" w:before="0"/>
      </w:pPr>
      <w:r>
        <w:rPr>
          <w:rFonts w:ascii="Arial" w:cs="Arial" w:eastAsia="Arial" w:hAnsi="Arial"/>
        </w:rPr>
        <w:t xml:space="preserve"/>
      </w:r>
    </w:p>
    <w:p>
      <w:pPr>
        <w:pStyle w:val="Heading1"/>
        <w:spacing w:after="200" w:before="360"/>
      </w:pPr>
      <w:r>
        <w:rPr>
          <w:rFonts w:ascii="Arial" w:cs="Arial" w:eastAsia="Arial" w:hAnsi="Arial"/>
          <w:b/>
          <w:bCs/>
          <w:color w:val="152639"/>
          <w:sz w:val="36"/>
          <w:szCs w:val="36"/>
        </w:rPr>
        <w:t xml:space="preserve">1. Accéder à l'outil</w:t>
      </w:r>
    </w:p>
    <w:p>
      <w:pPr>
        <w:spacing w:after="80" w:before="80" w:line="320"/>
      </w:pPr>
      <w:r>
        <w:rPr>
          <w:rFonts w:ascii="Arial" w:cs="Arial" w:eastAsia="Arial" w:hAnsi="Arial"/>
        </w:rPr>
        <w:t xml:space="preserve">Ouvrez votre navigateur (Edge, Chrome ou Firefox) et rendez-vous à l'adresse : </w:t>
      </w:r>
      <w:r>
        <w:rPr>
          <w:rFonts w:ascii="Arial" w:cs="Arial" w:eastAsia="Arial" w:hAnsi="Arial"/>
          <w:b/>
          <w:bCs/>
          <w:color w:val="5EB2A1"/>
        </w:rPr>
        <w:t xml:space="preserve">https://fec.srv1269986.hstgr.cloud</w:t>
      </w:r>
    </w:p>
    <w:p>
      <w:pPr>
        <w:spacing w:after="80" w:before="80" w:line="320"/>
      </w:pPr>
      <w:r>
        <w:rPr>
          <w:rFonts w:ascii="Arial" w:cs="Arial" w:eastAsia="Arial" w:hAnsi="Arial"/>
        </w:rPr>
        <w:t xml:space="preserve">Aucune connexion n'est requise. Si la page n'apparaît pas, vérifiez que vous êtes connecté au réseau Extencia ou au VPN.</w:t>
      </w:r>
    </w:p>
    <w:p>
      <w:pPr>
        <w:pStyle w:val="Heading1"/>
        <w:spacing w:after="200" w:before="360"/>
      </w:pPr>
      <w:r>
        <w:rPr>
          <w:rFonts w:ascii="Arial" w:cs="Arial" w:eastAsia="Arial" w:hAnsi="Arial"/>
          <w:b/>
          <w:bCs/>
          <w:color w:val="152639"/>
          <w:sz w:val="36"/>
          <w:szCs w:val="36"/>
        </w:rPr>
        <w:t xml:space="preserve">2. Préparer les fichiers FEC</w:t>
      </w:r>
    </w:p>
    <w:p>
      <w:pPr>
        <w:spacing w:after="80" w:before="80" w:line="320"/>
      </w:pPr>
      <w:r>
        <w:rPr>
          <w:rFonts w:ascii="Arial" w:cs="Arial" w:eastAsia="Arial" w:hAnsi="Arial"/>
        </w:rPr>
        <w:t xml:space="preserve">Avant de déposer vos fichiers, vérifiez deux points :</w:t>
      </w:r>
    </w:p>
    <w:p>
      <w:pPr>
        <w:pStyle w:val="ListParagraph"/>
        <w:numPr>
          <w:ilvl w:val="0"/>
          <w:numId w:val="2"/>
        </w:numPr>
        <w:spacing w:after="40" w:before="40" w:line="300"/>
      </w:pPr>
      <w:r>
        <w:rPr>
          <w:rFonts w:ascii="Arial" w:cs="Arial" w:eastAsia="Arial" w:hAnsi="Arial"/>
          <w:b/>
          <w:bCs/>
        </w:rPr>
        <w:t xml:space="preserve">Format </w:t>
      </w:r>
      <w:r>
        <w:rPr>
          <w:rFonts w:ascii="Arial" w:cs="Arial" w:eastAsia="Arial" w:hAnsi="Arial"/>
        </w:rPr>
        <w:t xml:space="preserve">DGFiP standard (norme BOI-CF-IOR-60-40-20-10) : 18 colonnes obligatoires, séparateur tabulation ou pipe, encodage Latin-1 ou UTF-8.</w:t>
      </w:r>
    </w:p>
    <w:p>
      <w:pPr>
        <w:pStyle w:val="ListParagraph"/>
        <w:numPr>
          <w:ilvl w:val="0"/>
          <w:numId w:val="2"/>
        </w:numPr>
        <w:spacing w:after="40" w:before="40" w:line="300"/>
      </w:pPr>
      <w:r>
        <w:rPr>
          <w:rFonts w:ascii="Arial" w:cs="Arial" w:eastAsia="Arial" w:hAnsi="Arial"/>
          <w:b/>
          <w:bCs/>
        </w:rPr>
        <w:t xml:space="preserve">Nommage du fichier </w:t>
      </w:r>
      <w:r>
        <w:rPr>
          <w:rFonts w:ascii="Arial" w:cs="Arial" w:eastAsia="Arial" w:hAnsi="Arial"/>
        </w:rPr>
        <w:t xml:space="preserve">recommandé : </w:t>
      </w:r>
      <w:r>
        <w:rPr>
          <w:rFonts w:ascii="Courier New" w:cs="Courier New" w:eastAsia="Courier New" w:hAnsi="Courier New"/>
          <w:b/>
          <w:bCs/>
        </w:rPr>
        <w:t xml:space="preserve">&lt;SIREN&gt;&lt;nom libre&gt;FEC&lt;AAAAMMJJ&gt;.txt</w:t>
      </w:r>
      <w:r>
        <w:rPr>
          <w:rFonts w:ascii="Arial" w:cs="Arial" w:eastAsia="Arial" w:hAnsi="Arial"/>
        </w:rPr>
        <w:t xml:space="preserve">. Exemple : </w:t>
      </w:r>
      <w:r>
        <w:rPr>
          <w:rFonts w:ascii="Courier New" w:cs="Courier New" w:eastAsia="Courier New" w:hAnsi="Courier New"/>
          <w:color w:val="5EB2A1"/>
        </w:rPr>
        <w:t xml:space="preserve">572104891CARREFOURFEC20231231.txt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B2A1" w:sz="24"/>
              <w:bottom w:val="none" w:color="FFFFFF" w:sz="0"/>
              <w:right w:val="none" w:color="FFFFFF" w:sz="0"/>
            </w:tcBorders>
            <w:shd w:fill="E8F5F2" w:val="clear"/>
            <w:tcMar>
              <w:top w:type="dxa" w:w="160"/>
              <w:left w:type="dxa" w:w="200"/>
              <w:bottom w:type="dxa" w:w="160"/>
              <w:right w:type="dxa" w:w="200"/>
            </w:tcMar>
          </w:tcPr>
          <w:p>
            <w:pPr>
              <w:spacing w:after="80"/>
            </w:pPr>
            <w:r>
              <w:rPr>
                <w:rFonts w:ascii="Arial" w:cs="Arial" w:eastAsia="Arial" w:hAnsi="Arial"/>
                <w:b/>
                <w:bCs/>
                <w:color w:val="152639"/>
                <w:sz w:val="22"/>
                <w:szCs w:val="22"/>
              </w:rPr>
              <w:t xml:space="preserve">Pourquoi le nommage est important ?</w:t>
            </w:r>
          </w:p>
          <w:p>
            <w:pPr>
              <w:spacing w:line="300"/>
            </w:pPr>
            <w:r>
              <w:rPr>
                <w:rFonts w:ascii="Arial" w:cs="Arial" w:eastAsia="Arial" w:hAnsi="Arial"/>
                <w:color w:val="33302D"/>
                <w:sz w:val="20"/>
                <w:szCs w:val="20"/>
              </w:rPr>
              <w:t xml:space="preserve">Si le SIREN est en début de nom et la date de clôture en fin, l'outil pré-remplit automatiquement le nom de la société (via API publique) et l'exercice (à partir de la date). Vous gagnez 30 secondes par fichier. Si le nom ne suit pas la convention, vous saisissez à la main — l'outil fonctionne tout pareil.</w:t>
            </w:r>
          </w:p>
        </w:tc>
      </w:tr>
    </w:tbl>
    <w:p>
      <w:pPr>
        <w:spacing w:after="120" w:before="0"/>
      </w:pPr>
      <w:r>
        <w:rPr>
          <w:rFonts w:ascii="Arial" w:cs="Arial" w:eastAsia="Arial" w:hAnsi="Arial"/>
        </w:rPr>
        <w:t xml:space="preserve"/>
      </w:r>
    </w:p>
    <w:p>
      <w:pPr>
        <w:pStyle w:val="Heading1"/>
        <w:spacing w:after="200" w:before="360"/>
      </w:pPr>
      <w:r>
        <w:rPr>
          <w:rFonts w:ascii="Arial" w:cs="Arial" w:eastAsia="Arial" w:hAnsi="Arial"/>
          <w:b/>
          <w:bCs/>
          <w:color w:val="152639"/>
          <w:sz w:val="36"/>
          <w:szCs w:val="36"/>
        </w:rPr>
        <w:t xml:space="preserve">3. Étapes d'utilisation</w:t>
      </w:r>
    </w:p>
    <w:p>
      <w:pPr>
        <w:pStyle w:val="Heading2"/>
        <w:spacing w:after="140" w:before="280"/>
      </w:pPr>
      <w:r>
        <w:rPr>
          <w:rFonts w:ascii="Arial" w:cs="Arial" w:eastAsia="Arial" w:hAnsi="Arial"/>
          <w:b/>
          <w:bCs/>
          <w:color w:val="152639"/>
          <w:sz w:val="28"/>
          <w:szCs w:val="28"/>
        </w:rPr>
        <w:t xml:space="preserve">Étape 1 — Déposer le ou les FEC</w:t>
      </w:r>
    </w:p>
    <w:p>
      <w:pPr>
        <w:pStyle w:val="ListParagraph"/>
        <w:numPr>
          <w:ilvl w:val="0"/>
          <w:numId w:val="3"/>
        </w:numPr>
        <w:spacing w:after="60" w:before="60" w:line="300"/>
      </w:pPr>
      <w:r>
        <w:rPr>
          <w:rFonts w:ascii="Arial" w:cs="Arial" w:eastAsia="Arial" w:hAnsi="Arial"/>
        </w:rPr>
        <w:t xml:space="preserve">Cliquez sur la zone de dépôt ou glissez-déposez vos fichiers directement.</w:t>
      </w:r>
    </w:p>
    <w:p>
      <w:pPr>
        <w:pStyle w:val="ListParagraph"/>
        <w:numPr>
          <w:ilvl w:val="0"/>
          <w:numId w:val="3"/>
        </w:numPr>
        <w:spacing w:after="60" w:before="60" w:line="300"/>
      </w:pPr>
      <w:r>
        <w:rPr>
          <w:rFonts w:ascii="Arial" w:cs="Arial" w:eastAsia="Arial" w:hAnsi="Arial"/>
        </w:rPr>
        <w:t xml:space="preserve">Vous pouvez sélectionner un seul FEC (cas simple) ou plusieurs (cas dossier groupe ou multi-exercices).</w:t>
      </w:r>
    </w:p>
    <w:p>
      <w:pPr>
        <w:pStyle w:val="ListParagraph"/>
        <w:numPr>
          <w:ilvl w:val="0"/>
          <w:numId w:val="3"/>
        </w:numPr>
        <w:spacing w:after="60" w:before="60" w:line="300"/>
      </w:pPr>
      <w:r>
        <w:rPr>
          <w:rFonts w:ascii="Arial" w:cs="Arial" w:eastAsia="Arial" w:hAnsi="Arial"/>
        </w:rPr>
        <w:t xml:space="preserve">L'outil affiche immédiatement le nombre de fichiers chargés et leur taille totale.</w:t>
      </w:r>
    </w:p>
    <w:p>
      <w:pPr>
        <w:pStyle w:val="Heading2"/>
        <w:spacing w:after="140" w:before="280"/>
      </w:pPr>
      <w:r>
        <w:rPr>
          <w:rFonts w:ascii="Arial" w:cs="Arial" w:eastAsia="Arial" w:hAnsi="Arial"/>
          <w:b/>
          <w:bCs/>
          <w:color w:val="152639"/>
          <w:sz w:val="28"/>
          <w:szCs w:val="28"/>
        </w:rPr>
        <w:t xml:space="preserve">Étape 2 — Renseigner les options</w:t>
      </w:r>
    </w:p>
    <w:p>
      <w:pPr>
        <w:spacing w:after="80" w:before="80" w:line="320"/>
      </w:pPr>
      <w:r>
        <w:rPr>
          <w:rFonts w:ascii="Arial" w:cs="Arial" w:eastAsia="Arial" w:hAnsi="Arial"/>
        </w:rPr>
        <w:t xml:space="preserve">Saisissez vos initiales (ex. STO) — elles apparaîtront dans le rapport de diagnostic pour traçabilité audit.</w:t>
      </w:r>
    </w:p>
    <w:p>
      <w:pPr>
        <w:spacing w:after="80" w:before="80" w:line="320"/>
      </w:pPr>
      <w:r>
        <w:rPr>
          <w:rFonts w:ascii="Arial" w:cs="Arial" w:eastAsia="Arial" w:hAnsi="Arial"/>
        </w:rPr>
        <w:t xml:space="preserve">En cas de </w:t>
      </w:r>
      <w:r>
        <w:rPr>
          <w:rFonts w:ascii="Arial" w:cs="Arial" w:eastAsia="Arial" w:hAnsi="Arial"/>
          <w:b/>
          <w:bCs/>
        </w:rPr>
        <w:t xml:space="preserve">FEC unique</w:t>
      </w:r>
      <w:r>
        <w:rPr>
          <w:rFonts w:ascii="Arial" w:cs="Arial" w:eastAsia="Arial" w:hAnsi="Arial"/>
        </w:rPr>
        <w:t xml:space="preserve"> : un champ « Société » apparaît, pré-rempli automatiquement à partir du SIREN détecté dans le nom du fichier (si reconnu). Vous pouvez l'ajuster.</w:t>
      </w:r>
    </w:p>
    <w:p>
      <w:pPr>
        <w:spacing w:after="80" w:before="80" w:line="320"/>
      </w:pPr>
      <w:r>
        <w:rPr>
          <w:rFonts w:ascii="Arial" w:cs="Arial" w:eastAsia="Arial" w:hAnsi="Arial"/>
        </w:rPr>
        <w:t xml:space="preserve">En cas de </w:t>
      </w:r>
      <w:r>
        <w:rPr>
          <w:rFonts w:ascii="Arial" w:cs="Arial" w:eastAsia="Arial" w:hAnsi="Arial"/>
          <w:b/>
          <w:bCs/>
        </w:rPr>
        <w:t xml:space="preserve">FEC multiples</w:t>
      </w:r>
      <w:r>
        <w:rPr>
          <w:rFonts w:ascii="Arial" w:cs="Arial" w:eastAsia="Arial" w:hAnsi="Arial"/>
        </w:rPr>
        <w:t xml:space="preserve"> : pour chaque fichier, deux champs sont affichés :</w:t>
      </w:r>
    </w:p>
    <w:p>
      <w:pPr>
        <w:pStyle w:val="ListParagraph"/>
        <w:numPr>
          <w:ilvl w:val="0"/>
          <w:numId w:val="2"/>
        </w:numPr>
        <w:spacing w:after="40" w:before="40" w:line="300"/>
      </w:pPr>
      <w:r>
        <w:rPr>
          <w:rFonts w:ascii="Arial" w:cs="Arial" w:eastAsia="Arial" w:hAnsi="Arial"/>
          <w:b/>
          <w:bCs/>
        </w:rPr>
        <w:t xml:space="preserve">Société </w:t>
      </w:r>
      <w:r>
        <w:rPr>
          <w:rFonts w:ascii="Arial" w:cs="Arial" w:eastAsia="Arial" w:hAnsi="Arial"/>
        </w:rPr>
        <w:t xml:space="preserve">— pré-remplie depuis l'API </w:t>
      </w:r>
      <w:r>
        <w:rPr>
          <w:rFonts w:ascii="Courier New" w:cs="Courier New" w:eastAsia="Courier New" w:hAnsi="Courier New"/>
        </w:rPr>
        <w:t xml:space="preserve">recherche-entreprises.api.gouv.fr</w:t>
      </w:r>
      <w:r>
        <w:rPr>
          <w:rFonts w:ascii="Arial" w:cs="Arial" w:eastAsia="Arial" w:hAnsi="Arial"/>
        </w:rPr>
        <w:t xml:space="preserve"> via le SIREN du nom de fichier. Modifiable.</w:t>
      </w:r>
    </w:p>
    <w:p>
      <w:pPr>
        <w:pStyle w:val="ListParagraph"/>
        <w:numPr>
          <w:ilvl w:val="0"/>
          <w:numId w:val="2"/>
        </w:numPr>
        <w:spacing w:after="40" w:before="40" w:line="300"/>
      </w:pPr>
      <w:r>
        <w:rPr>
          <w:rFonts w:ascii="Arial" w:cs="Arial" w:eastAsia="Arial" w:hAnsi="Arial"/>
          <w:b/>
          <w:bCs/>
        </w:rPr>
        <w:t xml:space="preserve">Exercice </w:t>
      </w:r>
      <w:r>
        <w:rPr>
          <w:rFonts w:ascii="Arial" w:cs="Arial" w:eastAsia="Arial" w:hAnsi="Arial"/>
        </w:rPr>
        <w:t xml:space="preserve">— pré-rempli depuis la date de clôture détectée. Format : </w:t>
      </w:r>
      <w:r>
        <w:rPr>
          <w:rFonts w:ascii="Courier New" w:cs="Courier New" w:eastAsia="Courier New" w:hAnsi="Courier New"/>
        </w:rPr>
        <w:t xml:space="preserve">2025</w:t>
      </w:r>
      <w:r>
        <w:rPr>
          <w:rFonts w:ascii="Arial" w:cs="Arial" w:eastAsia="Arial" w:hAnsi="Arial"/>
        </w:rPr>
        <w:t xml:space="preserve"> pour un exercice civil clos le 31/12, </w:t>
      </w:r>
      <w:r>
        <w:rPr>
          <w:rFonts w:ascii="Courier New" w:cs="Courier New" w:eastAsia="Courier New" w:hAnsi="Courier New"/>
        </w:rPr>
        <w:t xml:space="preserve">06/2025</w:t>
      </w:r>
      <w:r>
        <w:rPr>
          <w:rFonts w:ascii="Arial" w:cs="Arial" w:eastAsia="Arial" w:hAnsi="Arial"/>
        </w:rPr>
        <w:t xml:space="preserve"> pour un exercice décalé.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5483A" w:sz="24"/>
              <w:bottom w:val="none" w:color="FFFFFF" w:sz="0"/>
              <w:right w:val="none" w:color="FFFFFF" w:sz="0"/>
            </w:tcBorders>
            <w:shd w:fill="FBEAE8" w:val="clear"/>
            <w:tcMar>
              <w:top w:type="dxa" w:w="160"/>
              <w:left w:type="dxa" w:w="200"/>
              <w:bottom w:type="dxa" w:w="160"/>
              <w:right w:type="dxa" w:w="200"/>
            </w:tcMar>
          </w:tcPr>
          <w:p>
            <w:pPr>
              <w:spacing w:after="80"/>
            </w:pPr>
            <w:r>
              <w:rPr>
                <w:rFonts w:ascii="Arial" w:cs="Arial" w:eastAsia="Arial" w:hAnsi="Arial"/>
                <w:b/>
                <w:bCs/>
                <w:color w:val="152639"/>
                <w:sz w:val="22"/>
                <w:szCs w:val="22"/>
              </w:rPr>
              <w:t xml:space="preserve">Si l'auto-détection échoue</w:t>
            </w:r>
          </w:p>
          <w:p>
            <w:pPr>
              <w:spacing w:line="300"/>
            </w:pPr>
            <w:r>
              <w:rPr>
                <w:rFonts w:ascii="Arial" w:cs="Arial" w:eastAsia="Arial" w:hAnsi="Arial"/>
                <w:color w:val="33302D"/>
                <w:sz w:val="20"/>
                <w:szCs w:val="20"/>
              </w:rPr>
              <w:t xml:space="preserve">Pas de panique : un champ vide signifie simplement que le nommage ne respecte pas la convention DGFiP. Saisissez la valeur à la main. L'outil bloque le lancement tant que les libellés ne sont pas tous renseignés, pour éviter les confusions dans les TCD ensuite.</w:t>
            </w:r>
          </w:p>
        </w:tc>
      </w:tr>
    </w:tbl>
    <w:p>
      <w:pPr>
        <w:spacing w:after="120" w:before="0"/>
      </w:pPr>
      <w:r>
        <w:rPr>
          <w:rFonts w:ascii="Arial" w:cs="Arial" w:eastAsia="Arial" w:hAnsi="Arial"/>
        </w:rPr>
        <w:t xml:space="preserve"/>
      </w:r>
    </w:p>
    <w:p>
      <w:pPr>
        <w:pStyle w:val="Heading2"/>
        <w:spacing w:after="140" w:before="280"/>
      </w:pPr>
      <w:r>
        <w:rPr>
          <w:rFonts w:ascii="Arial" w:cs="Arial" w:eastAsia="Arial" w:hAnsi="Arial"/>
          <w:b/>
          <w:bCs/>
          <w:color w:val="152639"/>
          <w:sz w:val="28"/>
          <w:szCs w:val="28"/>
        </w:rPr>
        <w:t xml:space="preserve">Étape 3 — Lancer le traitement</w:t>
      </w:r>
    </w:p>
    <w:p>
      <w:pPr>
        <w:spacing w:after="80" w:before="80" w:line="320"/>
      </w:pPr>
      <w:r>
        <w:rPr>
          <w:rFonts w:ascii="Arial" w:cs="Arial" w:eastAsia="Arial" w:hAnsi="Arial"/>
        </w:rPr>
        <w:t xml:space="preserve">Cliquez sur le bouton turquoise « Lancer le traitement ». Un bandeau de progression apparaît : ne fermez pas la page tant qu'il est visible (sur un FEC standard de 100 000 lignes, comptez moins de 10 secondes).</w:t>
      </w:r>
    </w:p>
    <w:p>
      <w:pPr>
        <w:spacing w:after="80" w:before="80" w:line="320"/>
      </w:pPr>
      <w:r>
        <w:rPr>
          <w:rFonts w:ascii="Arial" w:cs="Arial" w:eastAsia="Arial" w:hAnsi="Arial"/>
        </w:rPr>
        <w:t xml:space="preserve">Les étapes affichées sont :</w:t>
      </w:r>
    </w:p>
    <w:p>
      <w:pPr>
        <w:pStyle w:val="ListParagraph"/>
        <w:numPr>
          <w:ilvl w:val="0"/>
          <w:numId w:val="2"/>
        </w:numPr>
        <w:spacing w:after="40" w:before="40" w:line="300"/>
      </w:pPr>
      <w:r>
        <w:rPr>
          <w:rFonts w:ascii="Arial" w:cs="Arial" w:eastAsia="Arial" w:hAnsi="Arial"/>
        </w:rPr>
        <w:t xml:space="preserve">Lecture du / des FEC (détection automatique d'encodage et de séparateur)</w:t>
      </w:r>
    </w:p>
    <w:p>
      <w:pPr>
        <w:pStyle w:val="ListParagraph"/>
        <w:numPr>
          <w:ilvl w:val="0"/>
          <w:numId w:val="2"/>
        </w:numPr>
        <w:spacing w:after="40" w:before="40" w:line="300"/>
      </w:pPr>
      <w:r>
        <w:rPr>
          <w:rFonts w:ascii="Arial" w:cs="Arial" w:eastAsia="Arial" w:hAnsi="Arial"/>
        </w:rPr>
        <w:t xml:space="preserve">Enrichissement des colonnes de travail (Racine, ClasseLib, Mois, Trimestre, Solde, Sens, etc.)</w:t>
      </w:r>
    </w:p>
    <w:p>
      <w:pPr>
        <w:pStyle w:val="ListParagraph"/>
        <w:numPr>
          <w:ilvl w:val="0"/>
          <w:numId w:val="2"/>
        </w:numPr>
        <w:spacing w:after="40" w:before="40" w:line="300"/>
      </w:pPr>
      <w:r>
        <w:rPr>
          <w:rFonts w:ascii="Arial" w:cs="Arial" w:eastAsia="Arial" w:hAnsi="Arial"/>
        </w:rPr>
        <w:t xml:space="preserve">Export Excel</w:t>
      </w:r>
    </w:p>
    <w:p>
      <w:pPr>
        <w:pStyle w:val="ListParagraph"/>
        <w:numPr>
          <w:ilvl w:val="0"/>
          <w:numId w:val="2"/>
        </w:numPr>
        <w:spacing w:after="40" w:before="40" w:line="300"/>
      </w:pPr>
      <w:r>
        <w:rPr>
          <w:rFonts w:ascii="Arial" w:cs="Arial" w:eastAsia="Arial" w:hAnsi="Arial"/>
        </w:rPr>
        <w:t xml:space="preserve">Génération du rapport de diagnostic</w:t>
      </w:r>
    </w:p>
    <w:p>
      <w:pPr>
        <w:pStyle w:val="Heading2"/>
        <w:spacing w:after="140" w:before="280"/>
      </w:pPr>
      <w:r>
        <w:rPr>
          <w:rFonts w:ascii="Arial" w:cs="Arial" w:eastAsia="Arial" w:hAnsi="Arial"/>
          <w:b/>
          <w:bCs/>
          <w:color w:val="152639"/>
          <w:sz w:val="28"/>
          <w:szCs w:val="28"/>
        </w:rPr>
        <w:t xml:space="preserve">Étape 4 — Récupérer les résultats</w:t>
      </w:r>
    </w:p>
    <w:p>
      <w:pPr>
        <w:spacing w:after="80" w:before="80" w:line="320"/>
      </w:pPr>
      <w:r>
        <w:rPr>
          <w:rFonts w:ascii="Arial" w:cs="Arial" w:eastAsia="Arial" w:hAnsi="Arial"/>
        </w:rPr>
        <w:t xml:space="preserve">Deux fichiers à télécharger en bas de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E3E9" w:sz="4"/>
              <w:left w:val="single" w:color="DDE3E9" w:sz="4"/>
              <w:bottom w:val="single" w:color="DDE3E9" w:sz="4"/>
              <w:right w:val="single" w:color="DDE3E9" w:sz="4"/>
            </w:tcBorders>
            <w:shd w:fill="152639" w:val="clear"/>
            <w:tcMar>
              <w:top w:type="dxa" w:w="100"/>
              <w:left w:type="dxa" w:w="140"/>
              <w:bottom w:type="dxa" w:w="100"/>
              <w:right w:type="dxa" w:w="140"/>
            </w:tcMar>
          </w:tcPr>
          <w:p>
            <w:r>
              <w:rPr>
                <w:rFonts w:ascii="Arial" w:cs="Arial" w:eastAsia="Arial" w:hAnsi="Arial"/>
                <w:b/>
                <w:bCs/>
                <w:color w:val="FFFFFF"/>
                <w:sz w:val="20"/>
                <w:szCs w:val="20"/>
              </w:rPr>
              <w:t xml:space="preserve">Fichier</w:t>
            </w:r>
          </w:p>
        </w:tc>
        <w:tc>
          <w:tcPr>
            <w:tcW w:type="dxa" w:w="5860"/>
            <w:tcBorders>
              <w:top w:val="single" w:color="DDE3E9" w:sz="4"/>
              <w:left w:val="single" w:color="DDE3E9" w:sz="4"/>
              <w:bottom w:val="single" w:color="DDE3E9" w:sz="4"/>
              <w:right w:val="single" w:color="DDE3E9" w:sz="4"/>
            </w:tcBorders>
            <w:shd w:fill="152639" w:val="clear"/>
            <w:tcMar>
              <w:top w:type="dxa" w:w="100"/>
              <w:left w:type="dxa" w:w="140"/>
              <w:bottom w:type="dxa" w:w="100"/>
              <w:right w:type="dxa" w:w="140"/>
            </w:tcMar>
          </w:tcPr>
          <w:p>
            <w:r>
              <w:rPr>
                <w:rFonts w:ascii="Arial" w:cs="Arial" w:eastAsia="Arial" w:hAnsi="Arial"/>
                <w:b/>
                <w:bCs/>
                <w:color w:val="FFFFFF"/>
                <w:sz w:val="20"/>
                <w:szCs w:val="20"/>
              </w:rPr>
              <w:t xml:space="preserve">Contenu et usage</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FEC enrichi (Excel)</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Le FEC d'origine + 10 colonnes calculées prêtes pour TCD : Société, Exercice, Racine, Classe, Mois, Trimestre, Solde, Sens, etc. À conserver dans le dossier de mission.</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Diagnostic Excel</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Synthèse du traitement : nom du fichier source, empreinte SHA-256, période couverte, équilibre Débit/Crédit, liste des transformations appliquées. À archiver comme pièce justificative (conformité CNCC).</w:t>
            </w:r>
          </w:p>
        </w:tc>
      </w:tr>
    </w:tbl>
    <w:p>
      <w:pPr>
        <w:spacing w:after="120" w:before="0"/>
      </w:pPr>
      <w:r>
        <w:rPr>
          <w:rFonts w:ascii="Arial" w:cs="Arial" w:eastAsia="Arial" w:hAnsi="Arial"/>
        </w:rPr>
        <w:t xml:space="preserve"/>
      </w:r>
    </w:p>
    <w:p>
      <w:pPr>
        <w:pStyle w:val="Heading1"/>
        <w:spacing w:after="200" w:before="360"/>
      </w:pPr>
      <w:r>
        <w:rPr>
          <w:rFonts w:ascii="Arial" w:cs="Arial" w:eastAsia="Arial" w:hAnsi="Arial"/>
          <w:b/>
          <w:bCs/>
          <w:color w:val="152639"/>
          <w:sz w:val="36"/>
          <w:szCs w:val="36"/>
        </w:rPr>
        <w:t xml:space="preserve">4. Comprendre l'aperçu financier estimé</w:t>
      </w:r>
    </w:p>
    <w:p>
      <w:pPr>
        <w:spacing w:after="80" w:before="80" w:line="320"/>
      </w:pPr>
      <w:r>
        <w:rPr>
          <w:rFonts w:ascii="Arial" w:cs="Arial" w:eastAsia="Arial" w:hAnsi="Arial"/>
        </w:rPr>
        <w:t xml:space="preserve">Avant de télécharger, l'outil affiche une carte de résultat estimé par combinaison Société × Exercice :</w:t>
      </w:r>
    </w:p>
    <w:p>
      <w:pPr>
        <w:pStyle w:val="ListParagraph"/>
        <w:numPr>
          <w:ilvl w:val="0"/>
          <w:numId w:val="2"/>
        </w:numPr>
        <w:spacing w:after="40" w:before="40" w:line="300"/>
      </w:pPr>
      <w:r>
        <w:rPr>
          <w:rFonts w:ascii="Arial" w:cs="Arial" w:eastAsia="Arial" w:hAnsi="Arial"/>
          <w:b/>
          <w:bCs/>
        </w:rPr>
        <w:t xml:space="preserve">Produits </w:t>
      </w:r>
      <w:r>
        <w:rPr>
          <w:rFonts w:ascii="Arial" w:cs="Arial" w:eastAsia="Arial" w:hAnsi="Arial"/>
        </w:rPr>
        <w:t xml:space="preserve">= somme (Crédit − Débit) sur les écritures de classe 7</w:t>
      </w:r>
    </w:p>
    <w:p>
      <w:pPr>
        <w:pStyle w:val="ListParagraph"/>
        <w:numPr>
          <w:ilvl w:val="0"/>
          <w:numId w:val="2"/>
        </w:numPr>
        <w:spacing w:after="40" w:before="40" w:line="300"/>
      </w:pPr>
      <w:r>
        <w:rPr>
          <w:rFonts w:ascii="Arial" w:cs="Arial" w:eastAsia="Arial" w:hAnsi="Arial"/>
          <w:b/>
          <w:bCs/>
        </w:rPr>
        <w:t xml:space="preserve">Charges </w:t>
      </w:r>
      <w:r>
        <w:rPr>
          <w:rFonts w:ascii="Arial" w:cs="Arial" w:eastAsia="Arial" w:hAnsi="Arial"/>
        </w:rPr>
        <w:t xml:space="preserve">= somme (Débit − Crédit) sur les écritures de classe 6</w:t>
      </w:r>
    </w:p>
    <w:p>
      <w:pPr>
        <w:pStyle w:val="ListParagraph"/>
        <w:numPr>
          <w:ilvl w:val="0"/>
          <w:numId w:val="2"/>
        </w:numPr>
        <w:spacing w:after="40" w:before="40" w:line="300"/>
      </w:pPr>
      <w:r>
        <w:rPr>
          <w:rFonts w:ascii="Arial" w:cs="Arial" w:eastAsia="Arial" w:hAnsi="Arial"/>
          <w:b/>
          <w:bCs/>
        </w:rPr>
        <w:t xml:space="preserve">Résultat estimé </w:t>
      </w:r>
      <w:r>
        <w:rPr>
          <w:rFonts w:ascii="Arial" w:cs="Arial" w:eastAsia="Arial" w:hAnsi="Arial"/>
        </w:rPr>
        <w:t xml:space="preserve">= Produits − Charges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5483A" w:sz="24"/>
              <w:bottom w:val="none" w:color="FFFFFF" w:sz="0"/>
              <w:right w:val="none" w:color="FFFFFF" w:sz="0"/>
            </w:tcBorders>
            <w:shd w:fill="FBEAE8" w:val="clear"/>
            <w:tcMar>
              <w:top w:type="dxa" w:w="160"/>
              <w:left w:type="dxa" w:w="200"/>
              <w:bottom w:type="dxa" w:w="160"/>
              <w:right w:type="dxa" w:w="200"/>
            </w:tcMar>
          </w:tcPr>
          <w:p>
            <w:pPr>
              <w:spacing w:after="80"/>
            </w:pPr>
            <w:r>
              <w:rPr>
                <w:rFonts w:ascii="Arial" w:cs="Arial" w:eastAsia="Arial" w:hAnsi="Arial"/>
                <w:b/>
                <w:bCs/>
                <w:color w:val="152639"/>
                <w:sz w:val="22"/>
                <w:szCs w:val="22"/>
              </w:rPr>
              <w:t xml:space="preserve">Important</w:t>
            </w:r>
          </w:p>
          <w:p>
            <w:pPr>
              <w:spacing w:line="300"/>
            </w:pPr>
            <w:r>
              <w:rPr>
                <w:rFonts w:ascii="Arial" w:cs="Arial" w:eastAsia="Arial" w:hAnsi="Arial"/>
                <w:color w:val="33302D"/>
                <w:sz w:val="20"/>
                <w:szCs w:val="20"/>
              </w:rPr>
              <w:t xml:space="preserve">Ce résultat est calculé sur FEC brut, AVANT écritures de clôture (provisions, amortissements de fin d'exercice, dotations, IS). Il ne correspond pas au résultat fiscal définitif. Considérez-le comme un ordre de grandeur de cohérence : si le chiffre est radicalement différent de ce que vous attendiez, il y a probablement un problème à investiguer (FEC tronqué, classes inversées, etc.).</w:t>
            </w:r>
          </w:p>
        </w:tc>
      </w:tr>
    </w:tbl>
    <w:p>
      <w:pPr>
        <w:spacing w:after="120" w:before="0"/>
      </w:pPr>
      <w:r>
        <w:rPr>
          <w:rFonts w:ascii="Arial" w:cs="Arial" w:eastAsia="Arial" w:hAnsi="Arial"/>
        </w:rPr>
        <w:t xml:space="preserve"/>
      </w:r>
    </w:p>
    <w:p>
      <w:pPr>
        <w:pStyle w:val="Heading1"/>
        <w:spacing w:after="200" w:before="360"/>
      </w:pPr>
      <w:r>
        <w:rPr>
          <w:rFonts w:ascii="Arial" w:cs="Arial" w:eastAsia="Arial" w:hAnsi="Arial"/>
          <w:b/>
          <w:bCs/>
          <w:color w:val="152639"/>
          <w:sz w:val="36"/>
          <w:szCs w:val="36"/>
        </w:rPr>
        <w:t xml:space="preserve">5. Exploiter le FEC enrichi</w:t>
      </w:r>
    </w:p>
    <w:p>
      <w:pPr>
        <w:spacing w:after="80" w:before="80" w:line="320"/>
      </w:pPr>
      <w:r>
        <w:rPr>
          <w:rFonts w:ascii="Arial" w:cs="Arial" w:eastAsia="Arial" w:hAnsi="Arial"/>
        </w:rPr>
        <w:t xml:space="preserve">Le fichier Excel téléchargé est conçu pour être directement croisé en tableau croisé dynamique (TCD).</w:t>
      </w:r>
    </w:p>
    <w:p>
      <w:pPr>
        <w:pStyle w:val="Heading3"/>
        <w:spacing w:after="100" w:before="200"/>
      </w:pPr>
      <w:r>
        <w:rPr>
          <w:rFonts w:ascii="Arial" w:cs="Arial" w:eastAsia="Arial" w:hAnsi="Arial"/>
          <w:b/>
          <w:bCs/>
          <w:color w:val="152639"/>
          <w:sz w:val="22"/>
          <w:szCs w:val="22"/>
        </w:rPr>
        <w:t xml:space="preserve">Colonnes ajoutées par l'outil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E3E9" w:sz="4"/>
              <w:left w:val="single" w:color="DDE3E9" w:sz="4"/>
              <w:bottom w:val="single" w:color="DDE3E9" w:sz="4"/>
              <w:right w:val="single" w:color="DDE3E9" w:sz="4"/>
            </w:tcBorders>
            <w:shd w:fill="152639" w:val="clear"/>
            <w:tcMar>
              <w:top w:type="dxa" w:w="100"/>
              <w:left w:type="dxa" w:w="140"/>
              <w:bottom w:type="dxa" w:w="100"/>
              <w:right w:type="dxa" w:w="140"/>
            </w:tcMar>
          </w:tcPr>
          <w:p>
            <w:r>
              <w:rPr>
                <w:rFonts w:ascii="Arial" w:cs="Arial" w:eastAsia="Arial" w:hAnsi="Arial"/>
                <w:b/>
                <w:bCs/>
                <w:color w:val="FFFFFF"/>
                <w:sz w:val="20"/>
                <w:szCs w:val="20"/>
              </w:rPr>
              <w:t xml:space="preserve">Colonne</w:t>
            </w:r>
          </w:p>
        </w:tc>
        <w:tc>
          <w:tcPr>
            <w:tcW w:type="dxa" w:w="5860"/>
            <w:tcBorders>
              <w:top w:val="single" w:color="DDE3E9" w:sz="4"/>
              <w:left w:val="single" w:color="DDE3E9" w:sz="4"/>
              <w:bottom w:val="single" w:color="DDE3E9" w:sz="4"/>
              <w:right w:val="single" w:color="DDE3E9" w:sz="4"/>
            </w:tcBorders>
            <w:shd w:fill="15263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Entite</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Société renseignée — utile pour filtrer dans un dossier groupe</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Exercice</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Exercice renseigné — utile pour les analyses pluriannuelles</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Racine</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Classe PCG (1 à 8) extraite du CompteNum</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ClasseLib</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Libellé lisible de la classe (ex. « 6 - Charges »)</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Sous_Racine</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2 premiers chiffres du compte (40, 60, 70…)</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Racine_3</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3 premiers chiffres du compte (401, 607, 707…)</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Mois</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Format « 01-Janvier » à « 12-Décembre » — préfixé pour tri correct</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Trimestre</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T1 à T4 (l'année figure dans la colonne Annee)</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Annee</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Année de l'écriture sur 4 chiffres</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Solde</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Débit − Crédit (positif = compte débiteur)</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Montant</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Crédit − Débit (positif = compte créditeur) — convention miroir</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Sens</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 D » si débiteur, « C » si créditeur, « = » si nul</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EB2A1" w:sz="24"/>
              <w:bottom w:val="none" w:color="FFFFFF" w:sz="0"/>
              <w:right w:val="none" w:color="FFFFFF" w:sz="0"/>
            </w:tcBorders>
            <w:shd w:fill="E8F5F2" w:val="clear"/>
            <w:tcMar>
              <w:top w:type="dxa" w:w="160"/>
              <w:left w:type="dxa" w:w="200"/>
              <w:bottom w:type="dxa" w:w="160"/>
              <w:right w:type="dxa" w:w="200"/>
            </w:tcMar>
          </w:tcPr>
          <w:p>
            <w:pPr>
              <w:spacing w:after="80"/>
            </w:pPr>
            <w:r>
              <w:rPr>
                <w:rFonts w:ascii="Arial" w:cs="Arial" w:eastAsia="Arial" w:hAnsi="Arial"/>
                <w:b/>
                <w:bCs/>
                <w:color w:val="152639"/>
                <w:sz w:val="22"/>
                <w:szCs w:val="22"/>
              </w:rPr>
              <w:t xml:space="preserve">Solde ou Montant — lequel utiliser dans vos TCD ?</w:t>
            </w:r>
          </w:p>
          <w:p>
            <w:pPr>
              <w:spacing w:line="300"/>
            </w:pPr>
            <w:r>
              <w:rPr>
                <w:rFonts w:ascii="Arial" w:cs="Arial" w:eastAsia="Arial" w:hAnsi="Arial"/>
                <w:color w:val="33302D"/>
                <w:sz w:val="20"/>
                <w:szCs w:val="20"/>
              </w:rPr>
              <w:t xml:space="preserve">Les deux colonnes sont volontairement exposées car les conventions varient selon les habitudes. Solde (= Débit − Crédit) est positif pour les comptes débiteurs (charges, immobilisations, clients). Montant (= Crédit − Débit) est positif pour les comptes créditeurs (produits, dettes, fournisseurs). Choisissez celle qui correspond à votre façon de lire un grand-livre — vous n'avez pas besoin de relancer l'outil pour basculer.</w:t>
            </w:r>
          </w:p>
        </w:tc>
      </w:tr>
    </w:tbl>
    <w:p>
      <w:pPr>
        <w:spacing w:after="120" w:before="0"/>
      </w:pPr>
      <w:r>
        <w:rPr>
          <w:rFonts w:ascii="Arial" w:cs="Arial" w:eastAsia="Arial" w:hAnsi="Arial"/>
        </w:rPr>
        <w:t xml:space="preserve"/>
      </w:r>
    </w:p>
    <w:p>
      <w:pPr>
        <w:pStyle w:val="Heading3"/>
        <w:spacing w:after="100" w:before="200"/>
      </w:pPr>
      <w:r>
        <w:rPr>
          <w:rFonts w:ascii="Arial" w:cs="Arial" w:eastAsia="Arial" w:hAnsi="Arial"/>
          <w:b/>
          <w:bCs/>
          <w:color w:val="152639"/>
          <w:sz w:val="22"/>
          <w:szCs w:val="22"/>
        </w:rPr>
        <w:t xml:space="preserve">Idées de TCD utiles</w:t>
      </w:r>
    </w:p>
    <w:p>
      <w:pPr>
        <w:pStyle w:val="ListParagraph"/>
        <w:numPr>
          <w:ilvl w:val="0"/>
          <w:numId w:val="2"/>
        </w:numPr>
        <w:spacing w:after="40" w:before="40" w:line="300"/>
      </w:pPr>
      <w:r>
        <w:rPr>
          <w:rFonts w:ascii="Arial" w:cs="Arial" w:eastAsia="Arial" w:hAnsi="Arial"/>
        </w:rPr>
        <w:t xml:space="preserve">Société en ligne × Exercice en colonne × Solde en valeur → vue cumul groupe</w:t>
      </w:r>
    </w:p>
    <w:p>
      <w:pPr>
        <w:pStyle w:val="ListParagraph"/>
        <w:numPr>
          <w:ilvl w:val="0"/>
          <w:numId w:val="2"/>
        </w:numPr>
        <w:spacing w:after="40" w:before="40" w:line="300"/>
      </w:pPr>
      <w:r>
        <w:rPr>
          <w:rFonts w:ascii="Arial" w:cs="Arial" w:eastAsia="Arial" w:hAnsi="Arial"/>
        </w:rPr>
        <w:t xml:space="preserve">ClasseLib en ligne × Mois en colonne × Solde en valeur → évolution mensuelle par classe</w:t>
      </w:r>
    </w:p>
    <w:p>
      <w:pPr>
        <w:pStyle w:val="ListParagraph"/>
        <w:numPr>
          <w:ilvl w:val="0"/>
          <w:numId w:val="2"/>
        </w:numPr>
        <w:spacing w:after="40" w:before="40" w:line="300"/>
      </w:pPr>
      <w:r>
        <w:rPr>
          <w:rFonts w:ascii="Arial" w:cs="Arial" w:eastAsia="Arial" w:hAnsi="Arial"/>
        </w:rPr>
        <w:t xml:space="preserve">Racine_3 en ligne × Solde en valeur, filtré sur classe 6 → top 10 des comptes de charges</w:t>
      </w:r>
    </w:p>
    <w:p>
      <w:pPr>
        <w:pStyle w:val="ListParagraph"/>
        <w:numPr>
          <w:ilvl w:val="0"/>
          <w:numId w:val="2"/>
        </w:numPr>
        <w:spacing w:after="40" w:before="40" w:line="300"/>
      </w:pPr>
      <w:r>
        <w:rPr>
          <w:rFonts w:ascii="Arial" w:cs="Arial" w:eastAsia="Arial" w:hAnsi="Arial"/>
        </w:rPr>
        <w:t xml:space="preserve">JournalCode en ligne × Mois en colonne × nombre de lignes → volumétrie par journal</w:t>
      </w:r>
    </w:p>
    <w:p>
      <w:pPr>
        <w:spacing w:after="120" w:before="0"/>
      </w:pPr>
      <w:r>
        <w:rPr>
          <w:rFonts w:ascii="Arial" w:cs="Arial" w:eastAsia="Arial" w:hAnsi="Arial"/>
        </w:rPr>
        <w:t xml:space="preserve"/>
      </w:r>
    </w:p>
    <w:p>
      <w:pPr>
        <w:pStyle w:val="Heading1"/>
        <w:spacing w:after="200" w:before="360"/>
      </w:pPr>
      <w:r>
        <w:rPr>
          <w:rFonts w:ascii="Arial" w:cs="Arial" w:eastAsia="Arial" w:hAnsi="Arial"/>
          <w:b/>
          <w:bCs/>
          <w:color w:val="152639"/>
          <w:sz w:val="36"/>
          <w:szCs w:val="36"/>
        </w:rPr>
        <w:t xml:space="preserve">6. 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E3E9" w:sz="4"/>
              <w:left w:val="single" w:color="DDE3E9" w:sz="4"/>
              <w:bottom w:val="single" w:color="DDE3E9" w:sz="4"/>
              <w:right w:val="single" w:color="DDE3E9" w:sz="4"/>
            </w:tcBorders>
            <w:shd w:fill="152639" w:val="clear"/>
            <w:tcMar>
              <w:top w:type="dxa" w:w="100"/>
              <w:left w:type="dxa" w:w="140"/>
              <w:bottom w:type="dxa" w:w="100"/>
              <w:right w:type="dxa" w:w="140"/>
            </w:tcMar>
          </w:tcPr>
          <w:p>
            <w:r>
              <w:rPr>
                <w:rFonts w:ascii="Arial" w:cs="Arial" w:eastAsia="Arial" w:hAnsi="Arial"/>
                <w:b/>
                <w:bCs/>
                <w:color w:val="FFFFFF"/>
                <w:sz w:val="20"/>
                <w:szCs w:val="20"/>
              </w:rPr>
              <w:t xml:space="preserve">Situation</w:t>
            </w:r>
          </w:p>
        </w:tc>
        <w:tc>
          <w:tcPr>
            <w:tcW w:type="dxa" w:w="5860"/>
            <w:tcBorders>
              <w:top w:val="single" w:color="DDE3E9" w:sz="4"/>
              <w:left w:val="single" w:color="DDE3E9" w:sz="4"/>
              <w:bottom w:val="single" w:color="DDE3E9" w:sz="4"/>
              <w:right w:val="single" w:color="DDE3E9" w:sz="4"/>
            </w:tcBorders>
            <w:shd w:fill="152639" w:val="clear"/>
            <w:tcMar>
              <w:top w:type="dxa" w:w="100"/>
              <w:left w:type="dxa" w:w="140"/>
              <w:bottom w:type="dxa" w:w="100"/>
              <w:right w:type="dxa" w:w="140"/>
            </w:tcMar>
          </w:tcPr>
          <w:p>
            <w:r>
              <w:rPr>
                <w:rFonts w:ascii="Arial" w:cs="Arial" w:eastAsia="Arial" w:hAnsi="Arial"/>
                <w:b/>
                <w:bCs/>
                <w:color w:val="FFFFFF"/>
                <w:sz w:val="20"/>
                <w:szCs w:val="20"/>
              </w:rPr>
              <w:t xml:space="preserve">Que faire</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La page n'apparaît pas dans le navigateur</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Vérifier la connexion au réseau Extencia ou au VPN. Si le problème persiste, contacter l'Innovation Hub.</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L'outil refuse mon fichier (« colonne(s) obligatoire(s) absente(s) »)</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Le FEC n'est pas conforme à la norme DGFiP. Demander un ré-export au client en cochant bien « format DGFiP normé » dans le logiciel comptable.</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La société ne se remplit pas automatiquement</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Le nom de fichier ne commence pas par 9 chiffres, ou le SIREN n'est pas trouvé dans la base publique. Saisir à la main, ça ne pose aucun problème.</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L'exercice n'est pas détecté</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La date de clôture n'est pas en fin de nom au format AAAAMMJJ. Saisir à la main au format « 2025 » ou « 06/2025 ».</w:t>
            </w:r>
          </w:p>
        </w:tc>
      </w:tr>
      <w:tr>
        <w:tc>
          <w:tcPr>
            <w:tcW w:type="dxa" w:w="350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Le traitement met plus de 2 minutes</w:t>
            </w:r>
          </w:p>
        </w:tc>
        <w:tc>
          <w:tcPr>
            <w:tcW w:type="dxa" w:w="5860"/>
            <w:tcBorders>
              <w:top w:val="single" w:color="DDE3E9" w:sz="4"/>
              <w:left w:val="single" w:color="DDE3E9" w:sz="4"/>
              <w:bottom w:val="single" w:color="DDE3E9" w:sz="4"/>
              <w:right w:val="single" w:color="DDE3E9" w:sz="4"/>
            </w:tcBorders>
            <w:shd w:fill="FFFFFF" w:val="clear"/>
            <w:tcMar>
              <w:top w:type="dxa" w:w="100"/>
              <w:left w:type="dxa" w:w="140"/>
              <w:bottom w:type="dxa" w:w="100"/>
              <w:right w:type="dxa" w:w="140"/>
            </w:tcMar>
          </w:tcPr>
          <w:p>
            <w:r>
              <w:rPr>
                <w:rFonts w:ascii="Arial" w:cs="Arial" w:eastAsia="Arial" w:hAnsi="Arial"/>
                <w:color w:val="33302D"/>
                <w:sz w:val="20"/>
                <w:szCs w:val="20"/>
              </w:rPr>
              <w:t xml:space="preserve">FEC très volumineux (au-delà de 500 000 lignes). C'est normal. Ne pas fermer la page, le bandeau pulse pour indiquer que l'outil travaille.</w:t>
            </w:r>
          </w:p>
        </w:tc>
      </w:tr>
      <w:tr>
        <w:tc>
          <w:tcPr>
            <w:tcW w:type="dxa" w:w="350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Le résultat estimé semble très différent du résultat attendu</w:t>
            </w:r>
          </w:p>
        </w:tc>
        <w:tc>
          <w:tcPr>
            <w:tcW w:type="dxa" w:w="5860"/>
            <w:tcBorders>
              <w:top w:val="single" w:color="DDE3E9" w:sz="4"/>
              <w:left w:val="single" w:color="DDE3E9" w:sz="4"/>
              <w:bottom w:val="single" w:color="DDE3E9" w:sz="4"/>
              <w:right w:val="single" w:color="DDE3E9" w:sz="4"/>
            </w:tcBorders>
            <w:shd w:fill="F0F4F8" w:val="clear"/>
            <w:tcMar>
              <w:top w:type="dxa" w:w="100"/>
              <w:left w:type="dxa" w:w="140"/>
              <w:bottom w:type="dxa" w:w="100"/>
              <w:right w:type="dxa" w:w="140"/>
            </w:tcMar>
          </w:tcPr>
          <w:p>
            <w:r>
              <w:rPr>
                <w:rFonts w:ascii="Arial" w:cs="Arial" w:eastAsia="Arial" w:hAnsi="Arial"/>
                <w:color w:val="33302D"/>
                <w:sz w:val="20"/>
                <w:szCs w:val="20"/>
              </w:rPr>
              <w:t xml:space="preserve">Probable problème de complétude du FEC (écritures manquantes, période tronquée). Investiguer ou demander un ré-export.</w:t>
            </w:r>
          </w:p>
        </w:tc>
      </w:tr>
    </w:tbl>
    <w:p>
      <w:pPr>
        <w:spacing w:after="120" w:before="0"/>
      </w:pPr>
      <w:r>
        <w:rPr>
          <w:rFonts w:ascii="Arial" w:cs="Arial" w:eastAsia="Arial" w:hAnsi="Arial"/>
        </w:rPr>
        <w:t xml:space="preserve"/>
      </w:r>
    </w:p>
    <w:p>
      <w:pPr>
        <w:pStyle w:val="Heading1"/>
        <w:spacing w:after="200" w:before="360"/>
      </w:pPr>
      <w:r>
        <w:rPr>
          <w:rFonts w:ascii="Arial" w:cs="Arial" w:eastAsia="Arial" w:hAnsi="Arial"/>
          <w:b/>
          <w:bCs/>
          <w:color w:val="152639"/>
          <w:sz w:val="36"/>
          <w:szCs w:val="36"/>
        </w:rPr>
        <w:t xml:space="preserve">7. Confidentialité et conformité</w:t>
      </w:r>
    </w:p>
    <w:p>
      <w:pPr>
        <w:spacing w:after="80" w:before="80" w:line="320"/>
      </w:pPr>
      <w:r>
        <w:rPr>
          <w:rFonts w:ascii="Arial" w:cs="Arial" w:eastAsia="Arial" w:hAnsi="Arial"/>
        </w:rPr>
        <w:t xml:space="preserve">L'outil respecte les engagements suivants :</w:t>
      </w:r>
    </w:p>
    <w:p>
      <w:pPr>
        <w:pStyle w:val="ListParagraph"/>
        <w:numPr>
          <w:ilvl w:val="0"/>
          <w:numId w:val="2"/>
        </w:numPr>
        <w:spacing w:after="40" w:before="40" w:line="300"/>
      </w:pPr>
      <w:r>
        <w:rPr>
          <w:rFonts w:ascii="Arial" w:cs="Arial" w:eastAsia="Arial" w:hAnsi="Arial"/>
        </w:rPr>
        <w:t xml:space="preserve">Les fichiers sont traités en mémoire et supprimés du serveur immédiatement après le téléchargement des résultats.</w:t>
      </w:r>
    </w:p>
    <w:p>
      <w:pPr>
        <w:pStyle w:val="ListParagraph"/>
        <w:numPr>
          <w:ilvl w:val="0"/>
          <w:numId w:val="2"/>
        </w:numPr>
        <w:spacing w:after="40" w:before="40" w:line="300"/>
      </w:pPr>
      <w:r>
        <w:rPr>
          <w:rFonts w:ascii="Arial" w:cs="Arial" w:eastAsia="Arial" w:hAnsi="Arial"/>
        </w:rPr>
        <w:t xml:space="preserve">Aucun nom de client n'est journalisé dans les logs du serveur.</w:t>
      </w:r>
    </w:p>
    <w:p>
      <w:pPr>
        <w:pStyle w:val="ListParagraph"/>
        <w:numPr>
          <w:ilvl w:val="0"/>
          <w:numId w:val="2"/>
        </w:numPr>
        <w:spacing w:after="40" w:before="40" w:line="300"/>
      </w:pPr>
      <w:r>
        <w:rPr>
          <w:rFonts w:ascii="Arial" w:cs="Arial" w:eastAsia="Arial" w:hAnsi="Arial"/>
        </w:rPr>
        <w:t xml:space="preserve">Le rapport de diagnostic Excel généré contient l'empreinte SHA-256 du fichier source — preuve d'intégrité conforme aux exigences CNCC.</w:t>
      </w:r>
    </w:p>
    <w:p>
      <w:pPr>
        <w:pStyle w:val="ListParagraph"/>
        <w:numPr>
          <w:ilvl w:val="0"/>
          <w:numId w:val="2"/>
        </w:numPr>
        <w:spacing w:after="40" w:before="40" w:line="300"/>
      </w:pPr>
      <w:r>
        <w:rPr>
          <w:rFonts w:ascii="Arial" w:cs="Arial" w:eastAsia="Arial" w:hAnsi="Arial"/>
        </w:rPr>
        <w:t xml:space="preserve">Seul le SIREN est transmis à l'API publique recherche-entreprises (donnée publique au BODACC). Aucun contenu du FEC ne sort du serveur Extencia.</w:t>
      </w:r>
    </w:p>
    <w:p>
      <w:pPr>
        <w:spacing w:after="200" w:before="0"/>
      </w:pPr>
      <w:r>
        <w:rPr>
          <w:rFonts w:ascii="Arial" w:cs="Arial" w:eastAsia="Arial" w:hAnsi="Arial"/>
        </w:rPr>
        <w:t xml:space="preserve"/>
      </w:r>
    </w:p>
    <w:p>
      <w:pPr>
        <w:pBdr>
          <w:top w:val="single" w:color="DDE3E9" w:sz="4" w:space="6"/>
        </w:pBdr>
        <w:spacing w:before="240"/>
        <w:jc w:val="center"/>
      </w:pPr>
      <w:r>
        <w:rPr>
          <w:rFonts w:ascii="Arial" w:cs="Arial" w:eastAsia="Arial" w:hAnsi="Arial"/>
          <w:i/>
          <w:iCs/>
          <w:color w:val="A9BDCB"/>
          <w:sz w:val="18"/>
          <w:szCs w:val="18"/>
        </w:rPr>
        <w:t xml:space="preserve">Document maintenu par le Pôle Innovation Hub Extencia pour Auditoria.</w:t>
      </w:r>
    </w:p>
    <w:p>
      <w:pPr>
        <w:spacing w:before="60"/>
        <w:jc w:val="center"/>
      </w:pPr>
      <w:r>
        <w:rPr>
          <w:rFonts w:ascii="Arial" w:cs="Arial" w:eastAsia="Arial" w:hAnsi="Arial"/>
          <w:i/>
          <w:iCs/>
          <w:color w:val="A9BDCB"/>
          <w:sz w:val="18"/>
          <w:szCs w:val="18"/>
        </w:rPr>
        <w:t xml:space="preserve">Pour toute question ou suggestion d'évolution : s.torregrosa@extencia.fr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A9BDCB"/>
        <w:sz w:val="16"/>
        <w:szCs w:val="16"/>
      </w:rPr>
      <w:t xml:space="preserve">Auditoria — Innovation Hub Extencia</w:t>
    </w:r>
    <w:r>
      <w:rPr>
        <w:rFonts w:ascii="Arial" w:cs="Arial" w:eastAsia="Arial" w:hAnsi="Arial"/>
        <w:color w:val="A9BDCB"/>
        <w:sz w:val="16"/>
        <w:szCs w:val="16"/>
      </w:rPr>
      <w:t xml:space="preserve">	Page </w:t>
    </w:r>
    <w:r>
      <w:rPr>
        <w:rFonts w:ascii="Arial" w:cs="Arial" w:eastAsia="Arial" w:hAnsi="Arial"/>
        <w:color w:val="A9BDC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9BDCB"/>
        <w:sz w:val="16"/>
        <w:szCs w:val="16"/>
      </w:rPr>
      <w:t xml:space="preserve">FEC Normalizer — Manuel utilisateur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263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5263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263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FEC Normalizer</dc:title>
  <dc:creator>Auditoria — Pôle Innovation Hub Extencia</dc:creator>
  <dc:description>Guide d'utilisation à destination des collaborateurs Auditoria</dc:description>
  <cp:lastModifiedBy>Un-named</cp:lastModifiedBy>
  <cp:revision>1</cp:revision>
  <dcterms:created xsi:type="dcterms:W3CDTF">2026-05-27T10:28:48.827Z</dcterms:created>
  <dcterms:modified xsi:type="dcterms:W3CDTF">2026-05-27T10:28:48.827Z</dcterms:modified>
</cp:coreProperties>
</file>

<file path=docProps/custom.xml><?xml version="1.0" encoding="utf-8"?>
<Properties xmlns="http://schemas.openxmlformats.org/officeDocument/2006/custom-properties" xmlns:vt="http://schemas.openxmlformats.org/officeDocument/2006/docPropsVTypes"/>
</file>