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Kafka Messaging Infrastructure — Technical Documentation</w:t>
      </w:r>
    </w:p>
    <w:p>
      <w:r>
        <w:rPr>
          <w:b/>
          <w:sz w:val="28"/>
        </w:rPr>
        <w:t>Overview</w:t>
      </w:r>
    </w:p>
    <w:p>
      <w:r>
        <w:t>This project is a robust, enterprise-grade Kafka messaging infrastructure built on Spring Boot, designed to serve as a reliable bridge between a PostgreSQL database and Apache Kafka. The application handles both the consumption of incoming Kafka messages and the production of outgoing messages, with strong guarantees around reliability, fault tolerance, and data consistency. The entire system is driven by database configuration, making it highly dynamic and operationally flexible without requiring code changes or redeployments for new topics or consumer groups.</w:t>
      </w:r>
    </w:p>
    <w:p/>
    <w:p>
      <w:r>
        <w:rPr>
          <w:b/>
          <w:sz w:val="28"/>
        </w:rPr>
        <w:t>Consumer Side — Inbox Processing</w:t>
      </w:r>
    </w:p>
    <w:p>
      <w:r>
        <w:rPr>
          <w:b/>
          <w:sz w:val="24"/>
        </w:rPr>
        <w:t>Dynamic Container Initialization</w:t>
      </w:r>
    </w:p>
    <w:p>
      <w:r>
        <w:t>Rather than hardcoding Kafka listener configurations, the application adopts a fully database-driven approach to consumer management. All consumer configurations — including topic names, group IDs, and partition counts — are stored in a dedicated configuration table in PostgreSQL. During application startup, these configurations are read and processed within a @PostConstruct method, where ConcurrentMessageListenerContainer instances are programmatically created for each configured topic.</w:t>
      </w:r>
    </w:p>
    <w:p>
      <w:r>
        <w:t>The use of ConcurrentMessageListenerContainer is deliberate and intentional: each partition of a given topic is assigned its own dedicated thread, enabling true parallel processing without cross-partition interference. The number of threads per container is dynamically derived from the partition count stored in the configuration, ensuring the thread model always reflects the actual Kafka topic topology. Once all containers are initialized and wired with their respective configurations, they are explicitly started, at which point the application begins actively listening for incoming messages.</w:t>
      </w:r>
    </w:p>
    <w:p>
      <w:r>
        <w:rPr>
          <w:b/>
          <w:sz w:val="24"/>
        </w:rPr>
        <w:t>Message Processing and Inbox Persistence</w:t>
      </w:r>
    </w:p>
    <w:p>
      <w:r>
        <w:t>When a message arrives, it is received as a ConsumerRecord, which encapsulates the full Kafka message including the key, value, headers, partition, and offset metadata. This entire record is wrapped in an internal KafkaData object, which is passed through the processing pipeline. The message along with all its metadata is persisted into an inbox table in PostgreSQL, providing a durable, auditable log of every message received.</w:t>
      </w:r>
    </w:p>
    <w:p>
      <w:r>
        <w:t>Kafka headers, which are natively represented as byte arrays in the ConsumerRecord, are decoded using Base64 encoding and serialized into a structured JSON format before being stored. This ensures that header data is human-readable, queryable, and portable across systems.</w:t>
      </w:r>
    </w:p>
    <w:p>
      <w:r>
        <w:rPr>
          <w:b/>
          <w:sz w:val="24"/>
        </w:rPr>
        <w:t>PostgreSQL Function-Based Business Logic</w:t>
      </w:r>
    </w:p>
    <w:p>
      <w:r>
        <w:t>Once a row is inserted into the inbox table, a PostgreSQL function is invoked to trigger business logic execution. This function acts as a dispatcher: based on the topic name associated with the message, it routes the call to a corresponding sub-function where the actual business logic is implemented. This design cleanly separates the messaging infrastructure from domain-specific processing and allows independent evolution of business rules per topic without touching the core application layer.</w:t>
      </w:r>
    </w:p>
    <w:p>
      <w:r>
        <w:rPr>
          <w:b/>
          <w:sz w:val="24"/>
        </w:rPr>
        <w:t>Manual Acknowledgment and Offset Control</w:t>
      </w:r>
    </w:p>
    <w:p>
      <w:r>
        <w:t>The consumer is configured with enable.auto.commit=false and auto.offset.reset=EARLIEST, giving the application full control over offset management. Offsets are committed only through explicit manual acknowledgment, which is triggered only after the entire processing pipeline — including the PostgreSQL function execution — completes successfully. This guarantees at-least-once delivery semantics and prevents message loss in the event of partial failures.</w:t>
      </w:r>
    </w:p>
    <w:p>
      <w:r>
        <w:rPr>
          <w:b/>
          <w:sz w:val="24"/>
        </w:rPr>
        <w:t>Poison Pill Handling</w:t>
      </w:r>
    </w:p>
    <w:p>
      <w:r>
        <w:t>To guard against malformed or non-JSON messages disrupting the processing pipeline — commonly known as the poison pill problem — the application includes a defensive parsing layer. If an incoming message payload cannot be parsed as valid JSON, it is not discarded; instead, the raw string is wrapped into a structured JSON object under an invalid_messagekey and saved in the inbox table with a status of INVALID_JSON. This ensures that no message is ever silently dropped and that malformed messages are captured for investigation without blocking subsequent messages.</w:t>
      </w:r>
    </w:p>
    <w:p/>
    <w:p>
      <w:r>
        <w:rPr>
          <w:b/>
          <w:sz w:val="28"/>
        </w:rPr>
        <w:t>Producer Side — Outbox Processing</w:t>
      </w:r>
    </w:p>
    <w:p>
      <w:r>
        <w:rPr>
          <w:b/>
          <w:sz w:val="24"/>
        </w:rPr>
        <w:t>Database-Driven Producer Configuration</w:t>
      </w:r>
    </w:p>
    <w:p>
      <w:r>
        <w:t>On the producer side, all Kafka topic configurations are stored in a dedicated producer configuration table. On startup, these configurations are loaded into an in-memory map, giving the application fast access to topic-level settings such as serialization preferences, versioning flags, and routing rules — all without any hardcoded configuration.</w:t>
      </w:r>
    </w:p>
    <w:p>
      <w:r>
        <w:rPr>
          <w:b/>
          <w:sz w:val="24"/>
        </w:rPr>
        <w:t>Outbox Table and CDC via Triggers</w:t>
      </w:r>
    </w:p>
    <w:p>
      <w:r>
        <w:t>Rather than relying on external Change Data Capture tools like Debezium, the application uses native PostgreSQL triggers to detect and react to data changes. Triggers are placed on various business tables and are configured to insert corresponding rows into a central outbox table when relevant changes occur. This approach captures CDC events directly within the database transaction boundary, ensuring consistency. Additionally, the outbox table is open for direct inserts from other sources such as application UIs, external functions, or manual operations, making it a flexible integration point.</w:t>
      </w:r>
    </w:p>
    <w:p>
      <w:r>
        <w:rPr>
          <w:b/>
          <w:sz w:val="28"/>
        </w:rPr>
        <w:t>PG Notify/Listen — Event-Driven Production</w:t>
      </w:r>
    </w:p>
    <w:p>
      <w:r>
        <w:t>Instead of polling the outbox table on a schedule — which introduces latency and unnecessary database load — the application uses PostgreSQL's native NOTIFY/LISTEN mechanism for real-time event-driven message production. A trigger on the outbox table fires on every insert and calls the PostgreSQL pg_notify function with a dedicated application-specific channel name. The notification payload is a JSON object containing the row_id, message_id, and topic_name of the newly inserted row.</w:t>
      </w:r>
    </w:p>
    <w:p>
      <w:r>
        <w:t>On the Java side, a dedicated persistent database connection — intentionally created outside of the HikariCP connection pool — is established to listen on this channel. This separation is critical because PG LISTEN is a stateful, long-lived operation; HikariCP worker threads return and release connections after each operation, which would cause the listener to silently disconnect. To avoid this, a custom connection is created using Spring's DataSource properties (spring.datasource.url, username, and password), and a JdbcTemplate is used to issue the LISTEN &lt;channel_name&gt; command. A single dedicated thread maintains this connection indefinitely, waiting for incoming notifications.</w:t>
      </w:r>
    </w:p>
    <w:p>
      <w:r>
        <w:rPr>
          <w:b/>
          <w:sz w:val="24"/>
        </w:rPr>
        <w:t>Message Production Pipeline</w:t>
      </w:r>
    </w:p>
    <w:p>
      <w:r>
        <w:t>When a notification arrives, the payload is extracted and passed to the ProduceMessageService. From there, the processing logic diverges into two paths based on whether versioning (debounce logic) is enabled for the given topic.</w:t>
      </w:r>
    </w:p>
    <w:p>
      <w:r>
        <w:t>For versioning-enabled topics, a debounce window of five seconds is applied. If multiple consecutive notifications arrive for the same counterparty or entity within this window, only the latest message is forwarded to Kafka. All superseded messages are marked with a SUPERSEDED status in the outbox table, preventing redundant or stale messages from being published. This logic is handled asynchronously using ScheduledFuture, giving the application precise control over timing.</w:t>
      </w:r>
    </w:p>
    <w:p>
      <w:r>
        <w:t>For non-versioned topics, the message is produced immediately. The application fetches the full row from the outbox table using the row_id, extracts the topic name, key, value, and headers, and constructs a ProducerRecord. The headers, stored as a JSON string in the outbox, are parsed and converted into a native Kafka Headers map with byte-encoded values before being attached to the record. The record is then submitted via Spring's KafkaTemplate.</w:t>
      </w:r>
    </w:p>
    <w:p>
      <w:r>
        <w:t>Both the key and value serializers are configured as StringSerializer, with the expectation that all values are JSON strings — published as-is without additional transformation. On completion of the Kafka send future, the partition and offset returned by the broker are written back into the outbox table, providing a full audit trail of exactly where each message was produced.</w:t>
      </w:r>
    </w:p>
    <w:p>
      <w:r>
        <w:rPr>
          <w:b/>
          <w:sz w:val="24"/>
        </w:rPr>
        <w:t>AOP-Based Error Alerting</w:t>
      </w:r>
    </w:p>
    <w:p>
      <w:r>
        <w:t>The entire application is instrumented with Spring AOP. An @AfterThrowing advice is applied across critical service methods to intercept any unhandled exceptions and automatically dispatch alert emails. This provides immediate operational visibility into failures without requiring manual log monitoring or third-party alerting tools.</w:t>
      </w:r>
    </w:p>
    <w:p>
      <w:r>
        <w:rPr>
          <w:b/>
          <w:sz w:val="28"/>
        </w:rPr>
        <w:t>Startup Recovery — Failsafe Mechanism</w:t>
      </w:r>
    </w:p>
    <w:p>
      <w:r>
        <w:t>To handle scenarios where the application goes down while messages are in flight, a startup recovery mechanism is built in. On application startup, the system scans both the inbox and outbox tables for rows in a PENDING status and processes them in a separate dedicated thread before entering normal operation. This ensures that no messages are lost due to downtime, crashes, or restarts, and that the system self-heals without any manual intervention.</w:t>
      </w:r>
    </w:p>
    <w:p/>
    <w:p>
      <w:r>
        <w:rPr>
          <w:b/>
          <w:sz w:val="28"/>
        </w:rPr>
        <w:t>Technology Stack</w:t>
      </w:r>
    </w:p>
    <w:p>
      <w:r>
        <w:t>Apache Kafka · Spring Boot · Spring Kafka · Spring AOP · PostgreSQL · PG Notify/Listen · KafkaTemplate · ConcurrentMessageListenerContainer · ProducerRecord / ConsumerRecord · Base64 Encoding · ScheduledFuture · JdbcTemplate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