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Synthetic NDA acceptance fixture</w:t>
      </w:r>
    </w:p>
    <w:p>
      <w:r>
        <w:t xml:space="preserve">This mutual non-disclosure agreement is between Example Alpha Ltd and Example Beta Ltd for evaluating a fictional collaboration.</w:t>
      </w:r>
    </w:p>
    <w:p>
      <w:r>
        <w:t xml:space="preserve">Each party may use confidential information only to evaluate the collaboration.</w:t>
      </w:r>
    </w:p>
    <w:p>
      <w:r>
        <w:t xml:space="preserve">Confidentiality lasts five years from disclosure.</w:t>
      </w:r>
    </w:p>
    <w:p>
      <w:r>
        <w:t xml:space="preserve">Confidential information excludes information already public or independently developed without use of the disclosing party's information.</w:t>
      </w:r>
    </w:p>
    <w:p>
      <w:r>
        <w:t xml:space="preserve">The recipient may disclose information required by law without notifying the disclosing party.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2026-10-10T22:00:27.793Z</dcterms:created>
  <dcterms:modified xsi:type="dcterms:W3CDTF">2026-10-10T22:00:27.793Z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