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제주동백수목원은 사철 푸른 동백과 철따라 지저귀는 이름 모를 새, 풍요로움이 가득한 감귤원과 함께 남국의 정취를 느끼게 합니다. 동백나무꽃은 이른 봄에 붉은색 꽃이 피는데 매우 아름다우며, 꽃이 피는 시기에 따라 춘백, 추백, 동백으로 부릅니다.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제주동백수목원은 위미동백군락지 근처에 위치하고 있는데, 동백꽃 뿐만 아니라 일정하게 둥근 형태를 띈 수형도 아름다워 제주를 방문하시는 분들의 많은 사랑을 받고 있습니다. 사유지여서 잘 알려지지 않았지만 최근에는 입장료를 받고 사진 촬영을 허가해주고 있습니다.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제주동백수목원</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사철 푸른 동백과 철따라 지저귀는 새들</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위미리 929-4</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태위로 288</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매일 9:30~17:00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발권마감 17:00</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D">
      <w:pPr>
        <w:rPr/>
      </w:pPr>
      <w:r w:rsidDel="00000000" w:rsidR="00000000" w:rsidRPr="00000000">
        <w:rPr>
          <w:rtl w:val="0"/>
        </w:rPr>
        <w:t xml:space="preserve">064-764-4473</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