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9.png" ContentType="image/png"/>
  <Override PartName="/word/media/rId53.png" ContentType="image/png"/>
  <Override PartName="/word/media/rId95.png" ContentType="image/png"/>
  <Override PartName="/word/media/rId35.png" ContentType="image/png"/>
  <Override PartName="/word/media/rId44.png" ContentType="image/png"/>
  <Override PartName="/word/media/rId32.png" ContentType="image/png"/>
  <Override PartName="/word/media/rId41.png" ContentType="image/png"/>
  <Override PartName="/word/media/rId38.png" ContentType="image/png"/>
  <Override PartName="/word/media/rId89.png" ContentType="image/png"/>
  <Override PartName="/word/media/rId92.png" ContentType="image/png"/>
  <Override PartName="/word/media/rId24.png" ContentType="image/png"/>
  <Override PartName="/word/media/rId21.png" ContentType="image/png"/>
  <Override PartName="/word/media/rId27.png" ContentType="image/png"/>
  <Override PartName="/word/media/rId82.png" ContentType="image/png"/>
  <Override PartName="/word/media/rId79.png" ContentType="image/png"/>
  <Override PartName="/word/media/rId70.png" ContentType="image/png"/>
  <Override PartName="/word/media/rId73.png" ContentType="image/png"/>
  <Override PartName="/word/media/rId66.png" ContentType="image/png"/>
  <Override PartName="/word/media/rId63.png" ContentType="image/png"/>
  <Override PartName="/word/media/rId8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Statistical Analysis of Rainfall Variability and Regional Monsoon Patterns in India</w:t>
      </w:r>
    </w:p>
    <w:p>
      <w:pPr>
        <w:pStyle w:val="Subtitle"/>
      </w:pPr>
      <w:r>
        <w:t xml:space="preserve">An undergraduate Probability and Statistics project using India Meteorological Department rainfall records</w:t>
      </w:r>
    </w:p>
    <w:p>
      <w:pPr>
        <w:pStyle w:val="Author"/>
      </w:pPr>
      <w:r>
        <w:t xml:space="preserve">B.Tech Probability and Statistics Course Project</w:t>
      </w:r>
    </w:p>
    <w:p>
      <w:pPr>
        <w:pStyle w:val="Date"/>
      </w:pPr>
      <w:r>
        <w:t xml:space="preserve">October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r>
        <w:br w:type="page"/>
      </w:r>
    </w:p>
    <w:bookmarkStart w:id="9" w:name="title-page"/>
    <w:p>
      <w:pPr>
        <w:pStyle w:val="Heading1"/>
      </w:pPr>
      <w:r>
        <w:t xml:space="preserve">Title page</w:t>
      </w:r>
    </w:p>
    <w:p>
      <w:pPr>
        <w:pStyle w:val="FirstParagraph"/>
      </w:pPr>
      <w:r>
        <w:rPr>
          <w:b/>
          <w:bCs/>
        </w:rPr>
        <w:t xml:space="preserve">Project title.</w:t>
      </w:r>
      <w:r>
        <w:t xml:space="preserve"> </w:t>
      </w:r>
      <w:r>
        <w:t xml:space="preserve">Statistical Analysis of Rainfall Variability and Regional Monsoon Patterns in India</w:t>
      </w:r>
    </w:p>
    <w:p>
      <w:pPr>
        <w:pStyle w:val="BodyText"/>
      </w:pPr>
      <w:r>
        <w:rPr>
          <w:b/>
          <w:bCs/>
        </w:rPr>
        <w:t xml:space="preserve">Course.</w:t>
      </w:r>
      <w:r>
        <w:t xml:space="preserve"> </w:t>
      </w:r>
      <w:r>
        <w:t xml:space="preserve">Probability and Statistics (undergraduate / B.Tech)</w:t>
      </w:r>
    </w:p>
    <w:p>
      <w:pPr>
        <w:pStyle w:val="BodyText"/>
      </w:pPr>
      <w:r>
        <w:rPr>
          <w:b/>
          <w:bCs/>
        </w:rPr>
        <w:t xml:space="preserve">Software.</w:t>
      </w:r>
      <w:r>
        <w:t xml:space="preserve"> </w:t>
      </w:r>
      <w:r>
        <w:t xml:space="preserve">R 4.6.1 and RStudio; analysis scripts in</w:t>
      </w:r>
      <w:r>
        <w:t xml:space="preserve"> </w:t>
      </w:r>
      <w:r>
        <w:rPr>
          <w:rStyle w:val="VerbatimChar"/>
        </w:rPr>
        <w:t xml:space="preserve">R_code/</w:t>
      </w:r>
    </w:p>
    <w:p>
      <w:pPr>
        <w:pStyle w:val="BodyText"/>
      </w:pPr>
      <w:r>
        <w:rPr>
          <w:b/>
          <w:bCs/>
        </w:rPr>
        <w:t xml:space="preserve">Data.</w:t>
      </w:r>
      <w:r>
        <w:t xml:space="preserve"> </w:t>
      </w:r>
      <w:r>
        <w:t xml:space="preserve">India Meteorological Department (IMD) area-weighted all-India rainfall, 1901–2015, and IMD meteorological subdivision rainfall, 1901–2017</w:t>
      </w:r>
    </w:p>
    <w:p>
      <w:pPr>
        <w:pStyle w:val="BodyText"/>
      </w:pPr>
      <w:r>
        <w:rPr>
          <w:b/>
          <w:bCs/>
        </w:rPr>
        <w:t xml:space="preserve">Units.</w:t>
      </w:r>
      <w:r>
        <w:t xml:space="preserve"> </w:t>
      </w:r>
      <w:r>
        <w:t xml:space="preserve">Millimetres (mm) throughout</w:t>
      </w:r>
    </w:p>
    <w:p>
      <w:pPr>
        <w:pStyle w:val="BodyText"/>
      </w:pPr>
      <w:r>
        <w:rPr>
          <w:b/>
          <w:bCs/>
        </w:rPr>
        <w:t xml:space="preserve">Declaration.</w:t>
      </w:r>
      <w:r>
        <w:t xml:space="preserve"> </w:t>
      </w:r>
      <w:r>
        <w:t xml:space="preserve">All numerical results in this report are taken from the project’s saved R outputs. No external rainfall datasets were added, and no values were invented. Student name, roll number and institution should be written here before submission.</w:t>
      </w:r>
    </w:p>
    <w:p>
      <w:r>
        <w:br w:type="page"/>
      </w:r>
    </w:p>
    <w:bookmarkEnd w:id="9"/>
    <w:bookmarkStart w:id="10" w:name="abstract"/>
    <w:p>
      <w:pPr>
        <w:pStyle w:val="Heading1"/>
      </w:pPr>
      <w:r>
        <w:t xml:space="preserve">Abstract</w:t>
      </w:r>
    </w:p>
    <w:p>
      <w:pPr>
        <w:pStyle w:val="FirstParagraph"/>
      </w:pPr>
      <w:r>
        <w:t xml:space="preserve">This project studies rainfall variability and monsoon patterns over India using two official India Meteorological Department (IMD) series: an all-India</w:t>
      </w:r>
      <w:r>
        <w:t xml:space="preserve"> </w:t>
      </w:r>
      <w:r>
        <w:rPr>
          <w:b/>
          <w:bCs/>
        </w:rPr>
        <w:t xml:space="preserve">area-weighted</w:t>
      </w:r>
      <w:r>
        <w:t xml:space="preserve"> </w:t>
      </w:r>
      <w:r>
        <w:t xml:space="preserve">monthly-to-annual record for 1901–2015 (</w:t>
      </w:r>
      <m:oMath>
        <m:r>
          <m:t>n</m:t>
        </m:r>
        <m:r>
          <m:rPr>
            <m:sty m:val="p"/>
          </m:rPr>
          <m:t>=</m:t>
        </m:r>
        <m:r>
          <m:t>115</m:t>
        </m:r>
      </m:oMath>
      <w:r>
        <w:t xml:space="preserve"> </w:t>
      </w:r>
      <w:r>
        <w:t xml:space="preserve">complete years) and a panel of</w:t>
      </w:r>
      <w:r>
        <w:t xml:space="preserve"> </w:t>
      </w:r>
      <w:r>
        <w:rPr>
          <w:b/>
          <w:bCs/>
        </w:rPr>
        <w:t xml:space="preserve">36 meteorological subdivisions</w:t>
      </w:r>
      <w:r>
        <w:t xml:space="preserve"> </w:t>
      </w:r>
      <w:r>
        <w:t xml:space="preserve">for 1901–2017. After a documented quality audit, the original CSV files were left unchanged and analysis copies were used. All-India mean annual rainfall is 1182.03 mm (median 1190.50 mm; SD 110.69 mm; CV 9.36%). About three-quarters of that mean (75.3%) falls in June–September. Historical relative frequencies, with an IMD-style 90%/110% rule applied to</w:t>
      </w:r>
      <w:r>
        <w:t xml:space="preserve"> </w:t>
      </w:r>
      <w:r>
        <w:rPr>
          <w:i/>
          <w:iCs/>
        </w:rPr>
        <w:t xml:space="preserve">this</w:t>
      </w:r>
      <w:r>
        <w:t xml:space="preserve"> </w:t>
      </w:r>
      <w:r>
        <w:t xml:space="preserve">series mean, classify 21.7% of years as deficient monsoon, 64.3% as normal and 13.9% as excess. All-India annual totals are close to both a normal and a gamma model (Shapiro–Wilk</w:t>
      </w:r>
      <w:r>
        <w:t xml:space="preserve"> </w:t>
      </w:r>
      <m:oMath>
        <m:r>
          <m:t>p</m:t>
        </m:r>
        <m:r>
          <m:rPr>
            <m:sty m:val="p"/>
          </m:rPr>
          <m:t>=</m:t>
        </m:r>
      </m:oMath>
      <w:r>
        <w:t xml:space="preserve"> </w:t>
      </w:r>
      <w:r>
        <w:t xml:space="preserve">0.8014; bootstrap Kolmogorov–Smirnov</w:t>
      </w:r>
      <w:r>
        <w:t xml:space="preserve"> </w:t>
      </w:r>
      <m:oMath>
        <m:r>
          <m:t>p</m:t>
        </m:r>
        <m:r>
          <m:rPr>
            <m:sty m:val="p"/>
          </m:rPr>
          <m:t>=</m:t>
        </m:r>
      </m:oMath>
      <w:r>
        <w:t xml:space="preserve"> </w:t>
      </w:r>
      <w:r>
        <w:t xml:space="preserve">0.3725 for gamma); an exponential model is incompatible with the data. A 95%</w:t>
      </w:r>
      <w:r>
        <w:t xml:space="preserve"> </w:t>
      </w:r>
      <m:oMath>
        <m:r>
          <m:t>t</m:t>
        </m:r>
      </m:oMath>
      <w:r>
        <w:t xml:space="preserve"> </w:t>
      </w:r>
      <w:r>
        <w:t xml:space="preserve">interval for the all-India mean annual total is 1161.59 to 1202.48 mm under an independent-years approximation. Tests confirm the expected climatic contrasts (southwest monsoon versus post-monsoon; Kerala versus West Rajasthan) and do</w:t>
      </w:r>
      <w:r>
        <w:t xml:space="preserve"> </w:t>
      </w:r>
      <w:r>
        <w:rPr>
          <w:b/>
          <w:bCs/>
        </w:rPr>
        <w:t xml:space="preserve">not</w:t>
      </w:r>
      <w:r>
        <w:t xml:space="preserve"> </w:t>
      </w:r>
      <w:r>
        <w:t xml:space="preserve">detect a statistically significant linear or Mann–Kendall trend in all-India annual rainfall over 1901–2015. Serial correlation at lag 2 and the fact that years are a single climate path, not a simple random sample, limit causal language. Correlation is not treated as causation, and this analysis does not prove climate change.</w:t>
      </w:r>
    </w:p>
    <w:bookmarkEnd w:id="10"/>
    <w:bookmarkStart w:id="11" w:name="introduction"/>
    <w:p>
      <w:pPr>
        <w:pStyle w:val="Heading1"/>
      </w:pPr>
      <w:r>
        <w:t xml:space="preserve">Introduction</w:t>
      </w:r>
    </w:p>
    <w:p>
      <w:pPr>
        <w:pStyle w:val="FirstParagraph"/>
      </w:pPr>
      <w:r>
        <w:t xml:space="preserve">Rainfall over India is concentrated in a few months, varies sharply from the Western Ghats and north-east to the Thar Desert, and is the main natural control on agriculture and water supply. Undergraduate Probability and Statistics is well suited to this topic: the data are continuous millimetre measurements, they come in months, seasons and years, and they exist both as a national series and as regional series.</w:t>
      </w:r>
    </w:p>
    <w:p>
      <w:pPr>
        <w:pStyle w:val="BodyText"/>
      </w:pPr>
      <w:r>
        <w:t xml:space="preserve">The scientific aim is modest and honest. The project</w:t>
      </w:r>
      <w:r>
        <w:t xml:space="preserve"> </w:t>
      </w:r>
      <w:r>
        <w:rPr>
          <w:b/>
          <w:bCs/>
        </w:rPr>
        <w:t xml:space="preserve">describes</w:t>
      </w:r>
      <w:r>
        <w:t xml:space="preserve"> </w:t>
      </w:r>
      <w:r>
        <w:t xml:space="preserve">the 1901–2015 all-India record and</w:t>
      </w:r>
      <w:r>
        <w:t xml:space="preserve"> </w:t>
      </w:r>
      <w:r>
        <w:rPr>
          <w:b/>
          <w:bCs/>
        </w:rPr>
        <w:t xml:space="preserve">compares</w:t>
      </w:r>
      <w:r>
        <w:t xml:space="preserve"> </w:t>
      </w:r>
      <w:r>
        <w:t xml:space="preserve">selected IMD subdivisions. It estimates means and proportions with confidence intervals, tests clearly stated hypotheses, fits simple probability models, and looks for monotonic association with time. It does not reconstruct daily storms, does not downscale climate models, and does not attribute rainfall change to greenhouse gases.</w:t>
      </w:r>
    </w:p>
    <w:p>
      <w:pPr>
        <w:pStyle w:val="BodyText"/>
      </w:pPr>
      <w:r>
        <w:t xml:space="preserve">Two government files already in</w:t>
      </w:r>
      <w:r>
        <w:t xml:space="preserve"> </w:t>
      </w:r>
      <w:r>
        <w:rPr>
          <w:rStyle w:val="VerbatimChar"/>
        </w:rPr>
        <w:t xml:space="preserve">data/</w:t>
      </w:r>
      <w:r>
        <w:t xml:space="preserve"> </w:t>
      </w:r>
      <w:r>
        <w:t xml:space="preserve">are used and never replaced. Scripts</w:t>
      </w:r>
      <w:r>
        <w:t xml:space="preserve"> </w:t>
      </w:r>
      <w:r>
        <w:rPr>
          <w:rStyle w:val="VerbatimChar"/>
        </w:rPr>
        <w:t xml:space="preserve">R_code/01</w:t>
      </w:r>
      <w:r>
        <w:t xml:space="preserve">–</w:t>
      </w:r>
      <w:r>
        <w:rPr>
          <w:rStyle w:val="VerbatimChar"/>
        </w:rPr>
        <w:t xml:space="preserve">09</w:t>
      </w:r>
      <w:r>
        <w:t xml:space="preserve"> </w:t>
      </w:r>
      <w:r>
        <w:t xml:space="preserve">produce the tables in</w:t>
      </w:r>
      <w:r>
        <w:t xml:space="preserve"> </w:t>
      </w:r>
      <w:r>
        <w:rPr>
          <w:rStyle w:val="VerbatimChar"/>
        </w:rPr>
        <w:t xml:space="preserve">results/tables/</w:t>
      </w:r>
      <w:r>
        <w:t xml:space="preserve"> </w:t>
      </w:r>
      <w:r>
        <w:t xml:space="preserve">and the figures in</w:t>
      </w:r>
      <w:r>
        <w:t xml:space="preserve"> </w:t>
      </w:r>
      <w:r>
        <w:rPr>
          <w:rStyle w:val="VerbatimChar"/>
        </w:rPr>
        <w:t xml:space="preserve">graphs/</w:t>
      </w:r>
      <w:r>
        <w:t xml:space="preserve">. This report cites those artefacts.</w:t>
      </w:r>
    </w:p>
    <w:bookmarkEnd w:id="11"/>
    <w:bookmarkStart w:id="12" w:name="problem-statement"/>
    <w:p>
      <w:pPr>
        <w:pStyle w:val="Heading1"/>
      </w:pPr>
      <w:r>
        <w:t xml:space="preserve">Problem statement</w:t>
      </w:r>
    </w:p>
    <w:p>
      <w:pPr>
        <w:pStyle w:val="FirstParagraph"/>
      </w:pPr>
      <w:r>
        <w:t xml:space="preserve">Decision makers often quote a single “average Indian rainfall” and a simple wet/dry story. The data are richer and more awkward than that slogan:</w:t>
      </w:r>
    </w:p>
    <w:p>
      <w:pPr>
        <w:pStyle w:val="Compact"/>
        <w:numPr>
          <w:ilvl w:val="0"/>
          <w:numId w:val="1001"/>
        </w:numPr>
      </w:pPr>
      <w:r>
        <w:t xml:space="preserve">The national series is</w:t>
      </w:r>
      <w:r>
        <w:t xml:space="preserve"> </w:t>
      </w:r>
      <w:r>
        <w:rPr>
          <w:b/>
          <w:bCs/>
        </w:rPr>
        <w:t xml:space="preserve">area-weighted</w:t>
      </w:r>
      <w:r>
        <w:t xml:space="preserve">. It is not the unweighted mean of 36 subdivisions.</w:t>
      </w:r>
    </w:p>
    <w:p>
      <w:pPr>
        <w:pStyle w:val="Compact"/>
        <w:numPr>
          <w:ilvl w:val="0"/>
          <w:numId w:val="1001"/>
        </w:numPr>
      </w:pPr>
      <w:r>
        <w:t xml:space="preserve">Many subdivision years are missing some months. Annual totals are then undefined unless missing months are ignored, which would be incorrect.</w:t>
      </w:r>
    </w:p>
    <w:p>
      <w:pPr>
        <w:pStyle w:val="Compact"/>
        <w:numPr>
          <w:ilvl w:val="0"/>
          <w:numId w:val="1001"/>
        </w:numPr>
      </w:pPr>
      <w:r>
        <w:t xml:space="preserve">Rainfall is bounded below by zero, often skewed in dry months, and ordered in time, so textbook normal and independent-sample assumptions need checking.</w:t>
      </w:r>
    </w:p>
    <w:p>
      <w:pPr>
        <w:pStyle w:val="Compact"/>
        <w:numPr>
          <w:ilvl w:val="0"/>
          <w:numId w:val="1001"/>
        </w:numPr>
      </w:pPr>
      <w:r>
        <w:t xml:space="preserve">Seasonal totals that add up to the annual total must not be correlated with the annual total as if they were independent causes.</w:t>
      </w:r>
    </w:p>
    <w:p>
      <w:pPr>
        <w:pStyle w:val="FirstParagraph"/>
      </w:pPr>
      <w:r>
        <w:t xml:space="preserve">The problem is therefore to apply a wide, but</w:t>
      </w:r>
      <w:r>
        <w:t xml:space="preserve"> </w:t>
      </w:r>
      <w:r>
        <w:rPr>
          <w:i/>
          <w:iCs/>
        </w:rPr>
        <w:t xml:space="preserve">justified</w:t>
      </w:r>
      <w:r>
        <w:t xml:space="preserve">, set of probability and statistics tools to these two series, to report what the numbers support, and to state clearly what they do not support.</w:t>
      </w:r>
    </w:p>
    <w:bookmarkEnd w:id="12"/>
    <w:bookmarkStart w:id="13" w:name="aim-and-objectives"/>
    <w:p>
      <w:pPr>
        <w:pStyle w:val="Heading1"/>
      </w:pPr>
      <w:r>
        <w:t xml:space="preserve">Aim and objectives</w:t>
      </w:r>
    </w:p>
    <w:p>
      <w:pPr>
        <w:pStyle w:val="FirstParagraph"/>
      </w:pPr>
      <w:r>
        <w:rPr>
          <w:b/>
          <w:bCs/>
        </w:rPr>
        <w:t xml:space="preserve">Aim.</w:t>
      </w:r>
      <w:r>
        <w:t xml:space="preserve"> </w:t>
      </w:r>
      <w:r>
        <w:t xml:space="preserve">To quantify rainfall variability and regional monsoon contrasts in India from official IMD records using standard methods of Probability and Statistics, with fully reproducible R code.</w:t>
      </w:r>
    </w:p>
    <w:p>
      <w:pPr>
        <w:pStyle w:val="BodyText"/>
      </w:pPr>
      <w:r>
        <w:rPr>
          <w:b/>
          <w:bCs/>
        </w:rPr>
        <w:t xml:space="preserve">Objectives.</w:t>
      </w:r>
    </w:p>
    <w:p>
      <w:pPr>
        <w:pStyle w:val="Compact"/>
        <w:numPr>
          <w:ilvl w:val="0"/>
          <w:numId w:val="1002"/>
        </w:numPr>
      </w:pPr>
      <w:r>
        <w:t xml:space="preserve">Audit and clean the two source files without fabricating rainfall.</w:t>
      </w:r>
    </w:p>
    <w:p>
      <w:pPr>
        <w:pStyle w:val="Compact"/>
        <w:numPr>
          <w:ilvl w:val="0"/>
          <w:numId w:val="1002"/>
        </w:numPr>
      </w:pPr>
      <w:r>
        <w:t xml:space="preserve">Describe monthly, seasonal, annual and regional rainfall with appropriate summaries.</w:t>
      </w:r>
    </w:p>
    <w:p>
      <w:pPr>
        <w:pStyle w:val="Compact"/>
        <w:numPr>
          <w:ilvl w:val="0"/>
          <w:numId w:val="1002"/>
        </w:numPr>
      </w:pPr>
      <w:r>
        <w:t xml:space="preserve">Compute empirical probabilities with explicit thresholds and denominators.</w:t>
      </w:r>
    </w:p>
    <w:p>
      <w:pPr>
        <w:pStyle w:val="Compact"/>
        <w:numPr>
          <w:ilvl w:val="0"/>
          <w:numId w:val="1002"/>
        </w:numPr>
      </w:pPr>
      <w:r>
        <w:t xml:space="preserve">Assess normal, gamma and exponential models, including zeros where they occur.</w:t>
      </w:r>
    </w:p>
    <w:p>
      <w:pPr>
        <w:pStyle w:val="Compact"/>
        <w:numPr>
          <w:ilvl w:val="0"/>
          <w:numId w:val="1002"/>
        </w:numPr>
      </w:pPr>
      <w:r>
        <w:t xml:space="preserve">Demonstrate sampling variability, the Central Limit Theorem, and confidence intervals.</w:t>
      </w:r>
    </w:p>
    <w:p>
      <w:pPr>
        <w:pStyle w:val="Compact"/>
        <w:numPr>
          <w:ilvl w:val="0"/>
          <w:numId w:val="1002"/>
        </w:numPr>
      </w:pPr>
      <w:r>
        <w:t xml:space="preserve">Test pre-registered hypotheses at</w:t>
      </w:r>
      <w:r>
        <w:t xml:space="preserve"> </w:t>
      </w:r>
      <m:oMath>
        <m:r>
          <m:t>α</m:t>
        </m:r>
        <m:r>
          <m:rPr>
            <m:sty m:val="p"/>
          </m:rPr>
          <m:t>=</m:t>
        </m:r>
        <m:r>
          <m:t>0.05</m:t>
        </m:r>
      </m:oMath>
      <w:r>
        <w:t xml:space="preserve">.</w:t>
      </w:r>
    </w:p>
    <w:p>
      <w:pPr>
        <w:pStyle w:val="Compact"/>
        <w:numPr>
          <w:ilvl w:val="0"/>
          <w:numId w:val="1002"/>
        </w:numPr>
      </w:pPr>
      <w:r>
        <w:t xml:space="preserve">Study association among</w:t>
      </w:r>
      <w:r>
        <w:t xml:space="preserve"> </w:t>
      </w:r>
      <w:r>
        <w:rPr>
          <w:i/>
          <w:iCs/>
        </w:rPr>
        <w:t xml:space="preserve">different</w:t>
      </w:r>
      <w:r>
        <w:t xml:space="preserve"> </w:t>
      </w:r>
      <w:r>
        <w:t xml:space="preserve">seasons, not part–whole pairs.</w:t>
      </w:r>
    </w:p>
    <w:p>
      <w:pPr>
        <w:pStyle w:val="Compact"/>
        <w:numPr>
          <w:ilvl w:val="0"/>
          <w:numId w:val="1002"/>
        </w:numPr>
      </w:pPr>
      <w:r>
        <w:t xml:space="preserve">Fit simple and multiple linear regressions only where a question exists.</w:t>
      </w:r>
    </w:p>
    <w:p>
      <w:pPr>
        <w:pStyle w:val="Compact"/>
        <w:numPr>
          <w:ilvl w:val="0"/>
          <w:numId w:val="1002"/>
        </w:numPr>
      </w:pPr>
      <w:r>
        <w:t xml:space="preserve">Compare regions with ANOVA or a robust alternative after checking variances.</w:t>
      </w:r>
    </w:p>
    <w:p>
      <w:pPr>
        <w:pStyle w:val="Compact"/>
        <w:numPr>
          <w:ilvl w:val="0"/>
          <w:numId w:val="1002"/>
        </w:numPr>
      </w:pPr>
      <w:r>
        <w:t xml:space="preserve">Describe time series behaviour and test for monotonic trend without claiming attribution.</w:t>
      </w:r>
    </w:p>
    <w:bookmarkEnd w:id="13"/>
    <w:bookmarkStart w:id="14" w:name="research-questions"/>
    <w:p>
      <w:pPr>
        <w:pStyle w:val="Heading1"/>
      </w:pPr>
      <w:r>
        <w:t xml:space="preserve">Research questions</w:t>
      </w:r>
    </w:p>
    <w:p>
      <w:pPr>
        <w:pStyle w:val="Compact"/>
        <w:numPr>
          <w:ilvl w:val="0"/>
          <w:numId w:val="1003"/>
        </w:numPr>
      </w:pPr>
      <w:r>
        <w:t xml:space="preserve">What are the location, spread and shape of all-India monthly, seasonal and annual rainfall in 1901–2015?</w:t>
      </w:r>
    </w:p>
    <w:p>
      <w:pPr>
        <w:pStyle w:val="Compact"/>
        <w:numPr>
          <w:ilvl w:val="0"/>
          <w:numId w:val="1003"/>
        </w:numPr>
      </w:pPr>
      <w:r>
        <w:t xml:space="preserve">How often, in this record, was the southwest monsoon deficient, normal or excess under a stated 90%/110% rule?</w:t>
      </w:r>
    </w:p>
    <w:p>
      <w:pPr>
        <w:pStyle w:val="Compact"/>
        <w:numPr>
          <w:ilvl w:val="0"/>
          <w:numId w:val="1003"/>
        </w:numPr>
      </w:pPr>
      <w:r>
        <w:t xml:space="preserve">Is a normal, gamma or exponential law a reasonable model for all-India annual rainfall?</w:t>
      </w:r>
    </w:p>
    <w:p>
      <w:pPr>
        <w:pStyle w:val="Compact"/>
        <w:numPr>
          <w:ilvl w:val="0"/>
          <w:numId w:val="1003"/>
        </w:numPr>
      </w:pPr>
      <w:r>
        <w:t xml:space="preserve">How precise is the estimated all-India mean, and how does interval width change with confidence level?</w:t>
      </w:r>
    </w:p>
    <w:p>
      <w:pPr>
        <w:pStyle w:val="Compact"/>
        <w:numPr>
          <w:ilvl w:val="0"/>
          <w:numId w:val="1003"/>
        </w:numPr>
      </w:pPr>
      <w:r>
        <w:t xml:space="preserve">Does the all-India mean differ from a 1180 mm textbook benchmark?</w:t>
      </w:r>
    </w:p>
    <w:p>
      <w:pPr>
        <w:pStyle w:val="Compact"/>
        <w:numPr>
          <w:ilvl w:val="0"/>
          <w:numId w:val="1003"/>
        </w:numPr>
      </w:pPr>
      <w:r>
        <w:t xml:space="preserve">Do Kerala and West Rajasthan differ in mean annual rainfall?</w:t>
      </w:r>
    </w:p>
    <w:p>
      <w:pPr>
        <w:pStyle w:val="Compact"/>
        <w:numPr>
          <w:ilvl w:val="0"/>
          <w:numId w:val="1003"/>
        </w:numPr>
      </w:pPr>
      <w:r>
        <w:t xml:space="preserve">Within the same year, does June–September rainfall differ from October–December rainfall?</w:t>
      </w:r>
    </w:p>
    <w:p>
      <w:pPr>
        <w:pStyle w:val="Compact"/>
        <w:numPr>
          <w:ilvl w:val="0"/>
          <w:numId w:val="1003"/>
        </w:numPr>
      </w:pPr>
      <w:r>
        <w:t xml:space="preserve">Are the four IMD seasons equally likely to be the wettest season?</w:t>
      </w:r>
    </w:p>
    <w:p>
      <w:pPr>
        <w:pStyle w:val="Compact"/>
        <w:numPr>
          <w:ilvl w:val="0"/>
          <w:numId w:val="1003"/>
        </w:numPr>
      </w:pPr>
      <w:r>
        <w:t xml:space="preserve">How strongly are winter and monsoon rainfall associated?</w:t>
      </w:r>
    </w:p>
    <w:p>
      <w:pPr>
        <w:pStyle w:val="Compact"/>
        <w:numPr>
          <w:ilvl w:val="0"/>
          <w:numId w:val="1003"/>
        </w:numPr>
      </w:pPr>
      <w:r>
        <w:t xml:space="preserve">Is there a statistically detectable linear or monotonic trend in all-India annual rainfall over 1901–2015?</w:t>
      </w:r>
    </w:p>
    <w:p>
      <w:pPr>
        <w:pStyle w:val="Compact"/>
        <w:numPr>
          <w:ilvl w:val="0"/>
          <w:numId w:val="1003"/>
        </w:numPr>
      </w:pPr>
      <w:r>
        <w:t xml:space="preserve">How do mean rainfall and relative variability differ among IMD subdivisions?</w:t>
      </w:r>
    </w:p>
    <w:bookmarkEnd w:id="14"/>
    <w:bookmarkStart w:id="18" w:name="X894d194ce1099d8ce0b99fc131ec6b1ac2f2855"/>
    <w:p>
      <w:pPr>
        <w:pStyle w:val="Heading1"/>
      </w:pPr>
      <w:r>
        <w:t xml:space="preserve">Dataset descriptions and official sources</w:t>
      </w:r>
    </w:p>
    <w:bookmarkStart w:id="15" w:name="provenance"/>
    <w:p>
      <w:pPr>
        <w:pStyle w:val="Heading2"/>
      </w:pPr>
      <w:r>
        <w:t xml:space="preserve">Provenance</w:t>
      </w:r>
    </w:p>
    <w:p>
      <w:pPr>
        <w:pStyle w:val="FirstParagraph"/>
      </w:pPr>
      <w:r>
        <w:t xml:space="preserve">Both files are rainfall series of the</w:t>
      </w:r>
      <w:r>
        <w:t xml:space="preserve"> </w:t>
      </w:r>
      <w:r>
        <w:rPr>
          <w:b/>
          <w:bCs/>
        </w:rPr>
        <w:t xml:space="preserve">India Meteorological Department (IMD), Ministry of Earth Sciences, Government of India</w:t>
      </w:r>
      <w:r>
        <w:t xml:space="preserve">. They were supplied as CSV files in</w:t>
      </w:r>
      <w:r>
        <w:t xml:space="preserve"> </w:t>
      </w:r>
      <w:r>
        <w:rPr>
          <w:rStyle w:val="VerbatimChar"/>
        </w:rPr>
        <w:t xml:space="preserve">data/</w:t>
      </w:r>
      <w:r>
        <w:t xml:space="preserve"> </w:t>
      </w:r>
      <w:r>
        <w:t xml:space="preserve">and were not downloaded from third-party contest sites for this project.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File</w:t>
            </w:r>
          </w:p>
        </w:tc>
        <w:tc>
          <w:tcPr/>
          <w:p>
            <w:pPr>
              <w:pStyle w:val="Compact"/>
            </w:pPr>
            <w:r>
              <w:t xml:space="preserve">Spatial support</w:t>
            </w:r>
          </w:p>
        </w:tc>
        <w:tc>
          <w:tcPr/>
          <w:p>
            <w:pPr>
              <w:pStyle w:val="Compact"/>
            </w:pPr>
            <w:r>
              <w:t xml:space="preserve">Time span in file</w:t>
            </w:r>
          </w:p>
        </w:tc>
        <w:tc>
          <w:tcPr/>
          <w:p>
            <w:pPr>
              <w:pStyle w:val="Compact"/>
            </w:pPr>
            <w:r>
              <w:t xml:space="preserve">Role in this project</w:t>
            </w:r>
          </w:p>
        </w:tc>
      </w:tr>
      <w:tr>
        <w:tc>
          <w:tcPr/>
          <w:p>
            <w:pPr>
              <w:pStyle w:val="Compact"/>
            </w:pPr>
            <w:r>
              <w:rPr>
                <w:rStyle w:val="VerbatimChar"/>
              </w:rPr>
              <w:t xml:space="preserve">data/rainfall_area-wt_India_1901-2015.csv</w:t>
            </w:r>
          </w:p>
        </w:tc>
        <w:tc>
          <w:tcPr/>
          <w:p>
            <w:pPr>
              <w:pStyle w:val="Compact"/>
            </w:pPr>
            <w:r>
              <w:t xml:space="preserve">One all-India area-weighted series (</w:t>
            </w:r>
            <w:r>
              <w:rPr>
                <w:rStyle w:val="VerbatimChar"/>
              </w:rPr>
              <w:t xml:space="preserve">REGION = INDIA</w:t>
            </w:r>
            <w:r>
              <w:t xml:space="preserve">)</w:t>
            </w:r>
          </w:p>
        </w:tc>
        <w:tc>
          <w:tcPr/>
          <w:p>
            <w:pPr>
              <w:pStyle w:val="Compact"/>
            </w:pPr>
            <w:r>
              <w:t xml:space="preserve">1901–2015</w:t>
            </w:r>
          </w:p>
        </w:tc>
        <w:tc>
          <w:tcPr/>
          <w:p>
            <w:pPr>
              <w:pStyle w:val="Compact"/>
            </w:pPr>
            <w:r>
              <w:t xml:space="preserve">National climatology, distributions, inference, trend</w:t>
            </w:r>
          </w:p>
        </w:tc>
      </w:tr>
      <w:tr>
        <w:tc>
          <w:tcPr/>
          <w:p>
            <w:pPr>
              <w:pStyle w:val="Compact"/>
            </w:pPr>
            <w:r>
              <w:rPr>
                <w:rStyle w:val="VerbatimChar"/>
              </w:rPr>
              <w:t xml:space="preserve">data/Sub_Division_IMD_2017.csv</w:t>
            </w:r>
          </w:p>
        </w:tc>
        <w:tc>
          <w:tcPr/>
          <w:p>
            <w:pPr>
              <w:pStyle w:val="Compact"/>
            </w:pPr>
            <w:r>
              <w:t xml:space="preserve">36 IMD meteorological subdivisions</w:t>
            </w:r>
          </w:p>
        </w:tc>
        <w:tc>
          <w:tcPr/>
          <w:p>
            <w:pPr>
              <w:pStyle w:val="Compact"/>
            </w:pPr>
            <w:r>
              <w:t xml:space="preserve">1901–2017 (unbalanced)</w:t>
            </w:r>
          </w:p>
        </w:tc>
        <w:tc>
          <w:tcPr/>
          <w:p>
            <w:pPr>
              <w:pStyle w:val="Compact"/>
            </w:pPr>
            <w:r>
              <w:t xml:space="preserve">Regional means, CV, ANOVA, selected regional trends</w:t>
            </w:r>
          </w:p>
        </w:tc>
      </w:tr>
    </w:tbl>
    <w:bookmarkEnd w:id="15"/>
    <w:bookmarkStart w:id="16" w:name="schema-actually-used"/>
    <w:p>
      <w:pPr>
        <w:pStyle w:val="Heading2"/>
      </w:pPr>
      <w:r>
        <w:t xml:space="preserve">Schema actually used</w:t>
      </w:r>
    </w:p>
    <w:p>
      <w:pPr>
        <w:pStyle w:val="FirstParagraph"/>
      </w:pPr>
      <w:r>
        <w:t xml:space="preserve">The national file has columns</w:t>
      </w:r>
      <w:r>
        <w:t xml:space="preserve"> </w:t>
      </w:r>
      <w:r>
        <w:rPr>
          <w:rStyle w:val="VerbatimChar"/>
        </w:rPr>
        <w:t xml:space="preserve">REGION</w:t>
      </w:r>
      <w:r>
        <w:t xml:space="preserve">,</w:t>
      </w:r>
      <w:r>
        <w:t xml:space="preserve"> </w:t>
      </w:r>
      <w:r>
        <w:rPr>
          <w:rStyle w:val="VerbatimChar"/>
        </w:rPr>
        <w:t xml:space="preserve">YEAR</w:t>
      </w:r>
      <w:r>
        <w:t xml:space="preserve">, months</w:t>
      </w:r>
      <w:r>
        <w:t xml:space="preserve"> </w:t>
      </w:r>
      <w:r>
        <w:rPr>
          <w:rStyle w:val="VerbatimChar"/>
        </w:rPr>
        <w:t xml:space="preserve">JAN</w:t>
      </w:r>
      <w:r>
        <w:t xml:space="preserve">–</w:t>
      </w:r>
      <w:r>
        <w:rPr>
          <w:rStyle w:val="VerbatimChar"/>
        </w:rPr>
        <w:t xml:space="preserve">DEC</w:t>
      </w:r>
      <w:r>
        <w:t xml:space="preserve">,</w:t>
      </w:r>
      <w:r>
        <w:t xml:space="preserve"> </w:t>
      </w:r>
      <w:r>
        <w:rPr>
          <w:rStyle w:val="VerbatimChar"/>
        </w:rPr>
        <w:t xml:space="preserve">ANNUAL</w:t>
      </w:r>
      <w:r>
        <w:t xml:space="preserve">, and seasons</w:t>
      </w:r>
      <w:r>
        <w:t xml:space="preserve"> </w:t>
      </w:r>
      <w:r>
        <w:rPr>
          <w:rStyle w:val="VerbatimChar"/>
        </w:rPr>
        <w:t xml:space="preserve">Jan-Feb</w:t>
      </w:r>
      <w:r>
        <w:t xml:space="preserve">,</w:t>
      </w:r>
      <w:r>
        <w:t xml:space="preserve"> </w:t>
      </w:r>
      <w:r>
        <w:rPr>
          <w:rStyle w:val="VerbatimChar"/>
        </w:rPr>
        <w:t xml:space="preserve">Mar-May</w:t>
      </w:r>
      <w:r>
        <w:t xml:space="preserve">,</w:t>
      </w:r>
      <w:r>
        <w:t xml:space="preserve"> </w:t>
      </w:r>
      <w:r>
        <w:rPr>
          <w:rStyle w:val="VerbatimChar"/>
        </w:rPr>
        <w:t xml:space="preserve">Jun-Sep</w:t>
      </w:r>
      <w:r>
        <w:t xml:space="preserve">,</w:t>
      </w:r>
      <w:r>
        <w:t xml:space="preserve"> </w:t>
      </w:r>
      <w:r>
        <w:rPr>
          <w:rStyle w:val="VerbatimChar"/>
        </w:rPr>
        <w:t xml:space="preserve">Oct-Dec</w:t>
      </w:r>
      <w:r>
        <w:t xml:space="preserve">.</w:t>
      </w:r>
    </w:p>
    <w:p>
      <w:pPr>
        <w:pStyle w:val="BodyText"/>
      </w:pPr>
      <w:r>
        <w:t xml:space="preserve">The subdivision file has</w:t>
      </w:r>
      <w:r>
        <w:t xml:space="preserve"> </w:t>
      </w:r>
      <w:r>
        <w:rPr>
          <w:rStyle w:val="VerbatimChar"/>
        </w:rPr>
        <w:t xml:space="preserve">SUBDIVISION</w:t>
      </w:r>
      <w:r>
        <w:t xml:space="preserve">,</w:t>
      </w:r>
      <w:r>
        <w:t xml:space="preserve"> </w:t>
      </w:r>
      <w:r>
        <w:rPr>
          <w:rStyle w:val="VerbatimChar"/>
        </w:rPr>
        <w:t xml:space="preserve">YEAR</w:t>
      </w:r>
      <w:r>
        <w:t xml:space="preserve">, months</w:t>
      </w:r>
      <w:r>
        <w:t xml:space="preserve"> </w:t>
      </w:r>
      <w:r>
        <w:rPr>
          <w:rStyle w:val="VerbatimChar"/>
        </w:rPr>
        <w:t xml:space="preserve">JAN</w:t>
      </w:r>
      <w:r>
        <w:t xml:space="preserve">–</w:t>
      </w:r>
      <w:r>
        <w:rPr>
          <w:rStyle w:val="VerbatimChar"/>
        </w:rPr>
        <w:t xml:space="preserve">DEC</w:t>
      </w:r>
      <w:r>
        <w:t xml:space="preserve">,</w:t>
      </w:r>
      <w:r>
        <w:t xml:space="preserve"> </w:t>
      </w:r>
      <w:r>
        <w:rPr>
          <w:rStyle w:val="VerbatimChar"/>
        </w:rPr>
        <w:t xml:space="preserve">ANNUAL</w:t>
      </w:r>
      <w:r>
        <w:t xml:space="preserve">, and seasons</w:t>
      </w:r>
      <w:r>
        <w:t xml:space="preserve"> </w:t>
      </w:r>
      <w:r>
        <w:rPr>
          <w:rStyle w:val="VerbatimChar"/>
        </w:rPr>
        <w:t xml:space="preserve">JF</w:t>
      </w:r>
      <w:r>
        <w:t xml:space="preserve">,</w:t>
      </w:r>
      <w:r>
        <w:t xml:space="preserve"> </w:t>
      </w:r>
      <w:r>
        <w:rPr>
          <w:rStyle w:val="VerbatimChar"/>
        </w:rPr>
        <w:t xml:space="preserve">MAM</w:t>
      </w:r>
      <w:r>
        <w:t xml:space="preserve">,</w:t>
      </w:r>
      <w:r>
        <w:t xml:space="preserve"> </w:t>
      </w:r>
      <w:r>
        <w:rPr>
          <w:rStyle w:val="VerbatimChar"/>
        </w:rPr>
        <w:t xml:space="preserve">JJAS</w:t>
      </w:r>
      <w:r>
        <w:t xml:space="preserve">,</w:t>
      </w:r>
      <w:r>
        <w:t xml:space="preserve"> </w:t>
      </w:r>
      <w:r>
        <w:rPr>
          <w:rStyle w:val="VerbatimChar"/>
        </w:rPr>
        <w:t xml:space="preserve">OND</w:t>
      </w:r>
      <w:r>
        <w:t xml:space="preserve">.</w:t>
      </w:r>
    </w:p>
    <w:p>
      <w:pPr>
        <w:pStyle w:val="BodyText"/>
      </w:pPr>
      <w:r>
        <w:t xml:space="preserve">Season groups follow the standard IMD calendar: winter (January–February), pre-monsoon (March–May), southwest monsoon (June–September), post-monsoon (October–December). Units are millimetres. A recorded</w:t>
      </w:r>
      <w:r>
        <w:t xml:space="preserve"> </w:t>
      </w:r>
      <w:r>
        <w:rPr>
          <w:b/>
          <w:bCs/>
        </w:rPr>
        <w:t xml:space="preserve">zero is a dry month</w:t>
      </w:r>
      <w:r>
        <w:t xml:space="preserve">, not a missing value. The token</w:t>
      </w:r>
      <w:r>
        <w:t xml:space="preserve"> </w:t>
      </w:r>
      <w:r>
        <w:rPr>
          <w:rStyle w:val="VerbatimChar"/>
        </w:rPr>
        <w:t xml:space="preserve">NA</w:t>
      </w:r>
      <w:r>
        <w:t xml:space="preserve"> </w:t>
      </w:r>
      <w:r>
        <w:t xml:space="preserve">in the subdivision file is a true missing report.</w:t>
      </w:r>
    </w:p>
    <w:bookmarkEnd w:id="16"/>
    <w:bookmarkStart w:id="17" w:name="geographical-and-temporal-scope"/>
    <w:p>
      <w:pPr>
        <w:pStyle w:val="Heading2"/>
      </w:pPr>
      <w:r>
        <w:t xml:space="preserve">Geographical and temporal scope</w:t>
      </w:r>
    </w:p>
    <w:p>
      <w:pPr>
        <w:pStyle w:val="FirstParagraph"/>
      </w:pPr>
      <w:r>
        <w:t xml:space="preserve">The national series has 115 rows, one per year, with no internal year gap. The subdivision file has 4188 rows. Arunachal Pradesh starts in 1916. Internal missing years include Andaman &amp; Nicobar Islands (1909, 1943–1945, 1948), Arunachal Pradesh (1954–1956) and Lakshadweep (1918). Joint national–regional work uses 1901–2015. The two extra subdivision years 2016–2017 are not mixed into national trend tests.</w:t>
      </w:r>
    </w:p>
    <w:bookmarkEnd w:id="17"/>
    <w:bookmarkEnd w:id="18"/>
    <w:bookmarkStart w:id="19" w:name="data-cleaning-and-preprocessing"/>
    <w:p>
      <w:pPr>
        <w:pStyle w:val="Heading1"/>
      </w:pPr>
      <w:r>
        <w:t xml:space="preserve">Data cleaning and preprocessing</w:t>
      </w:r>
    </w:p>
    <w:p>
      <w:pPr>
        <w:pStyle w:val="FirstParagraph"/>
      </w:pPr>
      <w:r>
        <w:t xml:space="preserve">Cleaning is implemented in</w:t>
      </w:r>
      <w:r>
        <w:t xml:space="preserve"> </w:t>
      </w:r>
      <w:r>
        <w:rPr>
          <w:rStyle w:val="VerbatimChar"/>
        </w:rPr>
        <w:t xml:space="preserve">R_code/01_data_inspection.R</w:t>
      </w:r>
      <w:r>
        <w:t xml:space="preserve"> </w:t>
      </w:r>
      <w:r>
        <w:t xml:space="preserve">and</w:t>
      </w:r>
      <w:r>
        <w:t xml:space="preserve"> </w:t>
      </w:r>
      <w:r>
        <w:rPr>
          <w:rStyle w:val="VerbatimChar"/>
        </w:rPr>
        <w:t xml:space="preserve">R_code/02_data_cleaning.R</w:t>
      </w:r>
      <w:r>
        <w:t xml:space="preserve">. Original files in</w:t>
      </w:r>
      <w:r>
        <w:t xml:space="preserve"> </w:t>
      </w:r>
      <w:r>
        <w:rPr>
          <w:rStyle w:val="VerbatimChar"/>
        </w:rPr>
        <w:t xml:space="preserve">data/</w:t>
      </w:r>
      <w:r>
        <w:t xml:space="preserve"> </w:t>
      </w:r>
      <w:r>
        <w:t xml:space="preserve">were never overwritten. Analysis copies live in</w:t>
      </w:r>
      <w:r>
        <w:t xml:space="preserve"> </w:t>
      </w:r>
      <w:r>
        <w:rPr>
          <w:rStyle w:val="VerbatimChar"/>
        </w:rPr>
        <w:t xml:space="preserve">results/cleaned_data/</w:t>
      </w:r>
      <w:r>
        <w:t xml:space="preserve">.</w:t>
      </w:r>
    </w:p>
    <w:p>
      <w:pPr>
        <w:pStyle w:val="BodyText"/>
      </w:pPr>
      <w:r>
        <w:t xml:space="preserve">Table 1 records every transformation and the number of affected observations (from</w:t>
      </w:r>
      <w:r>
        <w:t xml:space="preserve"> </w:t>
      </w:r>
      <w:r>
        <w:rPr>
          <w:rStyle w:val="VerbatimChar"/>
        </w:rPr>
        <w:t xml:space="preserve">results/tables/cleaning_log.csv</w:t>
      </w:r>
      <w:r>
        <w:t xml:space="preserve">).</w:t>
      </w:r>
    </w:p>
    <w:p>
      <w:pPr>
        <w:pStyle w:val="TableCaption"/>
      </w:pPr>
      <w:r>
        <w:t xml:space="preserve">Table 1. Cleaning log (analysis copies only; originals untouched).</w:t>
      </w:r>
    </w:p>
    <w:tbl>
      <w:tblPr>
        <w:tblStyle w:val="Table"/>
        <w:tblW w:type="pct" w:w="5000"/>
        <w:tblLayout w:type="fixed"/>
        <w:tblLook w:firstRow="1" w:lastRow="0" w:firstColumn="0" w:lastColumn="0" w:noHBand="0" w:noVBand="0" w:val="0020"/>
        <w:tblCaption w:val="Table 1. Cleaning log (analysis copies only; originals untouched)."/>
      </w:tblPr>
      <w:tblGrid>
        <w:gridCol w:w="168"/>
        <w:gridCol w:w="775"/>
        <w:gridCol w:w="1381"/>
        <w:gridCol w:w="370"/>
        <w:gridCol w:w="5223"/>
      </w:tblGrid>
      <w:tr>
        <w:trPr>
          <w:tblHeader w:val="on"/>
        </w:trPr>
        <w:tc>
          <w:tcPr/>
          <w:p>
            <w:pPr>
              <w:pStyle w:val="Compact"/>
              <w:jc w:val="right"/>
            </w:pPr>
            <w:r>
              <w:t xml:space="preserve">Step</w:t>
            </w:r>
          </w:p>
        </w:tc>
        <w:tc>
          <w:tcPr/>
          <w:p>
            <w:pPr>
              <w:pStyle w:val="Compact"/>
              <w:jc w:val="left"/>
            </w:pPr>
            <w:r>
              <w:t xml:space="preserve">Dataset</w:t>
            </w:r>
          </w:p>
        </w:tc>
        <w:tc>
          <w:tcPr/>
          <w:p>
            <w:pPr>
              <w:pStyle w:val="Compact"/>
              <w:jc w:val="left"/>
            </w:pPr>
            <w:r>
              <w:t xml:space="preserve">Action</w:t>
            </w:r>
          </w:p>
        </w:tc>
        <w:tc>
          <w:tcPr/>
          <w:p>
            <w:pPr>
              <w:pStyle w:val="Compact"/>
              <w:jc w:val="right"/>
            </w:pPr>
            <w:r>
              <w:t xml:space="preserve">n affected</w:t>
            </w:r>
          </w:p>
        </w:tc>
        <w:tc>
          <w:tcPr/>
          <w:p>
            <w:pPr>
              <w:pStyle w:val="Compact"/>
              <w:jc w:val="left"/>
            </w:pPr>
            <w:r>
              <w:t xml:space="preserve">Justification</w:t>
            </w:r>
          </w:p>
        </w:tc>
      </w:tr>
      <w:tr>
        <w:tc>
          <w:tcPr/>
          <w:p>
            <w:pPr>
              <w:pStyle w:val="Compact"/>
              <w:jc w:val="right"/>
            </w:pPr>
            <w:r>
              <w:t xml:space="preserve">1</w:t>
            </w:r>
          </w:p>
        </w:tc>
        <w:tc>
          <w:tcPr/>
          <w:p>
            <w:pPr>
              <w:pStyle w:val="Compact"/>
              <w:jc w:val="left"/>
            </w:pPr>
            <w:r>
              <w:t xml:space="preserve">national_area_weighted</w:t>
            </w:r>
          </w:p>
        </w:tc>
        <w:tc>
          <w:tcPr/>
          <w:p>
            <w:pPr>
              <w:pStyle w:val="Compact"/>
              <w:jc w:val="left"/>
            </w:pPr>
            <w:r>
              <w:t xml:space="preserve">import</w:t>
            </w:r>
          </w:p>
        </w:tc>
        <w:tc>
          <w:tcPr/>
          <w:p>
            <w:pPr>
              <w:pStyle w:val="Compact"/>
              <w:jc w:val="right"/>
            </w:pPr>
            <w:r>
              <w:t xml:space="preserve">115</w:t>
            </w:r>
          </w:p>
        </w:tc>
        <w:tc>
          <w:tcPr/>
          <w:p>
            <w:pPr>
              <w:pStyle w:val="Compact"/>
              <w:jc w:val="left"/>
            </w:pPr>
            <w:r>
              <w:t xml:space="preserve">Read original CSV with explicit NA strings; originals not modified.</w:t>
            </w:r>
          </w:p>
        </w:tc>
      </w:tr>
      <w:tr>
        <w:tc>
          <w:tcPr/>
          <w:p>
            <w:pPr>
              <w:pStyle w:val="Compact"/>
              <w:jc w:val="right"/>
            </w:pPr>
            <w:r>
              <w:t xml:space="preserve">2</w:t>
            </w:r>
          </w:p>
        </w:tc>
        <w:tc>
          <w:tcPr/>
          <w:p>
            <w:pPr>
              <w:pStyle w:val="Compact"/>
              <w:jc w:val="left"/>
            </w:pPr>
            <w:r>
              <w:t xml:space="preserve">national_area_weighted</w:t>
            </w:r>
          </w:p>
        </w:tc>
        <w:tc>
          <w:tcPr/>
          <w:p>
            <w:pPr>
              <w:pStyle w:val="Compact"/>
              <w:jc w:val="left"/>
            </w:pPr>
            <w:r>
              <w:t xml:space="preserve">trim_REGION</w:t>
            </w:r>
          </w:p>
        </w:tc>
        <w:tc>
          <w:tcPr/>
          <w:p>
            <w:pPr>
              <w:pStyle w:val="Compact"/>
              <w:jc w:val="right"/>
            </w:pPr>
            <w:r>
              <w:t xml:space="preserve">0</w:t>
            </w:r>
          </w:p>
        </w:tc>
        <w:tc>
          <w:tcPr/>
          <w:p>
            <w:pPr>
              <w:pStyle w:val="Compact"/>
              <w:jc w:val="left"/>
            </w:pPr>
            <w:r>
              <w:t xml:space="preserve">Remove leading/trailing whitespace from region labels.</w:t>
            </w:r>
          </w:p>
        </w:tc>
      </w:tr>
      <w:tr>
        <w:tc>
          <w:tcPr/>
          <w:p>
            <w:pPr>
              <w:pStyle w:val="Compact"/>
              <w:jc w:val="right"/>
            </w:pPr>
            <w:r>
              <w:t xml:space="preserve">3</w:t>
            </w:r>
          </w:p>
        </w:tc>
        <w:tc>
          <w:tcPr/>
          <w:p>
            <w:pPr>
              <w:pStyle w:val="Compact"/>
              <w:jc w:val="left"/>
            </w:pPr>
            <w:r>
              <w:t xml:space="preserve">national_area_weighted</w:t>
            </w:r>
          </w:p>
        </w:tc>
        <w:tc>
          <w:tcPr/>
          <w:p>
            <w:pPr>
              <w:pStyle w:val="Compact"/>
              <w:jc w:val="left"/>
            </w:pPr>
            <w:r>
              <w:t xml:space="preserve">YEAR_to_integer</w:t>
            </w:r>
          </w:p>
        </w:tc>
        <w:tc>
          <w:tcPr/>
          <w:p>
            <w:pPr>
              <w:pStyle w:val="Compact"/>
              <w:jc w:val="right"/>
            </w:pPr>
            <w:r>
              <w:t xml:space="preserve">0</w:t>
            </w:r>
          </w:p>
        </w:tc>
        <w:tc>
          <w:tcPr/>
          <w:p>
            <w:pPr>
              <w:pStyle w:val="Compact"/>
              <w:jc w:val="left"/>
            </w:pPr>
            <w:r>
              <w:t xml:space="preserve">Calendar year is a discrete index, not a continuous measurement.</w:t>
            </w:r>
          </w:p>
        </w:tc>
      </w:tr>
      <w:tr>
        <w:tc>
          <w:tcPr/>
          <w:p>
            <w:pPr>
              <w:pStyle w:val="Compact"/>
              <w:jc w:val="right"/>
            </w:pPr>
            <w:r>
              <w:t xml:space="preserve">4</w:t>
            </w:r>
          </w:p>
        </w:tc>
        <w:tc>
          <w:tcPr/>
          <w:p>
            <w:pPr>
              <w:pStyle w:val="Compact"/>
              <w:jc w:val="left"/>
            </w:pPr>
            <w:r>
              <w:t xml:space="preserve">national_area_weighted</w:t>
            </w:r>
          </w:p>
        </w:tc>
        <w:tc>
          <w:tcPr/>
          <w:p>
            <w:pPr>
              <w:pStyle w:val="Compact"/>
              <w:jc w:val="left"/>
            </w:pPr>
            <w:r>
              <w:t xml:space="preserve">rainfall_to_numeric</w:t>
            </w:r>
          </w:p>
        </w:tc>
        <w:tc>
          <w:tcPr/>
          <w:p>
            <w:pPr>
              <w:pStyle w:val="Compact"/>
              <w:jc w:val="right"/>
            </w:pPr>
            <w:r>
              <w:t xml:space="preserve">0</w:t>
            </w:r>
          </w:p>
        </w:tc>
        <w:tc>
          <w:tcPr/>
          <w:p>
            <w:pPr>
              <w:pStyle w:val="Compact"/>
              <w:jc w:val="left"/>
            </w:pPr>
            <w:r>
              <w:t xml:space="preserve">Rainfall is a continuous millimetre measurement; coercion failures would become NA (none expected).</w:t>
            </w:r>
          </w:p>
        </w:tc>
      </w:tr>
      <w:tr>
        <w:tc>
          <w:tcPr/>
          <w:p>
            <w:pPr>
              <w:pStyle w:val="Compact"/>
              <w:jc w:val="right"/>
            </w:pPr>
            <w:r>
              <w:t xml:space="preserve">5</w:t>
            </w:r>
          </w:p>
        </w:tc>
        <w:tc>
          <w:tcPr/>
          <w:p>
            <w:pPr>
              <w:pStyle w:val="Compact"/>
              <w:jc w:val="left"/>
            </w:pPr>
            <w:r>
              <w:t xml:space="preserve">national_area_weighted</w:t>
            </w:r>
          </w:p>
        </w:tc>
        <w:tc>
          <w:tcPr/>
          <w:p>
            <w:pPr>
              <w:pStyle w:val="Compact"/>
              <w:jc w:val="left"/>
            </w:pPr>
            <w:r>
              <w:t xml:space="preserve">negative_rainfall_screen</w:t>
            </w:r>
          </w:p>
        </w:tc>
        <w:tc>
          <w:tcPr/>
          <w:p>
            <w:pPr>
              <w:pStyle w:val="Compact"/>
              <w:jc w:val="right"/>
            </w:pPr>
            <w:r>
              <w:t xml:space="preserve">0</w:t>
            </w:r>
          </w:p>
        </w:tc>
        <w:tc>
          <w:tcPr/>
          <w:p>
            <w:pPr>
              <w:pStyle w:val="Compact"/>
              <w:jc w:val="left"/>
            </w:pPr>
            <w:r>
              <w:t xml:space="preserve">Negative millimetres are physically impossible; none are deleted because none were found, or they would be flagged not dropped.</w:t>
            </w:r>
          </w:p>
        </w:tc>
      </w:tr>
      <w:tr>
        <w:tc>
          <w:tcPr/>
          <w:p>
            <w:pPr>
              <w:pStyle w:val="Compact"/>
              <w:jc w:val="right"/>
            </w:pPr>
            <w:r>
              <w:t xml:space="preserve">6</w:t>
            </w:r>
          </w:p>
        </w:tc>
        <w:tc>
          <w:tcPr/>
          <w:p>
            <w:pPr>
              <w:pStyle w:val="Compact"/>
              <w:jc w:val="left"/>
            </w:pPr>
            <w:r>
              <w:t xml:space="preserve">national_area_weighted</w:t>
            </w:r>
          </w:p>
        </w:tc>
        <w:tc>
          <w:tcPr/>
          <w:p>
            <w:pPr>
              <w:pStyle w:val="Compact"/>
              <w:jc w:val="left"/>
            </w:pPr>
            <w:r>
              <w:t xml:space="preserve">duplicate_investigation</w:t>
            </w:r>
          </w:p>
        </w:tc>
        <w:tc>
          <w:tcPr/>
          <w:p>
            <w:pPr>
              <w:pStyle w:val="Compact"/>
              <w:jc w:val="right"/>
            </w:pPr>
            <w:r>
              <w:t xml:space="preserve">0</w:t>
            </w:r>
          </w:p>
        </w:tc>
        <w:tc>
          <w:tcPr/>
          <w:p>
            <w:pPr>
              <w:pStyle w:val="Compact"/>
              <w:jc w:val="left"/>
            </w:pPr>
            <w:r>
              <w:t xml:space="preserve">Exact row duplicates and REGION-YEAR duplicates were counted. No rows removed because none were found.</w:t>
            </w:r>
          </w:p>
        </w:tc>
      </w:tr>
      <w:tr>
        <w:tc>
          <w:tcPr/>
          <w:p>
            <w:pPr>
              <w:pStyle w:val="Compact"/>
              <w:jc w:val="right"/>
            </w:pPr>
            <w:r>
              <w:t xml:space="preserve">7</w:t>
            </w:r>
          </w:p>
        </w:tc>
        <w:tc>
          <w:tcPr/>
          <w:p>
            <w:pPr>
              <w:pStyle w:val="Compact"/>
              <w:jc w:val="left"/>
            </w:pPr>
            <w:r>
              <w:t xml:space="preserve">national_area_weighted</w:t>
            </w:r>
          </w:p>
        </w:tc>
        <w:tc>
          <w:tcPr/>
          <w:p>
            <w:pPr>
              <w:pStyle w:val="Compact"/>
              <w:jc w:val="left"/>
            </w:pPr>
            <w:r>
              <w:t xml:space="preserve">consistency_flags</w:t>
            </w:r>
          </w:p>
        </w:tc>
        <w:tc>
          <w:tcPr/>
          <w:p>
            <w:pPr>
              <w:pStyle w:val="Compact"/>
              <w:jc w:val="right"/>
            </w:pPr>
            <w:r>
              <w:t xml:space="preserve">0</w:t>
            </w:r>
          </w:p>
        </w:tc>
        <w:tc>
          <w:tcPr/>
          <w:p>
            <w:pPr>
              <w:pStyle w:val="Compact"/>
              <w:jc w:val="left"/>
            </w:pPr>
            <w:r>
              <w:t xml:space="preserve">Source seasonal/annual totals were retained. Differences &gt; 1 mm versus the sum of constituent months are flagged, not overwritten.</w:t>
            </w:r>
          </w:p>
        </w:tc>
      </w:tr>
      <w:tr>
        <w:tc>
          <w:tcPr/>
          <w:p>
            <w:pPr>
              <w:pStyle w:val="Compact"/>
              <w:jc w:val="right"/>
            </w:pPr>
            <w:r>
              <w:t xml:space="preserve">8</w:t>
            </w:r>
          </w:p>
        </w:tc>
        <w:tc>
          <w:tcPr/>
          <w:p>
            <w:pPr>
              <w:pStyle w:val="Compact"/>
              <w:jc w:val="left"/>
            </w:pPr>
            <w:r>
              <w:t xml:space="preserve">national_area_weighted</w:t>
            </w:r>
          </w:p>
        </w:tc>
        <w:tc>
          <w:tcPr/>
          <w:p>
            <w:pPr>
              <w:pStyle w:val="Compact"/>
              <w:jc w:val="left"/>
            </w:pPr>
            <w:r>
              <w:t xml:space="preserve">annual_reconstruct_if_source_NA</w:t>
            </w:r>
          </w:p>
        </w:tc>
        <w:tc>
          <w:tcPr/>
          <w:p>
            <w:pPr>
              <w:pStyle w:val="Compact"/>
              <w:jc w:val="right"/>
            </w:pPr>
            <w:r>
              <w:t xml:space="preserve">0</w:t>
            </w:r>
          </w:p>
        </w:tc>
        <w:tc>
          <w:tcPr/>
          <w:p>
            <w:pPr>
              <w:pStyle w:val="Compact"/>
              <w:jc w:val="left"/>
            </w:pPr>
            <w:r>
              <w:t xml:space="preserve">Not imputation of unobserved rain: ANNUAL is a total of observed months. Filled only when all 12 months exist and source ANNUAL is NA.</w:t>
            </w:r>
          </w:p>
        </w:tc>
      </w:tr>
      <w:tr>
        <w:tc>
          <w:tcPr/>
          <w:p>
            <w:pPr>
              <w:pStyle w:val="Compact"/>
              <w:jc w:val="right"/>
            </w:pPr>
            <w:r>
              <w:t xml:space="preserve">9</w:t>
            </w:r>
          </w:p>
        </w:tc>
        <w:tc>
          <w:tcPr/>
          <w:p>
            <w:pPr>
              <w:pStyle w:val="Compact"/>
              <w:jc w:val="left"/>
            </w:pPr>
            <w:r>
              <w:t xml:space="preserve">national_area_weighted</w:t>
            </w:r>
          </w:p>
        </w:tc>
        <w:tc>
          <w:tcPr/>
          <w:p>
            <w:pPr>
              <w:pStyle w:val="Compact"/>
              <w:jc w:val="left"/>
            </w:pPr>
            <w:r>
              <w:t xml:space="preserve">outlier_flag_iqr_k3</w:t>
            </w:r>
          </w:p>
        </w:tc>
        <w:tc>
          <w:tcPr/>
          <w:p>
            <w:pPr>
              <w:pStyle w:val="Compact"/>
              <w:jc w:val="right"/>
            </w:pPr>
            <w:r>
              <w:t xml:space="preserve">2</w:t>
            </w:r>
          </w:p>
        </w:tc>
        <w:tc>
          <w:tcPr/>
          <w:p>
            <w:pPr>
              <w:pStyle w:val="Compact"/>
              <w:jc w:val="left"/>
            </w:pPr>
            <w:r>
              <w:t xml:space="preserve">Extreme rainfall years are scientifically informative (floods/droughts). Flagged with a conservative 3xIQR rule; no rows deleted.</w:t>
            </w:r>
          </w:p>
        </w:tc>
      </w:tr>
      <w:tr>
        <w:tc>
          <w:tcPr/>
          <w:p>
            <w:pPr>
              <w:pStyle w:val="Compact"/>
              <w:jc w:val="right"/>
            </w:pPr>
            <w:r>
              <w:t xml:space="preserve">10</w:t>
            </w:r>
          </w:p>
        </w:tc>
        <w:tc>
          <w:tcPr/>
          <w:p>
            <w:pPr>
              <w:pStyle w:val="Compact"/>
              <w:jc w:val="left"/>
            </w:pPr>
            <w:r>
              <w:t xml:space="preserve">national_area_weighted</w:t>
            </w:r>
          </w:p>
        </w:tc>
        <w:tc>
          <w:tcPr/>
          <w:p>
            <w:pPr>
              <w:pStyle w:val="Compact"/>
              <w:jc w:val="left"/>
            </w:pPr>
            <w:r>
              <w:t xml:space="preserve">write_cleaned_copy</w:t>
            </w:r>
          </w:p>
        </w:tc>
        <w:tc>
          <w:tcPr/>
          <w:p>
            <w:pPr>
              <w:pStyle w:val="Compact"/>
              <w:jc w:val="right"/>
            </w:pPr>
            <w:r>
              <w:t xml:space="preserve">115</w:t>
            </w:r>
          </w:p>
        </w:tc>
        <w:tc>
          <w:tcPr/>
          <w:p>
            <w:pPr>
              <w:pStyle w:val="Compact"/>
              <w:jc w:val="left"/>
            </w:pPr>
            <w:r>
              <w:t xml:space="preserve">Analysis copy written; original data/ CSV untouched.</w:t>
            </w:r>
          </w:p>
        </w:tc>
      </w:tr>
      <w:tr>
        <w:tc>
          <w:tcPr/>
          <w:p>
            <w:pPr>
              <w:pStyle w:val="Compact"/>
              <w:jc w:val="right"/>
            </w:pPr>
            <w:r>
              <w:t xml:space="preserve">11</w:t>
            </w:r>
          </w:p>
        </w:tc>
        <w:tc>
          <w:tcPr/>
          <w:p>
            <w:pPr>
              <w:pStyle w:val="Compact"/>
              <w:jc w:val="left"/>
            </w:pPr>
            <w:r>
              <w:t xml:space="preserve">imd_subdivision</w:t>
            </w:r>
          </w:p>
        </w:tc>
        <w:tc>
          <w:tcPr/>
          <w:p>
            <w:pPr>
              <w:pStyle w:val="Compact"/>
              <w:jc w:val="left"/>
            </w:pPr>
            <w:r>
              <w:t xml:space="preserve">import</w:t>
            </w:r>
          </w:p>
        </w:tc>
        <w:tc>
          <w:tcPr/>
          <w:p>
            <w:pPr>
              <w:pStyle w:val="Compact"/>
              <w:jc w:val="right"/>
            </w:pPr>
            <w:r>
              <w:t xml:space="preserve">4188</w:t>
            </w:r>
          </w:p>
        </w:tc>
        <w:tc>
          <w:tcPr/>
          <w:p>
            <w:pPr>
              <w:pStyle w:val="Compact"/>
              <w:jc w:val="left"/>
            </w:pPr>
            <w:r>
              <w:t xml:space="preserve">Read original CSV with explicit NA strings; originals not modified.</w:t>
            </w:r>
          </w:p>
        </w:tc>
      </w:tr>
      <w:tr>
        <w:tc>
          <w:tcPr/>
          <w:p>
            <w:pPr>
              <w:pStyle w:val="Compact"/>
              <w:jc w:val="right"/>
            </w:pPr>
            <w:r>
              <w:t xml:space="preserve">12</w:t>
            </w:r>
          </w:p>
        </w:tc>
        <w:tc>
          <w:tcPr/>
          <w:p>
            <w:pPr>
              <w:pStyle w:val="Compact"/>
              <w:jc w:val="left"/>
            </w:pPr>
            <w:r>
              <w:t xml:space="preserve">imd_subdivision</w:t>
            </w:r>
          </w:p>
        </w:tc>
        <w:tc>
          <w:tcPr/>
          <w:p>
            <w:pPr>
              <w:pStyle w:val="Compact"/>
              <w:jc w:val="left"/>
            </w:pPr>
            <w:r>
              <w:t xml:space="preserve">standardise_SUBDIVISION_whitespace</w:t>
            </w:r>
          </w:p>
        </w:tc>
        <w:tc>
          <w:tcPr/>
          <w:p>
            <w:pPr>
              <w:pStyle w:val="Compact"/>
              <w:jc w:val="right"/>
            </w:pPr>
            <w:r>
              <w:t xml:space="preserve">0</w:t>
            </w:r>
          </w:p>
        </w:tc>
        <w:tc>
          <w:tcPr/>
          <w:p>
            <w:pPr>
              <w:pStyle w:val="Compact"/>
              <w:jc w:val="left"/>
            </w:pPr>
            <w:r>
              <w:t xml:space="preserve">Trim and collapse repeated whitespace. Historical IMD names (Orissa, Matathwada, Rayalseema) are retained so records stay matchable to the source.</w:t>
            </w:r>
          </w:p>
        </w:tc>
      </w:tr>
      <w:tr>
        <w:tc>
          <w:tcPr/>
          <w:p>
            <w:pPr>
              <w:pStyle w:val="Compact"/>
              <w:jc w:val="right"/>
            </w:pPr>
            <w:r>
              <w:t xml:space="preserve">13</w:t>
            </w:r>
          </w:p>
        </w:tc>
        <w:tc>
          <w:tcPr/>
          <w:p>
            <w:pPr>
              <w:pStyle w:val="Compact"/>
              <w:jc w:val="left"/>
            </w:pPr>
            <w:r>
              <w:t xml:space="preserve">imd_subdivision</w:t>
            </w:r>
          </w:p>
        </w:tc>
        <w:tc>
          <w:tcPr/>
          <w:p>
            <w:pPr>
              <w:pStyle w:val="Compact"/>
              <w:jc w:val="left"/>
            </w:pPr>
            <w:r>
              <w:t xml:space="preserve">YEAR_to_integer</w:t>
            </w:r>
          </w:p>
        </w:tc>
        <w:tc>
          <w:tcPr/>
          <w:p>
            <w:pPr>
              <w:pStyle w:val="Compact"/>
              <w:jc w:val="right"/>
            </w:pPr>
            <w:r>
              <w:t xml:space="preserve">0</w:t>
            </w:r>
          </w:p>
        </w:tc>
        <w:tc>
          <w:tcPr/>
          <w:p>
            <w:pPr>
              <w:pStyle w:val="Compact"/>
              <w:jc w:val="left"/>
            </w:pPr>
            <w:r>
              <w:t xml:space="preserve">Calendar year is a discrete index.</w:t>
            </w:r>
          </w:p>
        </w:tc>
      </w:tr>
      <w:tr>
        <w:tc>
          <w:tcPr/>
          <w:p>
            <w:pPr>
              <w:pStyle w:val="Compact"/>
              <w:jc w:val="right"/>
            </w:pPr>
            <w:r>
              <w:t xml:space="preserve">14</w:t>
            </w:r>
          </w:p>
        </w:tc>
        <w:tc>
          <w:tcPr/>
          <w:p>
            <w:pPr>
              <w:pStyle w:val="Compact"/>
              <w:jc w:val="left"/>
            </w:pPr>
            <w:r>
              <w:t xml:space="preserve">imd_subdivision</w:t>
            </w:r>
          </w:p>
        </w:tc>
        <w:tc>
          <w:tcPr/>
          <w:p>
            <w:pPr>
              <w:pStyle w:val="Compact"/>
              <w:jc w:val="left"/>
            </w:pPr>
            <w:r>
              <w:t xml:space="preserve">rainfall_to_numeric</w:t>
            </w:r>
          </w:p>
        </w:tc>
        <w:tc>
          <w:tcPr/>
          <w:p>
            <w:pPr>
              <w:pStyle w:val="Compact"/>
              <w:jc w:val="right"/>
            </w:pPr>
            <w:r>
              <w:t xml:space="preserve">0</w:t>
            </w:r>
          </w:p>
        </w:tc>
        <w:tc>
          <w:tcPr/>
          <w:p>
            <w:pPr>
              <w:pStyle w:val="Compact"/>
              <w:jc w:val="left"/>
            </w:pPr>
            <w:r>
              <w:t xml:space="preserve">Rainfall coerced to numeric millimetres. Source</w:t>
            </w:r>
            <w:r>
              <w:t xml:space="preserve"> </w:t>
            </w:r>
            <w:r>
              <w:t xml:space="preserve">‘NA’</w:t>
            </w:r>
            <w:r>
              <w:t xml:space="preserve"> </w:t>
            </w:r>
            <w:r>
              <w:t xml:space="preserve">tokens already mapped to R NA on import.</w:t>
            </w:r>
          </w:p>
        </w:tc>
      </w:tr>
      <w:tr>
        <w:tc>
          <w:tcPr/>
          <w:p>
            <w:pPr>
              <w:pStyle w:val="Compact"/>
              <w:jc w:val="right"/>
            </w:pPr>
            <w:r>
              <w:t xml:space="preserve">15</w:t>
            </w:r>
          </w:p>
        </w:tc>
        <w:tc>
          <w:tcPr/>
          <w:p>
            <w:pPr>
              <w:pStyle w:val="Compact"/>
              <w:jc w:val="left"/>
            </w:pPr>
            <w:r>
              <w:t xml:space="preserve">imd_subdivision</w:t>
            </w:r>
          </w:p>
        </w:tc>
        <w:tc>
          <w:tcPr/>
          <w:p>
            <w:pPr>
              <w:pStyle w:val="Compact"/>
              <w:jc w:val="left"/>
            </w:pPr>
            <w:r>
              <w:t xml:space="preserve">retain_zeros_and_missing</w:t>
            </w:r>
          </w:p>
        </w:tc>
        <w:tc>
          <w:tcPr/>
          <w:p>
            <w:pPr>
              <w:pStyle w:val="Compact"/>
              <w:jc w:val="right"/>
            </w:pPr>
            <w:r>
              <w:t xml:space="preserve">70</w:t>
            </w:r>
          </w:p>
        </w:tc>
        <w:tc>
          <w:tcPr/>
          <w:p>
            <w:pPr>
              <w:pStyle w:val="Compact"/>
              <w:jc w:val="left"/>
            </w:pPr>
            <w:r>
              <w:t xml:space="preserve">Zero millimetres remain as dry months. NA remains missing. Incomplete rows were not deleted.</w:t>
            </w:r>
          </w:p>
        </w:tc>
      </w:tr>
      <w:tr>
        <w:tc>
          <w:tcPr/>
          <w:p>
            <w:pPr>
              <w:pStyle w:val="Compact"/>
              <w:jc w:val="right"/>
            </w:pPr>
            <w:r>
              <w:t xml:space="preserve">16</w:t>
            </w:r>
          </w:p>
        </w:tc>
        <w:tc>
          <w:tcPr/>
          <w:p>
            <w:pPr>
              <w:pStyle w:val="Compact"/>
              <w:jc w:val="left"/>
            </w:pPr>
            <w:r>
              <w:t xml:space="preserve">imd_subdivision</w:t>
            </w:r>
          </w:p>
        </w:tc>
        <w:tc>
          <w:tcPr/>
          <w:p>
            <w:pPr>
              <w:pStyle w:val="Compact"/>
              <w:jc w:val="left"/>
            </w:pPr>
            <w:r>
              <w:t xml:space="preserve">negative_rainfall_screen</w:t>
            </w:r>
          </w:p>
        </w:tc>
        <w:tc>
          <w:tcPr/>
          <w:p>
            <w:pPr>
              <w:pStyle w:val="Compact"/>
              <w:jc w:val="right"/>
            </w:pPr>
            <w:r>
              <w:t xml:space="preserve">0</w:t>
            </w:r>
          </w:p>
        </w:tc>
        <w:tc>
          <w:tcPr/>
          <w:p>
            <w:pPr>
              <w:pStyle w:val="Compact"/>
              <w:jc w:val="left"/>
            </w:pPr>
            <w:r>
              <w:t xml:space="preserve">Negative rainfall would be flagged, not deleted.</w:t>
            </w:r>
          </w:p>
        </w:tc>
      </w:tr>
      <w:tr>
        <w:tc>
          <w:tcPr/>
          <w:p>
            <w:pPr>
              <w:pStyle w:val="Compact"/>
              <w:jc w:val="right"/>
            </w:pPr>
            <w:r>
              <w:t xml:space="preserve">17</w:t>
            </w:r>
          </w:p>
        </w:tc>
        <w:tc>
          <w:tcPr/>
          <w:p>
            <w:pPr>
              <w:pStyle w:val="Compact"/>
              <w:jc w:val="left"/>
            </w:pPr>
            <w:r>
              <w:t xml:space="preserve">imd_subdivision</w:t>
            </w:r>
          </w:p>
        </w:tc>
        <w:tc>
          <w:tcPr/>
          <w:p>
            <w:pPr>
              <w:pStyle w:val="Compact"/>
              <w:jc w:val="left"/>
            </w:pPr>
            <w:r>
              <w:t xml:space="preserve">duplicate_investigation</w:t>
            </w:r>
          </w:p>
        </w:tc>
        <w:tc>
          <w:tcPr/>
          <w:p>
            <w:pPr>
              <w:pStyle w:val="Compact"/>
              <w:jc w:val="right"/>
            </w:pPr>
            <w:r>
              <w:t xml:space="preserve">0</w:t>
            </w:r>
          </w:p>
        </w:tc>
        <w:tc>
          <w:tcPr/>
          <w:p>
            <w:pPr>
              <w:pStyle w:val="Compact"/>
              <w:jc w:val="left"/>
            </w:pPr>
            <w:r>
              <w:t xml:space="preserve">No SUBDIVISION-YEAR duplicates. No rows removed.</w:t>
            </w:r>
          </w:p>
        </w:tc>
      </w:tr>
      <w:tr>
        <w:tc>
          <w:tcPr/>
          <w:p>
            <w:pPr>
              <w:pStyle w:val="Compact"/>
              <w:jc w:val="right"/>
            </w:pPr>
            <w:r>
              <w:t xml:space="preserve">18</w:t>
            </w:r>
          </w:p>
        </w:tc>
        <w:tc>
          <w:tcPr/>
          <w:p>
            <w:pPr>
              <w:pStyle w:val="Compact"/>
              <w:jc w:val="left"/>
            </w:pPr>
            <w:r>
              <w:t xml:space="preserve">imd_subdivision</w:t>
            </w:r>
          </w:p>
        </w:tc>
        <w:tc>
          <w:tcPr/>
          <w:p>
            <w:pPr>
              <w:pStyle w:val="Compact"/>
              <w:jc w:val="left"/>
            </w:pPr>
            <w:r>
              <w:t xml:space="preserve">consistency_flags</w:t>
            </w:r>
          </w:p>
        </w:tc>
        <w:tc>
          <w:tcPr/>
          <w:p>
            <w:pPr>
              <w:pStyle w:val="Compact"/>
              <w:jc w:val="right"/>
            </w:pPr>
            <w:r>
              <w:t xml:space="preserve">0</w:t>
            </w:r>
          </w:p>
        </w:tc>
        <w:tc>
          <w:tcPr/>
          <w:p>
            <w:pPr>
              <w:pStyle w:val="Compact"/>
              <w:jc w:val="left"/>
            </w:pPr>
            <w:r>
              <w:t xml:space="preserve">Source derived totals retained. Inconsistencies &gt; 1 mm versus complete month sums are flagged, not overwritten.</w:t>
            </w:r>
          </w:p>
        </w:tc>
      </w:tr>
      <w:tr>
        <w:tc>
          <w:tcPr/>
          <w:p>
            <w:pPr>
              <w:pStyle w:val="Compact"/>
              <w:jc w:val="right"/>
            </w:pPr>
            <w:r>
              <w:t xml:space="preserve">19</w:t>
            </w:r>
          </w:p>
        </w:tc>
        <w:tc>
          <w:tcPr/>
          <w:p>
            <w:pPr>
              <w:pStyle w:val="Compact"/>
              <w:jc w:val="left"/>
            </w:pPr>
            <w:r>
              <w:t xml:space="preserve">imd_subdivision</w:t>
            </w:r>
          </w:p>
        </w:tc>
        <w:tc>
          <w:tcPr/>
          <w:p>
            <w:pPr>
              <w:pStyle w:val="Compact"/>
              <w:jc w:val="left"/>
            </w:pPr>
            <w:r>
              <w:t xml:space="preserve">reconstruct_derived_totals_if_source_NA</w:t>
            </w:r>
          </w:p>
        </w:tc>
        <w:tc>
          <w:tcPr/>
          <w:p>
            <w:pPr>
              <w:pStyle w:val="Compact"/>
              <w:jc w:val="right"/>
            </w:pPr>
            <w:r>
              <w:t xml:space="preserve">0</w:t>
            </w:r>
          </w:p>
        </w:tc>
        <w:tc>
          <w:tcPr/>
          <w:p>
            <w:pPr>
              <w:pStyle w:val="Compact"/>
              <w:jc w:val="left"/>
            </w:pPr>
            <w:r>
              <w:t xml:space="preserve">Where IMD omitted ANNUAL/JF/MAM/JJAS/OND but all constituent months are observed, the analysis column is the month sum. This does not invent monthly rain.</w:t>
            </w:r>
          </w:p>
        </w:tc>
      </w:tr>
      <w:tr>
        <w:tc>
          <w:tcPr/>
          <w:p>
            <w:pPr>
              <w:pStyle w:val="Compact"/>
              <w:jc w:val="right"/>
            </w:pPr>
            <w:r>
              <w:t xml:space="preserve">20</w:t>
            </w:r>
          </w:p>
        </w:tc>
        <w:tc>
          <w:tcPr/>
          <w:p>
            <w:pPr>
              <w:pStyle w:val="Compact"/>
              <w:jc w:val="left"/>
            </w:pPr>
            <w:r>
              <w:t xml:space="preserve">imd_subdivision</w:t>
            </w:r>
          </w:p>
        </w:tc>
        <w:tc>
          <w:tcPr/>
          <w:p>
            <w:pPr>
              <w:pStyle w:val="Compact"/>
              <w:jc w:val="left"/>
            </w:pPr>
            <w:r>
              <w:t xml:space="preserve">outlier_flag_iqr_k3_by_subdivision_month</w:t>
            </w:r>
          </w:p>
        </w:tc>
        <w:tc>
          <w:tcPr/>
          <w:p>
            <w:pPr>
              <w:pStyle w:val="Compact"/>
              <w:jc w:val="right"/>
            </w:pPr>
            <w:r>
              <w:t xml:space="preserve">887</w:t>
            </w:r>
          </w:p>
        </w:tc>
        <w:tc>
          <w:tcPr/>
          <w:p>
            <w:pPr>
              <w:pStyle w:val="Compact"/>
              <w:jc w:val="left"/>
            </w:pPr>
            <w:r>
              <w:t xml:space="preserve">Outliers flagged within each subdivision and month using 3xIQR. Extreme monsoon totals are retained.</w:t>
            </w:r>
          </w:p>
        </w:tc>
      </w:tr>
      <w:tr>
        <w:tc>
          <w:tcPr/>
          <w:p>
            <w:pPr>
              <w:pStyle w:val="Compact"/>
              <w:jc w:val="right"/>
            </w:pPr>
            <w:r>
              <w:t xml:space="preserve">21</w:t>
            </w:r>
          </w:p>
        </w:tc>
        <w:tc>
          <w:tcPr/>
          <w:p>
            <w:pPr>
              <w:pStyle w:val="Compact"/>
              <w:jc w:val="left"/>
            </w:pPr>
            <w:r>
              <w:t xml:space="preserve">imd_subdivision</w:t>
            </w:r>
          </w:p>
        </w:tc>
        <w:tc>
          <w:tcPr/>
          <w:p>
            <w:pPr>
              <w:pStyle w:val="Compact"/>
              <w:jc w:val="left"/>
            </w:pPr>
            <w:r>
              <w:t xml:space="preserve">retain_unbalanced_panel</w:t>
            </w:r>
          </w:p>
        </w:tc>
        <w:tc>
          <w:tcPr/>
          <w:p>
            <w:pPr>
              <w:pStyle w:val="Compact"/>
              <w:jc w:val="right"/>
            </w:pPr>
            <w:r>
              <w:t xml:space="preserve">9</w:t>
            </w:r>
          </w:p>
        </w:tc>
        <w:tc>
          <w:tcPr/>
          <w:p>
            <w:pPr>
              <w:pStyle w:val="Compact"/>
              <w:jc w:val="left"/>
            </w:pPr>
            <w:r>
              <w:t xml:space="preserve">Internal missing years (e.g. a subdivision with 1908 then 1910) are left as absent rows. No years were invented.</w:t>
            </w:r>
          </w:p>
        </w:tc>
      </w:tr>
      <w:tr>
        <w:tc>
          <w:tcPr/>
          <w:p>
            <w:pPr>
              <w:pStyle w:val="Compact"/>
              <w:jc w:val="right"/>
            </w:pPr>
            <w:r>
              <w:t xml:space="preserve">22</w:t>
            </w:r>
          </w:p>
        </w:tc>
        <w:tc>
          <w:tcPr/>
          <w:p>
            <w:pPr>
              <w:pStyle w:val="Compact"/>
              <w:jc w:val="left"/>
            </w:pPr>
            <w:r>
              <w:t xml:space="preserve">imd_subdivision</w:t>
            </w:r>
          </w:p>
        </w:tc>
        <w:tc>
          <w:tcPr/>
          <w:p>
            <w:pPr>
              <w:pStyle w:val="Compact"/>
              <w:jc w:val="left"/>
            </w:pPr>
            <w:r>
              <w:t xml:space="preserve">write_cleaned_copy</w:t>
            </w:r>
          </w:p>
        </w:tc>
        <w:tc>
          <w:tcPr/>
          <w:p>
            <w:pPr>
              <w:pStyle w:val="Compact"/>
              <w:jc w:val="right"/>
            </w:pPr>
            <w:r>
              <w:t xml:space="preserve">4188</w:t>
            </w:r>
          </w:p>
        </w:tc>
        <w:tc>
          <w:tcPr/>
          <w:p>
            <w:pPr>
              <w:pStyle w:val="Compact"/>
              <w:jc w:val="left"/>
            </w:pPr>
            <w:r>
              <w:t xml:space="preserve">Analysis copy written; original data/ CSV untouched.</w:t>
            </w:r>
          </w:p>
        </w:tc>
      </w:tr>
    </w:tbl>
    <w:p>
      <w:pPr>
        <w:pStyle w:val="BodyText"/>
      </w:pPr>
      <w:r>
        <w:rPr>
          <w:b/>
          <w:bCs/>
        </w:rPr>
        <w:t xml:space="preserve">Decisions that matter for later inference.</w:t>
      </w:r>
    </w:p>
    <w:p>
      <w:pPr>
        <w:pStyle w:val="Compact"/>
        <w:numPr>
          <w:ilvl w:val="0"/>
          <w:numId w:val="1004"/>
        </w:numPr>
      </w:pPr>
      <w:r>
        <w:rPr>
          <w:b/>
          <w:bCs/>
        </w:rPr>
        <w:t xml:space="preserve">Missing months.</w:t>
      </w:r>
      <w:r>
        <w:t xml:space="preserve"> </w:t>
      </w:r>
      <w:r>
        <w:t xml:space="preserve">Seventy monthly cells in the subdivision file are</w:t>
      </w:r>
      <w:r>
        <w:t xml:space="preserve"> </w:t>
      </w:r>
      <w:r>
        <w:rPr>
          <w:rStyle w:val="VerbatimChar"/>
        </w:rPr>
        <w:t xml:space="preserve">NA</w:t>
      </w:r>
      <w:r>
        <w:t xml:space="preserve">. Incomplete rows were</w:t>
      </w:r>
      <w:r>
        <w:t xml:space="preserve"> </w:t>
      </w:r>
      <w:r>
        <w:rPr>
          <w:b/>
          <w:bCs/>
        </w:rPr>
        <w:t xml:space="preserve">kept</w:t>
      </w:r>
      <w:r>
        <w:t xml:space="preserve">. Annual and monsoon analyses of subdivisions use years with all 12 months observed (</w:t>
      </w:r>
      <w:r>
        <w:rPr>
          <w:rStyle w:val="VerbatimChar"/>
        </w:rPr>
        <w:t xml:space="preserve">months_complete</w:t>
      </w:r>
      <w:r>
        <w:t xml:space="preserve">).</w:t>
      </w:r>
    </w:p>
    <w:p>
      <w:pPr>
        <w:pStyle w:val="Compact"/>
        <w:numPr>
          <w:ilvl w:val="0"/>
          <w:numId w:val="1004"/>
        </w:numPr>
      </w:pPr>
      <w:r>
        <w:rPr>
          <w:b/>
          <w:bCs/>
        </w:rPr>
        <w:t xml:space="preserve">Zeros.</w:t>
      </w:r>
      <w:r>
        <w:t xml:space="preserve"> </w:t>
      </w:r>
      <w:r>
        <w:t xml:space="preserve">3720 monthly zeros were retained as genuine dry months.</w:t>
      </w:r>
    </w:p>
    <w:p>
      <w:pPr>
        <w:pStyle w:val="Compact"/>
        <w:numPr>
          <w:ilvl w:val="0"/>
          <w:numId w:val="1004"/>
        </w:numPr>
      </w:pPr>
      <w:r>
        <w:rPr>
          <w:b/>
          <w:bCs/>
        </w:rPr>
        <w:t xml:space="preserve">No imputation.</w:t>
      </w:r>
      <w:r>
        <w:t xml:space="preserve"> </w:t>
      </w:r>
      <w:r>
        <w:t xml:space="preserve">Where a source annual or seasonal total was missing, reconstruction from months was allowed only if every constituent month was present. That case never occurred (</w:t>
      </w:r>
      <w:r>
        <w:rPr>
          <w:rStyle w:val="VerbatimChar"/>
        </w:rPr>
        <w:t xml:space="preserve">ANNUAL_filled = 0</w:t>
      </w:r>
      <w:r>
        <w:t xml:space="preserve">), because every missing annual already had a missing month.</w:t>
      </w:r>
    </w:p>
    <w:p>
      <w:pPr>
        <w:pStyle w:val="Compact"/>
        <w:numPr>
          <w:ilvl w:val="0"/>
          <w:numId w:val="1004"/>
        </w:numPr>
      </w:pPr>
      <w:r>
        <w:rPr>
          <w:b/>
          <w:bCs/>
        </w:rPr>
        <w:t xml:space="preserve">Duplicates.</w:t>
      </w:r>
      <w:r>
        <w:t xml:space="preserve"> </w:t>
      </w:r>
      <w:r>
        <w:t xml:space="preserve">None in either file.</w:t>
      </w:r>
    </w:p>
    <w:p>
      <w:pPr>
        <w:pStyle w:val="Compact"/>
        <w:numPr>
          <w:ilvl w:val="0"/>
          <w:numId w:val="1004"/>
        </w:numPr>
      </w:pPr>
      <w:r>
        <w:rPr>
          <w:b/>
          <w:bCs/>
        </w:rPr>
        <w:t xml:space="preserve">Consistency.</w:t>
      </w:r>
      <w:r>
        <w:t xml:space="preserve"> </w:t>
      </w:r>
      <w:r>
        <w:t xml:space="preserve">Source seasonal and annual totals agree with month sums within rounding (maximum absolute difference 0.3 mm nationally and 0.4 mm for subdivision annual totals). Nothing was overwritten.</w:t>
      </w:r>
    </w:p>
    <w:p>
      <w:pPr>
        <w:pStyle w:val="Compact"/>
        <w:numPr>
          <w:ilvl w:val="0"/>
          <w:numId w:val="1004"/>
        </w:numPr>
      </w:pPr>
      <w:r>
        <w:rPr>
          <w:b/>
          <w:bCs/>
        </w:rPr>
        <w:t xml:space="preserve">Outliers.</w:t>
      </w:r>
      <w:r>
        <w:t xml:space="preserve"> </w:t>
      </w:r>
      <w:r>
        <w:t xml:space="preserve">Conservative</w:t>
      </w:r>
      <w:r>
        <w:t xml:space="preserve"> </w:t>
      </w:r>
      <m:oMath>
        <m:r>
          <m:t>3</m:t>
        </m:r>
        <m:r>
          <m:rPr>
            <m:sty m:val="p"/>
          </m:rPr>
          <m:t>×</m:t>
        </m:r>
      </m:oMath>
      <w:r>
        <w:t xml:space="preserve">IQR flags were stored. Two national rows and 887 subdivision rows had at least one flagged month.</w:t>
      </w:r>
      <w:r>
        <w:t xml:space="preserve"> </w:t>
      </w:r>
      <w:r>
        <w:rPr>
          <w:b/>
          <w:bCs/>
        </w:rPr>
        <w:t xml:space="preserve">No extreme year was deleted</w:t>
      </w:r>
      <w:r>
        <w:t xml:space="preserve">; wet and dry extremes are part of the climate.</w:t>
      </w:r>
    </w:p>
    <w:p>
      <w:pPr>
        <w:pStyle w:val="Compact"/>
        <w:numPr>
          <w:ilvl w:val="0"/>
          <w:numId w:val="1004"/>
        </w:numPr>
      </w:pPr>
      <w:r>
        <w:rPr>
          <w:b/>
          <w:bCs/>
        </w:rPr>
        <w:t xml:space="preserve">Labels.</w:t>
      </w:r>
      <w:r>
        <w:t xml:space="preserve"> </w:t>
      </w:r>
      <w:r>
        <w:t xml:space="preserve">Historical IMD names (Orissa, Matathwada, Rayalseema) were kept after trimming whitespace.</w:t>
      </w:r>
    </w:p>
    <w:bookmarkEnd w:id="19"/>
    <w:bookmarkStart w:id="20" w:name="statistical-methodology"/>
    <w:p>
      <w:pPr>
        <w:pStyle w:val="Heading1"/>
      </w:pPr>
      <w:r>
        <w:t xml:space="preserve">Statistical methodology</w:t>
      </w:r>
    </w:p>
    <w:p>
      <w:pPr>
        <w:pStyle w:val="FirstParagraph"/>
      </w:pPr>
      <w:r>
        <w:t xml:space="preserve">Notation:</w:t>
      </w:r>
      <w:r>
        <w:t xml:space="preserve"> </w:t>
      </w:r>
      <m:oMath>
        <m:sSub>
          <m:e>
            <m:r>
              <m:t>X</m:t>
            </m:r>
          </m:e>
          <m:sub>
            <m:r>
              <m:t>1</m:t>
            </m:r>
          </m:sub>
        </m:sSub>
        <m:r>
          <m:rPr>
            <m:sty m:val="p"/>
          </m:rPr>
          <m:t>,</m:t>
        </m:r>
        <m:r>
          <m:rPr>
            <m:sty m:val="p"/>
          </m:rPr>
          <m:t>…</m:t>
        </m:r>
        <m:r>
          <m:rPr>
            <m:sty m:val="p"/>
          </m:rPr>
          <m:t>,</m:t>
        </m:r>
        <m:sSub>
          <m:e>
            <m:r>
              <m:t>X</m:t>
            </m:r>
          </m:e>
          <m:sub>
            <m:r>
              <m:t>n</m:t>
            </m:r>
          </m:sub>
        </m:sSub>
      </m:oMath>
      <w:r>
        <w:t xml:space="preserve"> </w:t>
      </w:r>
      <w:r>
        <w:t xml:space="preserve">are rainfall values in millimetres for a stated series;</w:t>
      </w:r>
      <w:r>
        <w:t xml:space="preserve"> </w:t>
      </w:r>
      <m:oMath>
        <m:acc>
          <m:accPr>
            <m:chr m:val="‾"/>
          </m:accPr>
          <m:e>
            <m:r>
              <m:t>x</m:t>
            </m:r>
          </m:e>
        </m:acc>
      </m:oMath>
      <w:r>
        <w:t xml:space="preserve"> </w:t>
      </w:r>
      <w:r>
        <w:t xml:space="preserve">is the sample mean;</w:t>
      </w:r>
      <w:r>
        <w:t xml:space="preserve"> </w:t>
      </w:r>
      <m:oMath>
        <m:r>
          <m:t>s</m:t>
        </m:r>
      </m:oMath>
      <w:r>
        <w:t xml:space="preserve"> </w:t>
      </w:r>
      <w:r>
        <w:t xml:space="preserve">is the sample standard deviation with divisor</w:t>
      </w:r>
      <w:r>
        <w:t xml:space="preserve"> </w:t>
      </w:r>
      <m:oMath>
        <m:r>
          <m:t>n</m:t>
        </m:r>
        <m:r>
          <m:rPr>
            <m:sty m:val="p"/>
          </m:rPr>
          <m:t>−</m:t>
        </m:r>
        <m:r>
          <m:t>1</m:t>
        </m:r>
      </m:oMath>
      <w:r>
        <w:t xml:space="preserve">;</w:t>
      </w:r>
      <w:r>
        <w:t xml:space="preserve"> </w:t>
      </w:r>
      <m:oMath>
        <m:r>
          <m:t>α</m:t>
        </m:r>
        <m:r>
          <m:rPr>
            <m:sty m:val="p"/>
          </m:rPr>
          <m:t>=</m:t>
        </m:r>
        <m:r>
          <m:t>0.05</m:t>
        </m:r>
      </m:oMath>
      <w:r>
        <w:t xml:space="preserve"> </w:t>
      </w:r>
      <w:r>
        <w:t xml:space="preserve">unless stated.</w:t>
      </w:r>
    </w:p>
    <w:p>
      <w:pPr>
        <w:pStyle w:val="BodyText"/>
      </w:pPr>
      <w:r>
        <w:rPr>
          <w:b/>
          <w:bCs/>
        </w:rPr>
        <w:t xml:space="preserve">Mean, variance, SD and CV.</w:t>
      </w:r>
    </w:p>
    <w:p>
      <w:pPr>
        <w:pStyle w:val="BodyText"/>
      </w:pPr>
      <m:oMathPara>
        <m:oMathParaPr>
          <m:jc m:val="center"/>
        </m:oMathParaPr>
        <m:oMath>
          <m:acc>
            <m:accPr>
              <m:chr m:val="‾"/>
            </m:accPr>
            <m:e>
              <m:r>
                <m:t>x</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x</m:t>
                  </m:r>
                </m:e>
                <m:sub>
                  <m:r>
                    <m:t>i</m:t>
                  </m:r>
                </m:sub>
              </m:sSub>
            </m:e>
          </m:nary>
          <m:r>
            <m:rPr>
              <m:sty m:val="p"/>
            </m:rPr>
            <m:t>,</m:t>
          </m:r>
          <m:r>
            <m:t>  </m:t>
          </m:r>
          <m:sSup>
            <m:e>
              <m:r>
                <m:t>s</m:t>
              </m:r>
            </m:e>
            <m:sup>
              <m:r>
                <m:t>2</m:t>
              </m:r>
            </m:sup>
          </m:sSup>
          <m:r>
            <m:rPr>
              <m:sty m:val="p"/>
            </m:rPr>
            <m:t>=</m:t>
          </m:r>
          <m:f>
            <m:fPr>
              <m:type m:val="bar"/>
            </m:fPr>
            <m:num>
              <m:r>
                <m:t>1</m:t>
              </m:r>
            </m:num>
            <m:den>
              <m:r>
                <m:t>n</m:t>
              </m:r>
              <m:r>
                <m:rPr>
                  <m:sty m:val="p"/>
                </m:rPr>
                <m:t>−</m:t>
              </m:r>
              <m:r>
                <m:t>1</m:t>
              </m:r>
            </m:den>
          </m:f>
          <m:nary>
            <m:naryPr>
              <m:chr m:val="∑"/>
              <m:limLoc m:val="undOvr"/>
              <m:subHide m:val="off"/>
              <m:supHide m:val="off"/>
            </m:naryPr>
            <m:sub>
              <m:r>
                <m:t>i</m:t>
              </m:r>
              <m:r>
                <m:rPr>
                  <m:sty m:val="p"/>
                </m:rPr>
                <m:t>=</m:t>
              </m:r>
              <m:r>
                <m:t>1</m:t>
              </m:r>
            </m:sub>
            <m:sup>
              <m:r>
                <m:t>n</m:t>
              </m:r>
            </m:sup>
            <m:e>
              <m:r>
                <m:rPr>
                  <m:sty m:val="p"/>
                </m:rPr>
                <m:t>(</m:t>
              </m:r>
            </m:e>
          </m:nary>
          <m:sSub>
            <m:e>
              <m:r>
                <m:t>x</m:t>
              </m:r>
            </m:e>
            <m:sub>
              <m:r>
                <m:t>i</m:t>
              </m:r>
            </m:sub>
          </m:sSub>
          <m:r>
            <m:rPr>
              <m:sty m:val="p"/>
            </m:rPr>
            <m:t>−</m:t>
          </m:r>
          <m:acc>
            <m:accPr>
              <m:chr m:val="‾"/>
            </m:accPr>
            <m:e>
              <m:r>
                <m:t>x</m:t>
              </m:r>
            </m:e>
          </m:acc>
          <m:sSup>
            <m:e>
              <m:r>
                <m:rPr>
                  <m:sty m:val="p"/>
                </m:rPr>
                <m:t>)</m:t>
              </m:r>
            </m:e>
            <m:sup>
              <m:r>
                <m:t>2</m:t>
              </m:r>
            </m:sup>
          </m:sSup>
          <m:r>
            <m:rPr>
              <m:sty m:val="p"/>
            </m:rPr>
            <m:t>,</m:t>
          </m:r>
          <m:r>
            <m:t>  </m:t>
          </m:r>
          <m:r>
            <m:rPr>
              <m:sty m:val="p"/>
            </m:rPr>
            <m:t>C</m:t>
          </m:r>
          <m:r>
            <m:rPr>
              <m:sty m:val="p"/>
            </m:rPr>
            <m:t>V</m:t>
          </m:r>
          <m:r>
            <m:rPr>
              <m:sty m:val="p"/>
            </m:rPr>
            <m:t>=</m:t>
          </m:r>
          <m:r>
            <m:t>100</m:t>
          </m:r>
          <m:r>
            <m:rPr>
              <m:sty m:val="p"/>
            </m:rPr>
            <m:t>⋅</m:t>
          </m:r>
          <m:f>
            <m:fPr>
              <m:type m:val="bar"/>
            </m:fPr>
            <m:num>
              <m:r>
                <m:t>s</m:t>
              </m:r>
            </m:num>
            <m:den>
              <m:acc>
                <m:accPr>
                  <m:chr m:val="‾"/>
                </m:accPr>
                <m:e>
                  <m:r>
                    <m:t>x</m:t>
                  </m:r>
                </m:e>
              </m:acc>
            </m:den>
          </m:f>
          <m:r>
            <m:rPr>
              <m:sty m:val="p"/>
            </m:rPr>
            <m:t>.</m:t>
          </m:r>
        </m:oMath>
      </m:oMathPara>
    </w:p>
    <w:p>
      <w:pPr>
        <w:pStyle w:val="FirstParagraph"/>
      </w:pPr>
      <w:r>
        <w:t xml:space="preserve">The CV compares relative variability of a wet coast and a dry desert.</w:t>
      </w:r>
    </w:p>
    <w:p>
      <w:pPr>
        <w:pStyle w:val="BodyText"/>
      </w:pPr>
      <w:r>
        <w:rPr>
          <w:b/>
          <w:bCs/>
        </w:rPr>
        <w:t xml:space="preserve">Standard error of the mean</w:t>
      </w:r>
      <w:r>
        <w:t xml:space="preserve"> </w:t>
      </w:r>
      <w:r>
        <w:t xml:space="preserve">(independent observations):</w:t>
      </w:r>
      <w:r>
        <w:t xml:space="preserve"> </w:t>
      </w:r>
      <m:oMath>
        <m:r>
          <m:rPr>
            <m:sty m:val="p"/>
          </m:rPr>
          <m:t>S</m:t>
        </m:r>
        <m:r>
          <m:rPr>
            <m:sty m:val="p"/>
          </m:rPr>
          <m:t>E</m:t>
        </m:r>
        <m:r>
          <m:rPr>
            <m:sty m:val="p"/>
          </m:rPr>
          <m:t>(</m:t>
        </m:r>
        <m:acc>
          <m:accPr>
            <m:chr m:val="‾"/>
          </m:accPr>
          <m:e>
            <m:r>
              <m:t>x</m:t>
            </m:r>
          </m:e>
        </m:acc>
        <m:r>
          <m:rPr>
            <m:sty m:val="p"/>
          </m:rPr>
          <m:t>)</m:t>
        </m:r>
        <m:r>
          <m:rPr>
            <m:sty m:val="p"/>
          </m:rPr>
          <m:t>=</m:t>
        </m:r>
        <m:r>
          <m:t>s</m:t>
        </m:r>
        <m:r>
          <m:rPr>
            <m:sty m:val="p"/>
          </m:rPr>
          <m:t>/</m:t>
        </m:r>
        <m:rad>
          <m:radPr>
            <m:degHide m:val="on"/>
          </m:radPr>
          <m:deg/>
          <m:e>
            <m:r>
              <m:t>n</m:t>
            </m:r>
          </m:e>
        </m:rad>
      </m:oMath>
      <w:r>
        <w:t xml:space="preserve">.</w:t>
      </w:r>
    </w:p>
    <w:p>
      <w:pPr>
        <w:pStyle w:val="BodyText"/>
      </w:pPr>
      <w:r>
        <w:rPr>
          <w:b/>
          <w:bCs/>
        </w:rPr>
        <w:t xml:space="preserve">Student</w:t>
      </w:r>
      <w:r>
        <w:rPr>
          <w:b/>
          <w:bCs/>
        </w:rPr>
        <w:t xml:space="preserve"> </w:t>
      </w:r>
      <m:oMath>
        <m:r>
          <m:t>t</m:t>
        </m:r>
      </m:oMath>
      <w:r>
        <w:rPr>
          <w:b/>
          <w:bCs/>
        </w:rPr>
        <w:t xml:space="preserve"> </w:t>
      </w:r>
      <w:r>
        <w:rPr>
          <w:b/>
          <w:bCs/>
        </w:rPr>
        <w:t xml:space="preserve">interval</w:t>
      </w:r>
      <w:r>
        <w:t xml:space="preserve"> </w:t>
      </w:r>
      <w:r>
        <w:t xml:space="preserve">for a mean:</w:t>
      </w:r>
    </w:p>
    <w:p>
      <w:pPr>
        <w:pStyle w:val="BodyText"/>
      </w:pPr>
      <m:oMathPara>
        <m:oMathParaPr>
          <m:jc m:val="center"/>
        </m:oMathParaPr>
        <m:oMath>
          <m:acc>
            <m:accPr>
              <m:chr m:val="‾"/>
            </m:accPr>
            <m:e>
              <m:r>
                <m:t>x</m:t>
              </m:r>
            </m:e>
          </m:acc>
          <m:r>
            <m:rPr>
              <m:sty m:val="p"/>
            </m:rPr>
            <m:t>±</m:t>
          </m:r>
          <m:sSub>
            <m:e>
              <m:r>
                <m:t>t</m:t>
              </m:r>
            </m:e>
            <m:sub>
              <m:r>
                <m:t>n</m:t>
              </m:r>
              <m:r>
                <m:rPr>
                  <m:sty m:val="p"/>
                </m:rPr>
                <m:t>−</m:t>
              </m:r>
              <m:r>
                <m:t>1</m:t>
              </m:r>
              <m:r>
                <m:rPr>
                  <m:sty m:val="p"/>
                </m:rPr>
                <m:t>,</m:t>
              </m:r>
              <m:r>
                <m:t>1</m:t>
              </m:r>
              <m:r>
                <m:rPr>
                  <m:sty m:val="p"/>
                </m:rPr>
                <m:t>−</m:t>
              </m:r>
              <m:r>
                <m:t>α</m:t>
              </m:r>
              <m:r>
                <m:rPr>
                  <m:sty m:val="p"/>
                </m:rPr>
                <m:t>/</m:t>
              </m:r>
              <m:r>
                <m:t>2</m:t>
              </m:r>
            </m:sub>
          </m:sSub>
          <m:r>
            <m:t> </m:t>
          </m:r>
          <m:f>
            <m:fPr>
              <m:type m:val="bar"/>
            </m:fPr>
            <m:num>
              <m:r>
                <m:t>s</m:t>
              </m:r>
            </m:num>
            <m:den>
              <m:rad>
                <m:radPr>
                  <m:degHide m:val="on"/>
                </m:radPr>
                <m:deg/>
                <m:e>
                  <m:r>
                    <m:t>n</m:t>
                  </m:r>
                </m:e>
              </m:rad>
            </m:den>
          </m:f>
          <m:r>
            <m:rPr>
              <m:sty m:val="p"/>
            </m:rPr>
            <m:t>.</m:t>
          </m:r>
        </m:oMath>
      </m:oMathPara>
    </w:p>
    <w:p>
      <w:pPr>
        <w:pStyle w:val="FirstParagraph"/>
      </w:pPr>
      <w:r>
        <w:rPr>
          <w:b/>
          <w:bCs/>
        </w:rPr>
        <w:t xml:space="preserve">Wald interval</w:t>
      </w:r>
      <w:r>
        <w:t xml:space="preserve"> </w:t>
      </w:r>
      <w:r>
        <w:t xml:space="preserve">for a proportion</w:t>
      </w:r>
      <w:r>
        <w:t xml:space="preserve"> </w:t>
      </w:r>
      <m:oMath>
        <m:acc>
          <m:accPr>
            <m:chr m:val="̂"/>
          </m:accPr>
          <m:e>
            <m:r>
              <m:t>p</m:t>
            </m:r>
          </m:e>
        </m:acc>
        <m:r>
          <m:rPr>
            <m:sty m:val="p"/>
          </m:rPr>
          <m:t>=</m:t>
        </m:r>
        <m:r>
          <m:t>x</m:t>
        </m:r>
        <m:r>
          <m:rPr>
            <m:sty m:val="p"/>
          </m:rPr>
          <m:t>/</m:t>
        </m:r>
        <m:r>
          <m:t>n</m:t>
        </m:r>
      </m:oMath>
      <w:r>
        <w:t xml:space="preserve">:</w:t>
      </w:r>
    </w:p>
    <w:p>
      <w:pPr>
        <w:pStyle w:val="BodyText"/>
      </w:pPr>
      <m:oMathPara>
        <m:oMathParaPr>
          <m:jc m:val="center"/>
        </m:oMathParaPr>
        <m:oMath>
          <m:acc>
            <m:accPr>
              <m:chr m:val="̂"/>
            </m:accPr>
            <m:e>
              <m:r>
                <m:t>p</m:t>
              </m:r>
            </m:e>
          </m:acc>
          <m:r>
            <m:rPr>
              <m:sty m:val="p"/>
            </m:rPr>
            <m:t>±</m:t>
          </m:r>
          <m:sSub>
            <m:e>
              <m:r>
                <m:t>z</m:t>
              </m:r>
            </m:e>
            <m:sub>
              <m:r>
                <m:t>1</m:t>
              </m:r>
              <m:r>
                <m:rPr>
                  <m:sty m:val="p"/>
                </m:rPr>
                <m:t>−</m:t>
              </m:r>
              <m:r>
                <m:t>α</m:t>
              </m:r>
              <m:r>
                <m:rPr>
                  <m:sty m:val="p"/>
                </m:rPr>
                <m:t>/</m:t>
              </m:r>
              <m:r>
                <m:t>2</m:t>
              </m:r>
            </m:sub>
          </m:sSub>
          <m:rad>
            <m:radPr>
              <m:degHide m:val="on"/>
            </m:radPr>
            <m:deg/>
            <m:e>
              <m:acc>
                <m:accPr>
                  <m:chr m:val="̂"/>
                </m:accPr>
                <m:e>
                  <m:r>
                    <m:t>p</m:t>
                  </m:r>
                </m:e>
              </m:acc>
              <m:r>
                <m:rPr>
                  <m:sty m:val="p"/>
                </m:rPr>
                <m:t>(</m:t>
              </m:r>
              <m:r>
                <m:t>1</m:t>
              </m:r>
              <m:r>
                <m:rPr>
                  <m:sty m:val="p"/>
                </m:rPr>
                <m:t>−</m:t>
              </m:r>
              <m:acc>
                <m:accPr>
                  <m:chr m:val="̂"/>
                </m:accPr>
                <m:e>
                  <m:r>
                    <m:t>p</m:t>
                  </m:r>
                </m:e>
              </m:acc>
              <m:r>
                <m:rPr>
                  <m:sty m:val="p"/>
                </m:rPr>
                <m:t>)</m:t>
              </m:r>
              <m:r>
                <m:rPr>
                  <m:sty m:val="p"/>
                </m:rPr>
                <m:t>/</m:t>
              </m:r>
              <m:r>
                <m:t>n</m:t>
              </m:r>
            </m:e>
          </m:rad>
          <m:r>
            <m:rPr>
              <m:sty m:val="p"/>
            </m:rPr>
            <m:t>.</m:t>
          </m:r>
        </m:oMath>
      </m:oMathPara>
    </w:p>
    <w:p>
      <w:pPr>
        <w:pStyle w:val="FirstParagraph"/>
      </w:pPr>
      <w:r>
        <w:rPr>
          <w:b/>
          <w:bCs/>
        </w:rPr>
        <w:t xml:space="preserve">Pearson correlation</w:t>
      </w:r>
      <w:r>
        <w:t xml:space="preserve"> </w:t>
      </w:r>
      <w:r>
        <w:t xml:space="preserve">(for linear association, not causation):</w:t>
      </w:r>
    </w:p>
    <w:p>
      <w:pPr>
        <w:pStyle w:val="BodyText"/>
      </w:pPr>
      <m:oMathPara>
        <m:oMathParaPr>
          <m:jc m:val="center"/>
        </m:oMathParaPr>
        <m:oMath>
          <m:r>
            <m:t>r</m:t>
          </m:r>
          <m:r>
            <m:rPr>
              <m:sty m:val="p"/>
            </m:rPr>
            <m:t>=</m:t>
          </m:r>
          <m:f>
            <m:fPr>
              <m:type m:val="bar"/>
            </m:fPr>
            <m:num>
              <m:r>
                <m:rPr>
                  <m:sty m:val="p"/>
                </m:rPr>
                <m:t>∑</m:t>
              </m:r>
              <m:r>
                <m:rPr>
                  <m:sty m:val="p"/>
                </m:rPr>
                <m:t>(</m:t>
              </m:r>
              <m:sSub>
                <m:e>
                  <m:r>
                    <m:t>x</m:t>
                  </m:r>
                </m:e>
                <m:sub>
                  <m:r>
                    <m:t>i</m:t>
                  </m:r>
                </m:sub>
              </m:sSub>
              <m:r>
                <m:rPr>
                  <m:sty m:val="p"/>
                </m:rPr>
                <m:t>−</m:t>
              </m:r>
              <m:acc>
                <m:accPr>
                  <m:chr m:val="‾"/>
                </m:accPr>
                <m:e>
                  <m:r>
                    <m:t>x</m:t>
                  </m:r>
                </m:e>
              </m:acc>
              <m:r>
                <m:rPr>
                  <m:sty m:val="p"/>
                </m:rPr>
                <m:t>)</m:t>
              </m:r>
              <m:r>
                <m:rPr>
                  <m:sty m:val="p"/>
                </m:rPr>
                <m:t>(</m:t>
              </m:r>
              <m:sSub>
                <m:e>
                  <m:r>
                    <m:t>y</m:t>
                  </m:r>
                </m:e>
                <m:sub>
                  <m:r>
                    <m:t>i</m:t>
                  </m:r>
                </m:sub>
              </m:sSub>
              <m:r>
                <m:rPr>
                  <m:sty m:val="p"/>
                </m:rPr>
                <m:t>−</m:t>
              </m:r>
              <m:acc>
                <m:accPr>
                  <m:chr m:val="‾"/>
                </m:accPr>
                <m:e>
                  <m:r>
                    <m:t>y</m:t>
                  </m:r>
                </m:e>
              </m:acc>
              <m:r>
                <m:rPr>
                  <m:sty m:val="p"/>
                </m:rPr>
                <m:t>)</m:t>
              </m:r>
            </m:num>
            <m:den>
              <m:rad>
                <m:radPr>
                  <m:degHide m:val="on"/>
                </m:radPr>
                <m:deg/>
                <m:e>
                  <m:r>
                    <m:rPr>
                      <m:sty m:val="p"/>
                    </m:rPr>
                    <m:t>∑</m:t>
                  </m:r>
                  <m:r>
                    <m:rPr>
                      <m:sty m:val="p"/>
                    </m:rPr>
                    <m:t>(</m:t>
                  </m:r>
                  <m:sSub>
                    <m:e>
                      <m:r>
                        <m:t>x</m:t>
                      </m:r>
                    </m:e>
                    <m:sub>
                      <m:r>
                        <m:t>i</m:t>
                      </m:r>
                    </m:sub>
                  </m:sSub>
                  <m:r>
                    <m:rPr>
                      <m:sty m:val="p"/>
                    </m:rPr>
                    <m:t>−</m:t>
                  </m:r>
                  <m:acc>
                    <m:accPr>
                      <m:chr m:val="‾"/>
                    </m:accPr>
                    <m:e>
                      <m:r>
                        <m:t>x</m:t>
                      </m:r>
                    </m:e>
                  </m:acc>
                  <m:sSup>
                    <m:e>
                      <m:r>
                        <m:rPr>
                          <m:sty m:val="p"/>
                        </m:rPr>
                        <m:t>)</m:t>
                      </m:r>
                    </m:e>
                    <m:sup>
                      <m:r>
                        <m:t>2</m:t>
                      </m:r>
                    </m:sup>
                  </m:sSup>
                  <m:r>
                    <m:rPr>
                      <m:sty m:val="p"/>
                    </m:rPr>
                    <m:t>∑</m:t>
                  </m:r>
                  <m:r>
                    <m:rPr>
                      <m:sty m:val="p"/>
                    </m:rPr>
                    <m:t>(</m:t>
                  </m:r>
                  <m:sSub>
                    <m:e>
                      <m:r>
                        <m:t>y</m:t>
                      </m:r>
                    </m:e>
                    <m:sub>
                      <m:r>
                        <m:t>i</m:t>
                      </m:r>
                    </m:sub>
                  </m:sSub>
                  <m:r>
                    <m:rPr>
                      <m:sty m:val="p"/>
                    </m:rPr>
                    <m:t>−</m:t>
                  </m:r>
                  <m:acc>
                    <m:accPr>
                      <m:chr m:val="‾"/>
                    </m:accPr>
                    <m:e>
                      <m:r>
                        <m:t>y</m:t>
                      </m:r>
                    </m:e>
                  </m:acc>
                  <m:sSup>
                    <m:e>
                      <m:r>
                        <m:rPr>
                          <m:sty m:val="p"/>
                        </m:rPr>
                        <m:t>)</m:t>
                      </m:r>
                    </m:e>
                    <m:sup>
                      <m:r>
                        <m:t>2</m:t>
                      </m:r>
                    </m:sup>
                  </m:sSup>
                </m:e>
              </m:rad>
            </m:den>
          </m:f>
          <m:r>
            <m:rPr>
              <m:sty m:val="p"/>
            </m:rPr>
            <m:t>.</m:t>
          </m:r>
        </m:oMath>
      </m:oMathPara>
    </w:p>
    <w:p>
      <w:pPr>
        <w:pStyle w:val="FirstParagraph"/>
      </w:pPr>
      <w:r>
        <w:rPr>
          <w:b/>
          <w:bCs/>
        </w:rPr>
        <w:t xml:space="preserve">Simple linear regression.</w:t>
      </w:r>
      <w:r>
        <w:t xml:space="preserve"> </w:t>
      </w:r>
      <m:oMath>
        <m:sSub>
          <m:e>
            <m:r>
              <m:t>Y</m:t>
            </m:r>
          </m:e>
          <m:sub>
            <m:r>
              <m:t>i</m:t>
            </m:r>
          </m:sub>
        </m:sSub>
        <m:r>
          <m:rPr>
            <m:sty m:val="p"/>
          </m:rPr>
          <m:t>=</m:t>
        </m:r>
        <m:sSub>
          <m:e>
            <m:r>
              <m:t>β</m:t>
            </m:r>
          </m:e>
          <m:sub>
            <m:r>
              <m:t>0</m:t>
            </m:r>
          </m:sub>
        </m:sSub>
        <m:r>
          <m:rPr>
            <m:sty m:val="p"/>
          </m:rPr>
          <m:t>+</m:t>
        </m:r>
        <m:sSub>
          <m:e>
            <m:r>
              <m:t>β</m:t>
            </m:r>
          </m:e>
          <m:sub>
            <m:r>
              <m:t>1</m:t>
            </m:r>
          </m:sub>
        </m:sSub>
        <m:sSub>
          <m:e>
            <m:r>
              <m:t>t</m:t>
            </m:r>
          </m:e>
          <m:sub>
            <m:r>
              <m:t>i</m:t>
            </m:r>
          </m:sub>
        </m:sSub>
        <m:r>
          <m:rPr>
            <m:sty m:val="p"/>
          </m:rPr>
          <m:t>+</m:t>
        </m:r>
        <m:sSub>
          <m:e>
            <m:r>
              <m:t>ε</m:t>
            </m:r>
          </m:e>
          <m:sub>
            <m:r>
              <m:t>i</m:t>
            </m:r>
          </m:sub>
        </m:sSub>
      </m:oMath>
      <w:r>
        <w:t xml:space="preserve"> </w:t>
      </w:r>
      <w:r>
        <w:t xml:space="preserve">with year</w:t>
      </w:r>
      <w:r>
        <w:t xml:space="preserve"> </w:t>
      </w:r>
      <m:oMath>
        <m:sSub>
          <m:e>
            <m:r>
              <m:t>t</m:t>
            </m:r>
          </m:e>
          <m:sub>
            <m:r>
              <m:t>i</m:t>
            </m:r>
          </m:sub>
        </m:sSub>
      </m:oMath>
      <w:r>
        <w:t xml:space="preserve">. Ordinary least squares is used as a</w:t>
      </w:r>
      <w:r>
        <w:t xml:space="preserve"> </w:t>
      </w:r>
      <w:r>
        <w:rPr>
          <w:i/>
          <w:iCs/>
        </w:rPr>
        <w:t xml:space="preserve">descriptive</w:t>
      </w:r>
      <w:r>
        <w:t xml:space="preserve"> </w:t>
      </w:r>
      <w:r>
        <w:t xml:space="preserve">line. Residual plots, Shapiro–Wilk on residuals, a screen of</w:t>
      </w:r>
      <w:r>
        <w:t xml:space="preserve"> </w:t>
      </w:r>
      <m:oMath>
        <m:sSubSup>
          <m:e>
            <m:r>
              <m:t>e</m:t>
            </m:r>
          </m:e>
          <m:sub>
            <m:r>
              <m:t>i</m:t>
            </m:r>
          </m:sub>
          <m:sup>
            <m:r>
              <m:t>2</m:t>
            </m:r>
          </m:sup>
        </m:sSubSup>
      </m:oMath>
      <w:r>
        <w:t xml:space="preserve"> </w:t>
      </w:r>
      <w:r>
        <w:t xml:space="preserve">against fitted values, Cook’s distance and the Durbin–Watson statistic</w:t>
      </w:r>
      <w:r>
        <w:t xml:space="preserve"> </w:t>
      </w:r>
      <m:oMath>
        <m:r>
          <m:t>d</m:t>
        </m:r>
        <m:r>
          <m:rPr>
            <m:sty m:val="p"/>
          </m:rPr>
          <m:t>=</m:t>
        </m:r>
        <m:r>
          <m:rPr>
            <m:sty m:val="p"/>
          </m:rPr>
          <m:t>∑</m:t>
        </m:r>
        <m:r>
          <m:rPr>
            <m:sty m:val="p"/>
          </m:rPr>
          <m:t>(</m:t>
        </m:r>
        <m:sSub>
          <m:e>
            <m:acc>
              <m:accPr>
                <m:chr m:val="̂"/>
              </m:accPr>
              <m:e>
                <m:r>
                  <m:t>e</m:t>
                </m:r>
              </m:e>
            </m:acc>
          </m:e>
          <m:sub>
            <m:r>
              <m:t>i</m:t>
            </m:r>
          </m:sub>
        </m:sSub>
        <m:r>
          <m:rPr>
            <m:sty m:val="p"/>
          </m:rPr>
          <m:t>−</m:t>
        </m:r>
        <m:sSub>
          <m:e>
            <m:acc>
              <m:accPr>
                <m:chr m:val="̂"/>
              </m:accPr>
              <m:e>
                <m:r>
                  <m:t>e</m:t>
                </m:r>
              </m:e>
            </m:acc>
          </m:e>
          <m:sub>
            <m:r>
              <m:t>i</m:t>
            </m:r>
            <m:r>
              <m:rPr>
                <m:sty m:val="p"/>
              </m:rPr>
              <m:t>−</m:t>
            </m:r>
            <m:r>
              <m:t>1</m:t>
            </m:r>
          </m:sub>
        </m:sSub>
        <m:sSup>
          <m:e>
            <m:r>
              <m:rPr>
                <m:sty m:val="p"/>
              </m:rPr>
              <m:t>)</m:t>
            </m:r>
          </m:e>
          <m:sup>
            <m:r>
              <m:t>2</m:t>
            </m:r>
          </m:sup>
        </m:sSup>
        <m:r>
          <m:rPr>
            <m:sty m:val="p"/>
          </m:rPr>
          <m:t>/</m:t>
        </m:r>
        <m:r>
          <m:rPr>
            <m:sty m:val="p"/>
          </m:rPr>
          <m:t>∑</m:t>
        </m:r>
        <m:sSubSup>
          <m:e>
            <m:acc>
              <m:accPr>
                <m:chr m:val="̂"/>
              </m:accPr>
              <m:e>
                <m:r>
                  <m:t>e</m:t>
                </m:r>
              </m:e>
            </m:acc>
          </m:e>
          <m:sub>
            <m:r>
              <m:t>i</m:t>
            </m:r>
          </m:sub>
          <m:sup>
            <m:r>
              <m:t>2</m:t>
            </m:r>
          </m:sup>
        </m:sSubSup>
      </m:oMath>
      <w:r>
        <w:t xml:space="preserve"> </w:t>
      </w:r>
      <w:r>
        <w:t xml:space="preserve">are reported. If residuals are serially correlated, OLS</w:t>
      </w:r>
      <w:r>
        <w:t xml:space="preserve"> </w:t>
      </w:r>
      <m:oMath>
        <m:r>
          <m:t>p</m:t>
        </m:r>
      </m:oMath>
      <w:r>
        <w:t xml:space="preserve">-values are treated as approximate.</w:t>
      </w:r>
    </w:p>
    <w:p>
      <w:pPr>
        <w:pStyle w:val="BodyText"/>
      </w:pPr>
      <w:r>
        <w:rPr>
          <w:b/>
          <w:bCs/>
        </w:rPr>
        <w:t xml:space="preserve">Welch two-sample</w:t>
      </w:r>
      <w:r>
        <w:rPr>
          <w:b/>
          <w:bCs/>
        </w:rPr>
        <w:t xml:space="preserve"> </w:t>
      </w:r>
      <m:oMath>
        <m:r>
          <m:t>t</m:t>
        </m:r>
      </m:oMath>
      <w:r>
        <w:t xml:space="preserve"> </w:t>
      </w:r>
      <w:r>
        <w:t xml:space="preserve">is used when two</w:t>
      </w:r>
      <w:r>
        <w:t xml:space="preserve"> </w:t>
      </w:r>
      <w:r>
        <w:rPr>
          <w:i/>
          <w:iCs/>
        </w:rPr>
        <w:t xml:space="preserve">places</w:t>
      </w:r>
      <w:r>
        <w:t xml:space="preserve"> </w:t>
      </w:r>
      <w:r>
        <w:t xml:space="preserve">are compared and variances differ.</w:t>
      </w:r>
      <w:r>
        <w:t xml:space="preserve"> </w:t>
      </w:r>
      <w:r>
        <w:rPr>
          <w:b/>
          <w:bCs/>
        </w:rPr>
        <w:t xml:space="preserve">Paired</w:t>
      </w:r>
      <w:r>
        <w:rPr>
          <w:b/>
          <w:bCs/>
        </w:rPr>
        <w:t xml:space="preserve"> </w:t>
      </w:r>
      <m:oMath>
        <m:r>
          <m:t>t</m:t>
        </m:r>
      </m:oMath>
      <w:r>
        <w:t xml:space="preserve"> </w:t>
      </w:r>
      <w:r>
        <w:t xml:space="preserve">is used when two seasons belong to the</w:t>
      </w:r>
      <w:r>
        <w:t xml:space="preserve"> </w:t>
      </w:r>
      <w:r>
        <w:rPr>
          <w:i/>
          <w:iCs/>
        </w:rPr>
        <w:t xml:space="preserve">same year</w:t>
      </w:r>
      <w:r>
        <w:t xml:space="preserve">. Independent-sample tests are not applied to paired seasons.</w:t>
      </w:r>
    </w:p>
    <w:p>
      <w:pPr>
        <w:pStyle w:val="BodyText"/>
      </w:pPr>
      <w:r>
        <w:rPr>
          <w:b/>
          <w:bCs/>
        </w:rPr>
        <w:t xml:space="preserve">ANOVA.</w:t>
      </w:r>
      <w:r>
        <w:t xml:space="preserve"> </w:t>
      </w:r>
      <w:r>
        <w:t xml:space="preserve">Classical one-way ANOVA assumes independent groups, similar variances and approximate normality. Fligner–Killeen tests variances. If they differ,</w:t>
      </w:r>
      <w:r>
        <w:t xml:space="preserve"> </w:t>
      </w:r>
      <w:r>
        <w:rPr>
          <w:b/>
          <w:bCs/>
        </w:rPr>
        <w:t xml:space="preserve">Welch ANOVA</w:t>
      </w:r>
      <w:r>
        <w:t xml:space="preserve"> </w:t>
      </w:r>
      <w:r>
        <w:t xml:space="preserve">and Bonferroni pairwise Welch tests are preferred; Kruskal–Wallis is reported as a rank alternative.</w:t>
      </w:r>
    </w:p>
    <w:p>
      <w:pPr>
        <w:pStyle w:val="BodyText"/>
      </w:pPr>
      <w:r>
        <w:rPr>
          <w:b/>
          <w:bCs/>
        </w:rPr>
        <w:t xml:space="preserve">Distributions.</w:t>
      </w:r>
      <w:r>
        <w:t xml:space="preserve"> </w:t>
      </w:r>
      <w:r>
        <w:t xml:space="preserve">Gamma (positive, possibly skewed) is fitted by maximum likelihood. Exponential (gamma with shape 1, and</w:t>
      </w:r>
      <w:r>
        <w:t xml:space="preserve"> </w:t>
      </w:r>
      <m:oMath>
        <m:r>
          <m:rPr>
            <m:sty m:val="p"/>
          </m:rPr>
          <m:t>S</m:t>
        </m:r>
        <m:r>
          <m:rPr>
            <m:sty m:val="p"/>
          </m:rPr>
          <m:t>D</m:t>
        </m:r>
        <m:r>
          <m:rPr>
            <m:sty m:val="p"/>
          </m:rPr>
          <m:t>=</m:t>
        </m:r>
        <m:r>
          <m:rPr>
            <m:sty m:val="p"/>
          </m:rPr>
          <m:t>m</m:t>
        </m:r>
        <m:r>
          <m:rPr>
            <m:sty m:val="p"/>
          </m:rPr>
          <m:t>e</m:t>
        </m:r>
        <m:r>
          <m:rPr>
            <m:sty m:val="p"/>
          </m:rPr>
          <m:t>a</m:t>
        </m:r>
        <m:r>
          <m:rPr>
            <m:sty m:val="p"/>
          </m:rPr>
          <m:t>n</m:t>
        </m:r>
      </m:oMath>
      <w:r>
        <w:t xml:space="preserve">) is fitted only as a poor reference. The ordinary one-sample Kolmogorov–Smirnov</w:t>
      </w:r>
      <w:r>
        <w:t xml:space="preserve"> </w:t>
      </w:r>
      <m:oMath>
        <m:r>
          <m:t>p</m:t>
        </m:r>
      </m:oMath>
      <w:r>
        <w:t xml:space="preserve">-value is</w:t>
      </w:r>
      <w:r>
        <w:t xml:space="preserve"> </w:t>
      </w:r>
      <w:r>
        <w:rPr>
          <w:b/>
          <w:bCs/>
        </w:rPr>
        <w:t xml:space="preserve">not</w:t>
      </w:r>
      <w:r>
        <w:t xml:space="preserve"> </w:t>
      </w:r>
      <w:r>
        <w:t xml:space="preserve">used when parameters are estimated from the same sample (Lilliefors problem). A parametric bootstrap with</w:t>
      </w:r>
      <w:r>
        <w:t xml:space="preserve"> </w:t>
      </w:r>
      <m:oMath>
        <m:r>
          <m:t>B</m:t>
        </m:r>
        <m:r>
          <m:rPr>
            <m:sty m:val="p"/>
          </m:rPr>
          <m:t>=</m:t>
        </m:r>
        <m:r>
          <m:t>400</m:t>
        </m:r>
      </m:oMath>
      <w:r>
        <w:t xml:space="preserve"> </w:t>
      </w:r>
      <w:r>
        <w:t xml:space="preserve">and seed 19012015 re-estimates parameters in each replicate.</w:t>
      </w:r>
    </w:p>
    <w:p>
      <w:pPr>
        <w:pStyle w:val="BodyText"/>
      </w:pPr>
      <w:r>
        <w:rPr>
          <w:b/>
          <w:bCs/>
        </w:rPr>
        <w:t xml:space="preserve">Trend.</w:t>
      </w:r>
      <w:r>
        <w:t xml:space="preserve"> </w:t>
      </w:r>
      <w:r>
        <w:t xml:space="preserve">Mann–Kendall tests</w:t>
      </w:r>
      <w:r>
        <w:t xml:space="preserve"> </w:t>
      </w:r>
      <m:oMath>
        <m:sSub>
          <m:e>
            <m:r>
              <m:t>H</m:t>
            </m:r>
          </m:e>
          <m:sub>
            <m:r>
              <m:t>0</m:t>
            </m:r>
          </m:sub>
        </m:sSub>
      </m:oMath>
      <w:r>
        <w:t xml:space="preserve">: no monotonic trend, using</w:t>
      </w:r>
    </w:p>
    <w:p>
      <w:pPr>
        <w:pStyle w:val="BodyText"/>
      </w:pPr>
      <m:oMathPara>
        <m:oMathParaPr>
          <m:jc m:val="center"/>
        </m:oMathParaPr>
        <m:oMath>
          <m:r>
            <m:t>S</m:t>
          </m:r>
          <m:r>
            <m:rPr>
              <m:sty m:val="p"/>
            </m:rPr>
            <m:t>=</m:t>
          </m:r>
          <m:nary>
            <m:naryPr>
              <m:chr m:val="∑"/>
              <m:limLoc m:val="undOvr"/>
              <m:subHide m:val="off"/>
              <m:supHide m:val="on"/>
            </m:naryPr>
            <m:sub>
              <m:r>
                <m:t>i</m:t>
              </m:r>
              <m:r>
                <m:rPr>
                  <m:sty m:val="p"/>
                </m:rPr>
                <m:t>&lt;</m:t>
              </m:r>
              <m:r>
                <m:t>j</m:t>
              </m:r>
            </m:sub>
            <m:sup>
              <m:r>
                <m:t>​</m:t>
              </m:r>
            </m:sup>
            <m:e>
              <m:r>
                <m:rPr>
                  <m:sty m:val="p"/>
                </m:rPr>
                <m:t>s</m:t>
              </m:r>
              <m:r>
                <m:rPr>
                  <m:sty m:val="p"/>
                </m:rPr>
                <m:t>i</m:t>
              </m:r>
              <m:r>
                <m:rPr>
                  <m:sty m:val="p"/>
                </m:rPr>
                <m:t>g</m:t>
              </m:r>
              <m:r>
                <m:rPr>
                  <m:sty m:val="p"/>
                </m:rPr>
                <m:t>n</m:t>
              </m:r>
            </m:e>
          </m:nary>
          <m:r>
            <m:rPr>
              <m:sty m:val="p"/>
            </m:rPr>
            <m:t>(</m:t>
          </m:r>
          <m:sSub>
            <m:e>
              <m:r>
                <m:t>x</m:t>
              </m:r>
            </m:e>
            <m:sub>
              <m:r>
                <m:t>j</m:t>
              </m:r>
            </m:sub>
          </m:sSub>
          <m:r>
            <m:rPr>
              <m:sty m:val="p"/>
            </m:rPr>
            <m:t>−</m:t>
          </m:r>
          <m:sSub>
            <m:e>
              <m:r>
                <m:t>x</m:t>
              </m:r>
            </m:e>
            <m:sub>
              <m:r>
                <m:t>i</m:t>
              </m:r>
            </m:sub>
          </m:sSub>
          <m:r>
            <m:rPr>
              <m:sty m:val="p"/>
            </m:rPr>
            <m:t>)</m:t>
          </m:r>
          <m:r>
            <m:rPr>
              <m:sty m:val="p"/>
            </m:rPr>
            <m:t>,</m:t>
          </m:r>
        </m:oMath>
      </m:oMathPara>
    </w:p>
    <w:p>
      <w:pPr>
        <w:pStyle w:val="FirstParagraph"/>
      </w:pPr>
      <w:r>
        <w:t xml:space="preserve">with a normal approximation for</w:t>
      </w:r>
      <w:r>
        <w:t xml:space="preserve"> </w:t>
      </w:r>
      <m:oMath>
        <m:r>
          <m:t>Z</m:t>
        </m:r>
      </m:oMath>
      <w:r>
        <w:t xml:space="preserve"> </w:t>
      </w:r>
      <w:r>
        <w:t xml:space="preserve">after a tie correction. Sen’s slope is the median of pairwise slopes</w:t>
      </w:r>
      <w:r>
        <w:t xml:space="preserve"> </w:t>
      </w:r>
      <m:oMath>
        <m:r>
          <m:rPr>
            <m:sty m:val="p"/>
          </m:rPr>
          <m:t>(</m:t>
        </m:r>
        <m:sSub>
          <m:e>
            <m:r>
              <m:t>x</m:t>
            </m:r>
          </m:e>
          <m:sub>
            <m:r>
              <m:t>j</m:t>
            </m:r>
          </m:sub>
        </m:sSub>
        <m:r>
          <m:rPr>
            <m:sty m:val="p"/>
          </m:rPr>
          <m:t>−</m:t>
        </m:r>
        <m:sSub>
          <m:e>
            <m:r>
              <m:t>x</m:t>
            </m:r>
          </m:e>
          <m:sub>
            <m:r>
              <m:t>i</m:t>
            </m:r>
          </m:sub>
        </m:sSub>
        <m:r>
          <m:rPr>
            <m:sty m:val="p"/>
          </m:rPr>
          <m:t>)</m:t>
        </m:r>
        <m:r>
          <m:rPr>
            <m:sty m:val="p"/>
          </m:rPr>
          <m:t>/</m:t>
        </m:r>
        <m:r>
          <m:rPr>
            <m:sty m:val="p"/>
          </m:rPr>
          <m:t>(</m:t>
        </m:r>
        <m:sSub>
          <m:e>
            <m:r>
              <m:t>t</m:t>
            </m:r>
          </m:e>
          <m:sub>
            <m:r>
              <m:t>j</m:t>
            </m:r>
          </m:sub>
        </m:sSub>
        <m:r>
          <m:rPr>
            <m:sty m:val="p"/>
          </m:rPr>
          <m:t>−</m:t>
        </m:r>
        <m:sSub>
          <m:e>
            <m:r>
              <m:t>t</m:t>
            </m:r>
          </m:e>
          <m:sub>
            <m:r>
              <m:t>i</m:t>
            </m:r>
          </m:sub>
        </m:sSub>
        <m:r>
          <m:rPr>
            <m:sty m:val="p"/>
          </m:rPr>
          <m:t>)</m:t>
        </m:r>
      </m:oMath>
      <w:r>
        <w:t xml:space="preserve">. These tests describe association with time in 1901–2015; they are not attribution.</w:t>
      </w:r>
    </w:p>
    <w:p>
      <w:pPr>
        <w:pStyle w:val="BodyText"/>
      </w:pPr>
      <w:r>
        <w:rPr>
          <w:b/>
          <w:bCs/>
        </w:rPr>
        <w:t xml:space="preserve">Software.</w:t>
      </w:r>
      <w:r>
        <w:t xml:space="preserve"> </w:t>
      </w:r>
      <w:r>
        <w:t xml:space="preserve">Base R 4.6.1 only for analysis (</w:t>
      </w:r>
      <w:r>
        <w:rPr>
          <w:rStyle w:val="VerbatimChar"/>
        </w:rPr>
        <w:t xml:space="preserve">stats</w:t>
      </w:r>
      <w:r>
        <w:t xml:space="preserve">,</w:t>
      </w:r>
      <w:r>
        <w:t xml:space="preserve"> </w:t>
      </w:r>
      <w:r>
        <w:rPr>
          <w:rStyle w:val="VerbatimChar"/>
        </w:rPr>
        <w:t xml:space="preserve">graphics</w:t>
      </w:r>
      <w:r>
        <w:t xml:space="preserve">,</w:t>
      </w:r>
      <w:r>
        <w:t xml:space="preserve"> </w:t>
      </w:r>
      <w:r>
        <w:rPr>
          <w:rStyle w:val="VerbatimChar"/>
        </w:rPr>
        <w:t xml:space="preserve">grDevices</w:t>
      </w:r>
      <w:r>
        <w:t xml:space="preserve">). Random seed for simulations: 19012015.</w:t>
      </w:r>
    </w:p>
    <w:bookmarkEnd w:id="20"/>
    <w:bookmarkStart w:id="30" w:name="descriptive-statistics"/>
    <w:p>
      <w:pPr>
        <w:pStyle w:val="Heading1"/>
      </w:pPr>
      <w:r>
        <w:t xml:space="preserve">Descriptive statistics</w:t>
      </w:r>
    </w:p>
    <w:p>
      <w:pPr>
        <w:pStyle w:val="FirstParagraph"/>
      </w:pPr>
      <w:r>
        <w:t xml:space="preserve">All-India results use 115 complete years, 1901–2015. Table 2 summarises seasons and the year.</w:t>
      </w:r>
    </w:p>
    <w:p>
      <w:pPr>
        <w:pStyle w:val="TableCaption"/>
      </w:pPr>
      <w:r>
        <w:t xml:space="preserve">Table 2. All-India seasonal and annual rainfall (mm), 1901–2015.</w:t>
      </w:r>
    </w:p>
    <w:tbl>
      <w:tblPr>
        <w:tblStyle w:val="Table"/>
        <w:tblW w:type="pct" w:w="5000"/>
        <w:tblLayout w:type="fixed"/>
        <w:tblLook w:firstRow="1" w:lastRow="0" w:firstColumn="0" w:lastColumn="0" w:noHBand="0" w:noVBand="0" w:val="0020"/>
        <w:tblCaption w:val="Table 2. All-India seasonal and annual rainfall (mm), 1901–2015."/>
      </w:tblPr>
      <w:tblGrid>
        <w:gridCol w:w="2145"/>
        <w:gridCol w:w="330"/>
        <w:gridCol w:w="660"/>
        <w:gridCol w:w="577"/>
        <w:gridCol w:w="577"/>
        <w:gridCol w:w="495"/>
        <w:gridCol w:w="495"/>
        <w:gridCol w:w="577"/>
        <w:gridCol w:w="742"/>
        <w:gridCol w:w="1320"/>
      </w:tblGrid>
      <w:tr>
        <w:trPr>
          <w:tblHeader w:val="on"/>
        </w:trPr>
        <w:tc>
          <w:tcPr/>
          <w:p>
            <w:pPr>
              <w:pStyle w:val="Compact"/>
              <w:jc w:val="left"/>
            </w:pPr>
            <w:r>
              <w:t xml:space="preserve">Series</w:t>
            </w:r>
          </w:p>
        </w:tc>
        <w:tc>
          <w:tcPr/>
          <w:p>
            <w:pPr>
              <w:pStyle w:val="Compact"/>
              <w:jc w:val="right"/>
            </w:pPr>
            <w:r>
              <w:t xml:space="preserve">n</w:t>
            </w:r>
          </w:p>
        </w:tc>
        <w:tc>
          <w:tcPr/>
          <w:p>
            <w:pPr>
              <w:pStyle w:val="Compact"/>
              <w:jc w:val="right"/>
            </w:pPr>
            <w:r>
              <w:t xml:space="preserve">Mean</w:t>
            </w:r>
          </w:p>
        </w:tc>
        <w:tc>
          <w:tcPr/>
          <w:p>
            <w:pPr>
              <w:pStyle w:val="Compact"/>
              <w:jc w:val="right"/>
            </w:pPr>
            <w:r>
              <w:t xml:space="preserve">Median</w:t>
            </w:r>
          </w:p>
        </w:tc>
        <w:tc>
          <w:tcPr/>
          <w:p>
            <w:pPr>
              <w:pStyle w:val="Compact"/>
              <w:jc w:val="right"/>
            </w:pPr>
            <w:r>
              <w:t xml:space="preserve">SD</w:t>
            </w:r>
          </w:p>
        </w:tc>
        <w:tc>
          <w:tcPr/>
          <w:p>
            <w:pPr>
              <w:pStyle w:val="Compact"/>
              <w:jc w:val="right"/>
            </w:pPr>
            <w:r>
              <w:t xml:space="preserve">CV %</w:t>
            </w:r>
          </w:p>
        </w:tc>
        <w:tc>
          <w:tcPr/>
          <w:p>
            <w:pPr>
              <w:pStyle w:val="Compact"/>
              <w:jc w:val="right"/>
            </w:pPr>
            <w:r>
              <w:t xml:space="preserve">Min</w:t>
            </w:r>
          </w:p>
        </w:tc>
        <w:tc>
          <w:tcPr/>
          <w:p>
            <w:pPr>
              <w:pStyle w:val="Compact"/>
              <w:jc w:val="right"/>
            </w:pPr>
            <w:r>
              <w:t xml:space="preserve">Max</w:t>
            </w:r>
          </w:p>
        </w:tc>
        <w:tc>
          <w:tcPr/>
          <w:p>
            <w:pPr>
              <w:pStyle w:val="Compact"/>
              <w:jc w:val="right"/>
            </w:pPr>
            <w:r>
              <w:t xml:space="preserve">Skewness</w:t>
            </w:r>
          </w:p>
        </w:tc>
        <w:tc>
          <w:tcPr/>
          <w:p>
            <w:pPr>
              <w:pStyle w:val="Compact"/>
              <w:jc w:val="right"/>
            </w:pPr>
            <w:r>
              <w:t xml:space="preserve">Excess kurtosis</w:t>
            </w:r>
          </w:p>
        </w:tc>
      </w:tr>
      <w:tr>
        <w:tc>
          <w:tcPr/>
          <w:p>
            <w:pPr>
              <w:pStyle w:val="Compact"/>
              <w:jc w:val="left"/>
            </w:pPr>
            <w:r>
              <w:t xml:space="preserve">annual</w:t>
            </w:r>
          </w:p>
        </w:tc>
        <w:tc>
          <w:tcPr/>
          <w:p>
            <w:pPr>
              <w:pStyle w:val="Compact"/>
              <w:jc w:val="right"/>
            </w:pPr>
            <w:r>
              <w:t xml:space="preserve">115</w:t>
            </w:r>
          </w:p>
        </w:tc>
        <w:tc>
          <w:tcPr/>
          <w:p>
            <w:pPr>
              <w:pStyle w:val="Compact"/>
              <w:jc w:val="right"/>
            </w:pPr>
            <w:r>
              <w:t xml:space="preserve">1182.03</w:t>
            </w:r>
          </w:p>
        </w:tc>
        <w:tc>
          <w:tcPr/>
          <w:p>
            <w:pPr>
              <w:pStyle w:val="Compact"/>
              <w:jc w:val="right"/>
            </w:pPr>
            <w:r>
              <w:t xml:space="preserve">1190.5</w:t>
            </w:r>
          </w:p>
        </w:tc>
        <w:tc>
          <w:tcPr/>
          <w:p>
            <w:pPr>
              <w:pStyle w:val="Compact"/>
              <w:jc w:val="right"/>
            </w:pPr>
            <w:r>
              <w:t xml:space="preserve">110.69</w:t>
            </w:r>
          </w:p>
        </w:tc>
        <w:tc>
          <w:tcPr/>
          <w:p>
            <w:pPr>
              <w:pStyle w:val="Compact"/>
              <w:jc w:val="right"/>
            </w:pPr>
            <w:r>
              <w:t xml:space="preserve">9.36</w:t>
            </w:r>
          </w:p>
        </w:tc>
        <w:tc>
          <w:tcPr/>
          <w:p>
            <w:pPr>
              <w:pStyle w:val="Compact"/>
              <w:jc w:val="right"/>
            </w:pPr>
            <w:r>
              <w:t xml:space="preserve">920.8</w:t>
            </w:r>
          </w:p>
        </w:tc>
        <w:tc>
          <w:tcPr/>
          <w:p>
            <w:pPr>
              <w:pStyle w:val="Compact"/>
              <w:jc w:val="right"/>
            </w:pPr>
            <w:r>
              <w:t xml:space="preserve">1480.3</w:t>
            </w:r>
          </w:p>
        </w:tc>
        <w:tc>
          <w:tcPr/>
          <w:p>
            <w:pPr>
              <w:pStyle w:val="Compact"/>
              <w:jc w:val="right"/>
            </w:pPr>
            <w:r>
              <w:t xml:space="preserve">0.02</w:t>
            </w:r>
          </w:p>
        </w:tc>
        <w:tc>
          <w:tcPr/>
          <w:p>
            <w:pPr>
              <w:pStyle w:val="Compact"/>
              <w:jc w:val="right"/>
            </w:pPr>
            <w:r>
              <w:t xml:space="preserve">-0.19</w:t>
            </w:r>
          </w:p>
        </w:tc>
      </w:tr>
      <w:tr>
        <w:tc>
          <w:tcPr/>
          <w:p>
            <w:pPr>
              <w:pStyle w:val="Compact"/>
              <w:jc w:val="left"/>
            </w:pPr>
            <w:r>
              <w:t xml:space="preserve">Jan-Feb winter</w:t>
            </w:r>
          </w:p>
        </w:tc>
        <w:tc>
          <w:tcPr/>
          <w:p>
            <w:pPr>
              <w:pStyle w:val="Compact"/>
              <w:jc w:val="right"/>
            </w:pPr>
            <w:r>
              <w:t xml:space="preserve">115</w:t>
            </w:r>
          </w:p>
        </w:tc>
        <w:tc>
          <w:tcPr/>
          <w:p>
            <w:pPr>
              <w:pStyle w:val="Compact"/>
              <w:jc w:val="right"/>
            </w:pPr>
            <w:r>
              <w:t xml:space="preserve">43.19</w:t>
            </w:r>
          </w:p>
        </w:tc>
        <w:tc>
          <w:tcPr/>
          <w:p>
            <w:pPr>
              <w:pStyle w:val="Compact"/>
              <w:jc w:val="right"/>
            </w:pPr>
            <w:r>
              <w:t xml:space="preserve">41.3</w:t>
            </w:r>
          </w:p>
        </w:tc>
        <w:tc>
          <w:tcPr/>
          <w:p>
            <w:pPr>
              <w:pStyle w:val="Compact"/>
              <w:jc w:val="right"/>
            </w:pPr>
            <w:r>
              <w:t xml:space="preserve">14.48</w:t>
            </w:r>
          </w:p>
        </w:tc>
        <w:tc>
          <w:tcPr/>
          <w:p>
            <w:pPr>
              <w:pStyle w:val="Compact"/>
              <w:jc w:val="right"/>
            </w:pPr>
            <w:r>
              <w:t xml:space="preserve">33.52</w:t>
            </w:r>
          </w:p>
        </w:tc>
        <w:tc>
          <w:tcPr/>
          <w:p>
            <w:pPr>
              <w:pStyle w:val="Compact"/>
              <w:jc w:val="right"/>
            </w:pPr>
            <w:r>
              <w:t xml:space="preserve">11.7</w:t>
            </w:r>
          </w:p>
        </w:tc>
        <w:tc>
          <w:tcPr/>
          <w:p>
            <w:pPr>
              <w:pStyle w:val="Compact"/>
              <w:jc w:val="right"/>
            </w:pPr>
            <w:r>
              <w:t xml:space="preserve">86.3</w:t>
            </w:r>
          </w:p>
        </w:tc>
        <w:tc>
          <w:tcPr/>
          <w:p>
            <w:pPr>
              <w:pStyle w:val="Compact"/>
              <w:jc w:val="right"/>
            </w:pPr>
            <w:r>
              <w:t xml:space="preserve">0.39</w:t>
            </w:r>
          </w:p>
        </w:tc>
        <w:tc>
          <w:tcPr/>
          <w:p>
            <w:pPr>
              <w:pStyle w:val="Compact"/>
              <w:jc w:val="right"/>
            </w:pPr>
            <w:r>
              <w:t xml:space="preserve">0.01</w:t>
            </w:r>
          </w:p>
        </w:tc>
      </w:tr>
      <w:tr>
        <w:tc>
          <w:tcPr/>
          <w:p>
            <w:pPr>
              <w:pStyle w:val="Compact"/>
              <w:jc w:val="left"/>
            </w:pPr>
            <w:r>
              <w:t xml:space="preserve">Mar-May pre-monsoon</w:t>
            </w:r>
          </w:p>
        </w:tc>
        <w:tc>
          <w:tcPr/>
          <w:p>
            <w:pPr>
              <w:pStyle w:val="Compact"/>
              <w:jc w:val="right"/>
            </w:pPr>
            <w:r>
              <w:t xml:space="preserve">115</w:t>
            </w:r>
          </w:p>
        </w:tc>
        <w:tc>
          <w:tcPr/>
          <w:p>
            <w:pPr>
              <w:pStyle w:val="Compact"/>
              <w:jc w:val="right"/>
            </w:pPr>
            <w:r>
              <w:t xml:space="preserve">128.69</w:t>
            </w:r>
          </w:p>
        </w:tc>
        <w:tc>
          <w:tcPr/>
          <w:p>
            <w:pPr>
              <w:pStyle w:val="Compact"/>
              <w:jc w:val="right"/>
            </w:pPr>
            <w:r>
              <w:t xml:space="preserve">125.1</w:t>
            </w:r>
          </w:p>
        </w:tc>
        <w:tc>
          <w:tcPr/>
          <w:p>
            <w:pPr>
              <w:pStyle w:val="Compact"/>
              <w:jc w:val="right"/>
            </w:pPr>
            <w:r>
              <w:t xml:space="preserve">22.90</w:t>
            </w:r>
          </w:p>
        </w:tc>
        <w:tc>
          <w:tcPr/>
          <w:p>
            <w:pPr>
              <w:pStyle w:val="Compact"/>
              <w:jc w:val="right"/>
            </w:pPr>
            <w:r>
              <w:t xml:space="preserve">17.79</w:t>
            </w:r>
          </w:p>
        </w:tc>
        <w:tc>
          <w:tcPr/>
          <w:p>
            <w:pPr>
              <w:pStyle w:val="Compact"/>
              <w:jc w:val="right"/>
            </w:pPr>
            <w:r>
              <w:t xml:space="preserve">84.5</w:t>
            </w:r>
          </w:p>
        </w:tc>
        <w:tc>
          <w:tcPr/>
          <w:p>
            <w:pPr>
              <w:pStyle w:val="Compact"/>
              <w:jc w:val="right"/>
            </w:pPr>
            <w:r>
              <w:t xml:space="preserve">209.7</w:t>
            </w:r>
          </w:p>
        </w:tc>
        <w:tc>
          <w:tcPr/>
          <w:p>
            <w:pPr>
              <w:pStyle w:val="Compact"/>
              <w:jc w:val="right"/>
            </w:pPr>
            <w:r>
              <w:t xml:space="preserve">0.74</w:t>
            </w:r>
          </w:p>
        </w:tc>
        <w:tc>
          <w:tcPr/>
          <w:p>
            <w:pPr>
              <w:pStyle w:val="Compact"/>
              <w:jc w:val="right"/>
            </w:pPr>
            <w:r>
              <w:t xml:space="preserve">0.80</w:t>
            </w:r>
          </w:p>
        </w:tc>
      </w:tr>
      <w:tr>
        <w:tc>
          <w:tcPr/>
          <w:p>
            <w:pPr>
              <w:pStyle w:val="Compact"/>
              <w:jc w:val="left"/>
            </w:pPr>
            <w:r>
              <w:t xml:space="preserve">Jun-Sep southwest monsoon</w:t>
            </w:r>
          </w:p>
        </w:tc>
        <w:tc>
          <w:tcPr/>
          <w:p>
            <w:pPr>
              <w:pStyle w:val="Compact"/>
              <w:jc w:val="right"/>
            </w:pPr>
            <w:r>
              <w:t xml:space="preserve">115</w:t>
            </w:r>
          </w:p>
        </w:tc>
        <w:tc>
          <w:tcPr/>
          <w:p>
            <w:pPr>
              <w:pStyle w:val="Compact"/>
              <w:jc w:val="right"/>
            </w:pPr>
            <w:r>
              <w:t xml:space="preserve">890.26</w:t>
            </w:r>
          </w:p>
        </w:tc>
        <w:tc>
          <w:tcPr/>
          <w:p>
            <w:pPr>
              <w:pStyle w:val="Compact"/>
              <w:jc w:val="right"/>
            </w:pPr>
            <w:r>
              <w:t xml:space="preserve">897.8</w:t>
            </w:r>
          </w:p>
        </w:tc>
        <w:tc>
          <w:tcPr/>
          <w:p>
            <w:pPr>
              <w:pStyle w:val="Compact"/>
              <w:jc w:val="right"/>
            </w:pPr>
            <w:r>
              <w:t xml:space="preserve">89.18</w:t>
            </w:r>
          </w:p>
        </w:tc>
        <w:tc>
          <w:tcPr/>
          <w:p>
            <w:pPr>
              <w:pStyle w:val="Compact"/>
              <w:jc w:val="right"/>
            </w:pPr>
            <w:r>
              <w:t xml:space="preserve">10.02</w:t>
            </w:r>
          </w:p>
        </w:tc>
        <w:tc>
          <w:tcPr/>
          <w:p>
            <w:pPr>
              <w:pStyle w:val="Compact"/>
              <w:jc w:val="right"/>
            </w:pPr>
            <w:r>
              <w:t xml:space="preserve">679.5</w:t>
            </w:r>
          </w:p>
        </w:tc>
        <w:tc>
          <w:tcPr/>
          <w:p>
            <w:pPr>
              <w:pStyle w:val="Compact"/>
              <w:jc w:val="right"/>
            </w:pPr>
            <w:r>
              <w:t xml:space="preserve">1094.5</w:t>
            </w:r>
          </w:p>
        </w:tc>
        <w:tc>
          <w:tcPr/>
          <w:p>
            <w:pPr>
              <w:pStyle w:val="Compact"/>
              <w:jc w:val="right"/>
            </w:pPr>
            <w:r>
              <w:t xml:space="preserve">-0.29</w:t>
            </w:r>
          </w:p>
        </w:tc>
        <w:tc>
          <w:tcPr/>
          <w:p>
            <w:pPr>
              <w:pStyle w:val="Compact"/>
              <w:jc w:val="right"/>
            </w:pPr>
            <w:r>
              <w:t xml:space="preserve">-0.43</w:t>
            </w:r>
          </w:p>
        </w:tc>
      </w:tr>
      <w:tr>
        <w:tc>
          <w:tcPr/>
          <w:p>
            <w:pPr>
              <w:pStyle w:val="Compact"/>
              <w:jc w:val="left"/>
            </w:pPr>
            <w:r>
              <w:t xml:space="preserve">Oct-Dec post-monsoon</w:t>
            </w:r>
          </w:p>
        </w:tc>
        <w:tc>
          <w:tcPr/>
          <w:p>
            <w:pPr>
              <w:pStyle w:val="Compact"/>
              <w:jc w:val="right"/>
            </w:pPr>
            <w:r>
              <w:t xml:space="preserve">115</w:t>
            </w:r>
          </w:p>
        </w:tc>
        <w:tc>
          <w:tcPr/>
          <w:p>
            <w:pPr>
              <w:pStyle w:val="Compact"/>
              <w:jc w:val="right"/>
            </w:pPr>
            <w:r>
              <w:t xml:space="preserve">119.88</w:t>
            </w:r>
          </w:p>
        </w:tc>
        <w:tc>
          <w:tcPr/>
          <w:p>
            <w:pPr>
              <w:pStyle w:val="Compact"/>
              <w:jc w:val="right"/>
            </w:pPr>
            <w:r>
              <w:t xml:space="preserve">116.2</w:t>
            </w:r>
          </w:p>
        </w:tc>
        <w:tc>
          <w:tcPr/>
          <w:p>
            <w:pPr>
              <w:pStyle w:val="Compact"/>
              <w:jc w:val="right"/>
            </w:pPr>
            <w:r>
              <w:t xml:space="preserve">32.47</w:t>
            </w:r>
          </w:p>
        </w:tc>
        <w:tc>
          <w:tcPr/>
          <w:p>
            <w:pPr>
              <w:pStyle w:val="Compact"/>
              <w:jc w:val="right"/>
            </w:pPr>
            <w:r>
              <w:t xml:space="preserve">27.08</w:t>
            </w:r>
          </w:p>
        </w:tc>
        <w:tc>
          <w:tcPr/>
          <w:p>
            <w:pPr>
              <w:pStyle w:val="Compact"/>
              <w:jc w:val="right"/>
            </w:pPr>
            <w:r>
              <w:t xml:space="preserve">52.7</w:t>
            </w:r>
          </w:p>
        </w:tc>
        <w:tc>
          <w:tcPr/>
          <w:p>
            <w:pPr>
              <w:pStyle w:val="Compact"/>
              <w:jc w:val="right"/>
            </w:pPr>
            <w:r>
              <w:t xml:space="preserve">207.5</w:t>
            </w:r>
          </w:p>
        </w:tc>
        <w:tc>
          <w:tcPr/>
          <w:p>
            <w:pPr>
              <w:pStyle w:val="Compact"/>
              <w:jc w:val="right"/>
            </w:pPr>
            <w:r>
              <w:t xml:space="preserve">0.38</w:t>
            </w:r>
          </w:p>
        </w:tc>
        <w:tc>
          <w:tcPr/>
          <w:p>
            <w:pPr>
              <w:pStyle w:val="Compact"/>
              <w:jc w:val="right"/>
            </w:pPr>
            <w:r>
              <w:t xml:space="preserve">-0.23</w:t>
            </w:r>
          </w:p>
        </w:tc>
      </w:tr>
    </w:tbl>
    <w:p>
      <w:pPr>
        <w:pStyle w:val="BodyText"/>
      </w:pPr>
      <w:r>
        <w:rPr>
          <w:b/>
          <w:bCs/>
        </w:rPr>
        <w:t xml:space="preserve">What the measures say.</w:t>
      </w:r>
      <w:r>
        <w:t xml:space="preserve"> </w:t>
      </w:r>
      <w:r>
        <w:t xml:space="preserve">The mean annual total is 1182.03 mm and the median is 1190.50 mm, so the centre is not being pulled by a few catastrophic years. The range is 920.80 to 1480.30 mm. The SD of 110.69 mm and CV of 9.36% show moderate year-to-year variation</w:t>
      </w:r>
      <w:r>
        <w:t xml:space="preserve"> </w:t>
      </w:r>
      <w:r>
        <w:rPr>
          <w:i/>
          <w:iCs/>
        </w:rPr>
        <w:t xml:space="preserve">relative to the mean</w:t>
      </w:r>
      <w:r>
        <w:t xml:space="preserve">. Skewness 0.020 and excess kurtosis -0.193 are close to the normal values 0 and 0: at the all-India annual scale, spatial averaging has already removed much of the skewness seen in local daily rain. A unique sample mode after rounding to 0.1 mm does not exist for annual totals (continuous series with almost unique values).</w:t>
      </w:r>
    </w:p>
    <w:p>
      <w:pPr>
        <w:pStyle w:val="BodyText"/>
      </w:pPr>
      <w:r>
        <w:t xml:space="preserve">June–September averages 890.26 mm, which is 75.3% of the annual mean. Winter averages only 43.19 mm. Relative variability is highest in winter (CV 33.52%) and post-monsoon (CV 27.08%), and lowest in the monsoon (CV 10.02%).</w:t>
      </w:r>
    </w:p>
    <w:p>
      <w:pPr>
        <w:pStyle w:val="CaptionedFigure"/>
      </w:pPr>
      <w:r>
        <w:drawing>
          <wp:inline>
            <wp:extent cx="4907280" cy="3271520"/>
            <wp:effectExtent b="0" l="0" r="0" t="0"/>
            <wp:docPr descr="Figure 1. All-India area-weighted mean monthly rainfall (mm), 1901–2015." title="" id="22" name="Picture"/>
            <a:graphic>
              <a:graphicData uri="http://schemas.openxmlformats.org/drawingml/2006/picture">
                <pic:pic>
                  <pic:nvPicPr>
                    <pic:cNvPr descr="../graphs/india_monthly_mean_rainfall.png" id="23" name="Picture"/>
                    <pic:cNvPicPr>
                      <a:picLocks noChangeArrowheads="1" noChangeAspect="1"/>
                    </pic:cNvPicPr>
                  </pic:nvPicPr>
                  <pic:blipFill>
                    <a:blip r:embed="rId21"/>
                    <a:stretch>
                      <a:fillRect/>
                    </a:stretch>
                  </pic:blipFill>
                  <pic:spPr bwMode="auto">
                    <a:xfrm>
                      <a:off x="0" y="0"/>
                      <a:ext cx="4907280" cy="3271520"/>
                    </a:xfrm>
                    <a:prstGeom prst="rect">
                      <a:avLst/>
                    </a:prstGeom>
                    <a:noFill/>
                    <a:ln w="9525">
                      <a:noFill/>
                      <a:headEnd/>
                      <a:tailEnd/>
                    </a:ln>
                  </pic:spPr>
                </pic:pic>
              </a:graphicData>
            </a:graphic>
          </wp:inline>
        </w:drawing>
      </w:r>
    </w:p>
    <w:p>
      <w:pPr>
        <w:pStyle w:val="ImageCaption"/>
      </w:pPr>
      <w:r>
        <w:t xml:space="preserve">Figure 1. All-India area-weighted mean monthly rainfall (mm), 1901–2015.</w:t>
      </w:r>
    </w:p>
    <w:p>
      <w:pPr>
        <w:pStyle w:val="BodyText"/>
      </w:pPr>
      <w:r>
        <w:t xml:space="preserve">Figure 1 and Table 3 show the annual cycle: July (291.02 mm) and August (258.40 mm) dominate; December is driest (14.98 mm) with the largest CV (58.67%).</w:t>
      </w:r>
    </w:p>
    <w:p>
      <w:pPr>
        <w:pStyle w:val="TableCaption"/>
      </w:pPr>
      <w:r>
        <w:t xml:space="preserve">Table 3. All-India monthly rainfall (mm), 1901–2015, n = 115.</w:t>
      </w:r>
    </w:p>
    <w:tbl>
      <w:tblPr>
        <w:tblStyle w:val="Table"/>
        <w:tblW w:type="auto" w:w="0"/>
        <w:tblLook w:firstRow="1" w:lastRow="0" w:firstColumn="0" w:lastColumn="0" w:noHBand="0" w:noVBand="0" w:val="0020"/>
        <w:tblCaption w:val="Table 3. All-India monthly rainfall (mm), 1901–2015, n = 115."/>
      </w:tblPr>
      <w:tblGrid>
        <w:gridCol w:w="1131"/>
        <w:gridCol w:w="1131"/>
        <w:gridCol w:w="1131"/>
        <w:gridCol w:w="1131"/>
        <w:gridCol w:w="1131"/>
        <w:gridCol w:w="1131"/>
        <w:gridCol w:w="1131"/>
      </w:tblGrid>
      <w:tr>
        <w:trPr>
          <w:tblHeader w:val="on"/>
        </w:trPr>
        <w:tc>
          <w:tcPr/>
          <w:p>
            <w:pPr>
              <w:pStyle w:val="Compact"/>
              <w:jc w:val="left"/>
            </w:pPr>
            <w:r>
              <w:t xml:space="preserve">Month</w:t>
            </w:r>
          </w:p>
        </w:tc>
        <w:tc>
          <w:tcPr/>
          <w:p>
            <w:pPr>
              <w:pStyle w:val="Compact"/>
              <w:jc w:val="right"/>
            </w:pPr>
            <w:r>
              <w:t xml:space="preserve">Mean</w:t>
            </w:r>
          </w:p>
        </w:tc>
        <w:tc>
          <w:tcPr/>
          <w:p>
            <w:pPr>
              <w:pStyle w:val="Compact"/>
              <w:jc w:val="right"/>
            </w:pPr>
            <w:r>
              <w:t xml:space="preserve">Median</w:t>
            </w:r>
          </w:p>
        </w:tc>
        <w:tc>
          <w:tcPr/>
          <w:p>
            <w:pPr>
              <w:pStyle w:val="Compact"/>
              <w:jc w:val="right"/>
            </w:pPr>
            <w:r>
              <w:t xml:space="preserve">SD</w:t>
            </w:r>
          </w:p>
        </w:tc>
        <w:tc>
          <w:tcPr/>
          <w:p>
            <w:pPr>
              <w:pStyle w:val="Compact"/>
              <w:jc w:val="right"/>
            </w:pPr>
            <w:r>
              <w:t xml:space="preserve">CV %</w:t>
            </w:r>
          </w:p>
        </w:tc>
        <w:tc>
          <w:tcPr/>
          <w:p>
            <w:pPr>
              <w:pStyle w:val="Compact"/>
              <w:jc w:val="right"/>
            </w:pPr>
            <w:r>
              <w:t xml:space="preserve">Min</w:t>
            </w:r>
          </w:p>
        </w:tc>
        <w:tc>
          <w:tcPr/>
          <w:p>
            <w:pPr>
              <w:pStyle w:val="Compact"/>
              <w:jc w:val="right"/>
            </w:pPr>
            <w:r>
              <w:t xml:space="preserve">Max</w:t>
            </w:r>
          </w:p>
        </w:tc>
      </w:tr>
      <w:tr>
        <w:tc>
          <w:tcPr/>
          <w:p>
            <w:pPr>
              <w:pStyle w:val="Compact"/>
              <w:jc w:val="left"/>
            </w:pPr>
            <w:r>
              <w:t xml:space="preserve">JAN</w:t>
            </w:r>
          </w:p>
        </w:tc>
        <w:tc>
          <w:tcPr/>
          <w:p>
            <w:pPr>
              <w:pStyle w:val="Compact"/>
              <w:jc w:val="right"/>
            </w:pPr>
            <w:r>
              <w:t xml:space="preserve">19.76</w:t>
            </w:r>
          </w:p>
        </w:tc>
        <w:tc>
          <w:tcPr/>
          <w:p>
            <w:pPr>
              <w:pStyle w:val="Compact"/>
              <w:jc w:val="right"/>
            </w:pPr>
            <w:r>
              <w:t xml:space="preserve">17.8</w:t>
            </w:r>
          </w:p>
        </w:tc>
        <w:tc>
          <w:tcPr/>
          <w:p>
            <w:pPr>
              <w:pStyle w:val="Compact"/>
              <w:jc w:val="right"/>
            </w:pPr>
            <w:r>
              <w:t xml:space="preserve">9.99</w:t>
            </w:r>
          </w:p>
        </w:tc>
        <w:tc>
          <w:tcPr/>
          <w:p>
            <w:pPr>
              <w:pStyle w:val="Compact"/>
              <w:jc w:val="right"/>
            </w:pPr>
            <w:r>
              <w:t xml:space="preserve">50.57</w:t>
            </w:r>
          </w:p>
        </w:tc>
        <w:tc>
          <w:tcPr/>
          <w:p>
            <w:pPr>
              <w:pStyle w:val="Compact"/>
              <w:jc w:val="right"/>
            </w:pPr>
            <w:r>
              <w:t xml:space="preserve">2.7</w:t>
            </w:r>
          </w:p>
        </w:tc>
        <w:tc>
          <w:tcPr/>
          <w:p>
            <w:pPr>
              <w:pStyle w:val="Compact"/>
              <w:jc w:val="right"/>
            </w:pPr>
            <w:r>
              <w:t xml:space="preserve">58.5</w:t>
            </w:r>
          </w:p>
        </w:tc>
      </w:tr>
      <w:tr>
        <w:tc>
          <w:tcPr/>
          <w:p>
            <w:pPr>
              <w:pStyle w:val="Compact"/>
              <w:jc w:val="left"/>
            </w:pPr>
            <w:r>
              <w:t xml:space="preserve">FEB</w:t>
            </w:r>
          </w:p>
        </w:tc>
        <w:tc>
          <w:tcPr/>
          <w:p>
            <w:pPr>
              <w:pStyle w:val="Compact"/>
              <w:jc w:val="right"/>
            </w:pPr>
            <w:r>
              <w:t xml:space="preserve">23.43</w:t>
            </w:r>
          </w:p>
        </w:tc>
        <w:tc>
          <w:tcPr/>
          <w:p>
            <w:pPr>
              <w:pStyle w:val="Compact"/>
              <w:jc w:val="right"/>
            </w:pPr>
            <w:r>
              <w:t xml:space="preserve">22.5</w:t>
            </w:r>
          </w:p>
        </w:tc>
        <w:tc>
          <w:tcPr/>
          <w:p>
            <w:pPr>
              <w:pStyle w:val="Compact"/>
              <w:jc w:val="right"/>
            </w:pPr>
            <w:r>
              <w:t xml:space="preserve">11.51</w:t>
            </w:r>
          </w:p>
        </w:tc>
        <w:tc>
          <w:tcPr/>
          <w:p>
            <w:pPr>
              <w:pStyle w:val="Compact"/>
              <w:jc w:val="right"/>
            </w:pPr>
            <w:r>
              <w:t xml:space="preserve">49.13</w:t>
            </w:r>
          </w:p>
        </w:tc>
        <w:tc>
          <w:tcPr/>
          <w:p>
            <w:pPr>
              <w:pStyle w:val="Compact"/>
              <w:jc w:val="right"/>
            </w:pPr>
            <w:r>
              <w:t xml:space="preserve">2.7</w:t>
            </w:r>
          </w:p>
        </w:tc>
        <w:tc>
          <w:tcPr/>
          <w:p>
            <w:pPr>
              <w:pStyle w:val="Compact"/>
              <w:jc w:val="right"/>
            </w:pPr>
            <w:r>
              <w:t xml:space="preserve">53.8</w:t>
            </w:r>
          </w:p>
        </w:tc>
      </w:tr>
      <w:tr>
        <w:tc>
          <w:tcPr/>
          <w:p>
            <w:pPr>
              <w:pStyle w:val="Compact"/>
              <w:jc w:val="left"/>
            </w:pPr>
            <w:r>
              <w:t xml:space="preserve">MAR</w:t>
            </w:r>
          </w:p>
        </w:tc>
        <w:tc>
          <w:tcPr/>
          <w:p>
            <w:pPr>
              <w:pStyle w:val="Compact"/>
              <w:jc w:val="right"/>
            </w:pPr>
            <w:r>
              <w:t xml:space="preserve">28.25</w:t>
            </w:r>
          </w:p>
        </w:tc>
        <w:tc>
          <w:tcPr/>
          <w:p>
            <w:pPr>
              <w:pStyle w:val="Compact"/>
              <w:jc w:val="right"/>
            </w:pPr>
            <w:r>
              <w:t xml:space="preserve">25.5</w:t>
            </w:r>
          </w:p>
        </w:tc>
        <w:tc>
          <w:tcPr/>
          <w:p>
            <w:pPr>
              <w:pStyle w:val="Compact"/>
              <w:jc w:val="right"/>
            </w:pPr>
            <w:r>
              <w:t xml:space="preserve">12.29</w:t>
            </w:r>
          </w:p>
        </w:tc>
        <w:tc>
          <w:tcPr/>
          <w:p>
            <w:pPr>
              <w:pStyle w:val="Compact"/>
              <w:jc w:val="right"/>
            </w:pPr>
            <w:r>
              <w:t xml:space="preserve">43.48</w:t>
            </w:r>
          </w:p>
        </w:tc>
        <w:tc>
          <w:tcPr/>
          <w:p>
            <w:pPr>
              <w:pStyle w:val="Compact"/>
              <w:jc w:val="right"/>
            </w:pPr>
            <w:r>
              <w:t xml:space="preserve">7.2</w:t>
            </w:r>
          </w:p>
        </w:tc>
        <w:tc>
          <w:tcPr/>
          <w:p>
            <w:pPr>
              <w:pStyle w:val="Compact"/>
              <w:jc w:val="right"/>
            </w:pPr>
            <w:r>
              <w:t xml:space="preserve">63.3</w:t>
            </w:r>
          </w:p>
        </w:tc>
      </w:tr>
      <w:tr>
        <w:tc>
          <w:tcPr/>
          <w:p>
            <w:pPr>
              <w:pStyle w:val="Compact"/>
              <w:jc w:val="left"/>
            </w:pPr>
            <w:r>
              <w:t xml:space="preserve">APR</w:t>
            </w:r>
          </w:p>
        </w:tc>
        <w:tc>
          <w:tcPr/>
          <w:p>
            <w:pPr>
              <w:pStyle w:val="Compact"/>
              <w:jc w:val="right"/>
            </w:pPr>
            <w:r>
              <w:t xml:space="preserve">38.24</w:t>
            </w:r>
          </w:p>
        </w:tc>
        <w:tc>
          <w:tcPr/>
          <w:p>
            <w:pPr>
              <w:pStyle w:val="Compact"/>
              <w:jc w:val="right"/>
            </w:pPr>
            <w:r>
              <w:t xml:space="preserve">37.4</w:t>
            </w:r>
          </w:p>
        </w:tc>
        <w:tc>
          <w:tcPr/>
          <w:p>
            <w:pPr>
              <w:pStyle w:val="Compact"/>
              <w:jc w:val="right"/>
            </w:pPr>
            <w:r>
              <w:t xml:space="preserve">10.35</w:t>
            </w:r>
          </w:p>
        </w:tc>
        <w:tc>
          <w:tcPr/>
          <w:p>
            <w:pPr>
              <w:pStyle w:val="Compact"/>
              <w:jc w:val="right"/>
            </w:pPr>
            <w:r>
              <w:t xml:space="preserve">27.07</w:t>
            </w:r>
          </w:p>
        </w:tc>
        <w:tc>
          <w:tcPr/>
          <w:p>
            <w:pPr>
              <w:pStyle w:val="Compact"/>
              <w:jc w:val="right"/>
            </w:pPr>
            <w:r>
              <w:t xml:space="preserve">16.1</w:t>
            </w:r>
          </w:p>
        </w:tc>
        <w:tc>
          <w:tcPr/>
          <w:p>
            <w:pPr>
              <w:pStyle w:val="Compact"/>
              <w:jc w:val="right"/>
            </w:pPr>
            <w:r>
              <w:t xml:space="preserve">69.4</w:t>
            </w:r>
          </w:p>
        </w:tc>
      </w:tr>
      <w:tr>
        <w:tc>
          <w:tcPr/>
          <w:p>
            <w:pPr>
              <w:pStyle w:val="Compact"/>
              <w:jc w:val="left"/>
            </w:pPr>
            <w:r>
              <w:t xml:space="preserve">MAY</w:t>
            </w:r>
          </w:p>
        </w:tc>
        <w:tc>
          <w:tcPr/>
          <w:p>
            <w:pPr>
              <w:pStyle w:val="Compact"/>
              <w:jc w:val="right"/>
            </w:pPr>
            <w:r>
              <w:t xml:space="preserve">62.19</w:t>
            </w:r>
          </w:p>
        </w:tc>
        <w:tc>
          <w:tcPr/>
          <w:p>
            <w:pPr>
              <w:pStyle w:val="Compact"/>
              <w:jc w:val="right"/>
            </w:pPr>
            <w:r>
              <w:t xml:space="preserve">59.5</w:t>
            </w:r>
          </w:p>
        </w:tc>
        <w:tc>
          <w:tcPr/>
          <w:p>
            <w:pPr>
              <w:pStyle w:val="Compact"/>
              <w:jc w:val="right"/>
            </w:pPr>
            <w:r>
              <w:t xml:space="preserve">15.67</w:t>
            </w:r>
          </w:p>
        </w:tc>
        <w:tc>
          <w:tcPr/>
          <w:p>
            <w:pPr>
              <w:pStyle w:val="Compact"/>
              <w:jc w:val="right"/>
            </w:pPr>
            <w:r>
              <w:t xml:space="preserve">25.20</w:t>
            </w:r>
          </w:p>
        </w:tc>
        <w:tc>
          <w:tcPr/>
          <w:p>
            <w:pPr>
              <w:pStyle w:val="Compact"/>
              <w:jc w:val="right"/>
            </w:pPr>
            <w:r>
              <w:t xml:space="preserve">32.1</w:t>
            </w:r>
          </w:p>
        </w:tc>
        <w:tc>
          <w:tcPr/>
          <w:p>
            <w:pPr>
              <w:pStyle w:val="Compact"/>
              <w:jc w:val="right"/>
            </w:pPr>
            <w:r>
              <w:t xml:space="preserve">114.5</w:t>
            </w:r>
          </w:p>
        </w:tc>
      </w:tr>
      <w:tr>
        <w:tc>
          <w:tcPr/>
          <w:p>
            <w:pPr>
              <w:pStyle w:val="Compact"/>
              <w:jc w:val="left"/>
            </w:pPr>
            <w:r>
              <w:t xml:space="preserve">JUN</w:t>
            </w:r>
          </w:p>
        </w:tc>
        <w:tc>
          <w:tcPr/>
          <w:p>
            <w:pPr>
              <w:pStyle w:val="Compact"/>
              <w:jc w:val="right"/>
            </w:pPr>
            <w:r>
              <w:t xml:space="preserve">168.36</w:t>
            </w:r>
          </w:p>
        </w:tc>
        <w:tc>
          <w:tcPr/>
          <w:p>
            <w:pPr>
              <w:pStyle w:val="Compact"/>
              <w:jc w:val="right"/>
            </w:pPr>
            <w:r>
              <w:t xml:space="preserve">165.6</w:t>
            </w:r>
          </w:p>
        </w:tc>
        <w:tc>
          <w:tcPr/>
          <w:p>
            <w:pPr>
              <w:pStyle w:val="Compact"/>
              <w:jc w:val="right"/>
            </w:pPr>
            <w:r>
              <w:t xml:space="preserve">35.57</w:t>
            </w:r>
          </w:p>
        </w:tc>
        <w:tc>
          <w:tcPr/>
          <w:p>
            <w:pPr>
              <w:pStyle w:val="Compact"/>
              <w:jc w:val="right"/>
            </w:pPr>
            <w:r>
              <w:t xml:space="preserve">21.13</w:t>
            </w:r>
          </w:p>
        </w:tc>
        <w:tc>
          <w:tcPr/>
          <w:p>
            <w:pPr>
              <w:pStyle w:val="Compact"/>
              <w:jc w:val="right"/>
            </w:pPr>
            <w:r>
              <w:t xml:space="preserve">86.5</w:t>
            </w:r>
          </w:p>
        </w:tc>
        <w:tc>
          <w:tcPr/>
          <w:p>
            <w:pPr>
              <w:pStyle w:val="Compact"/>
              <w:jc w:val="right"/>
            </w:pPr>
            <w:r>
              <w:t xml:space="preserve">275.5</w:t>
            </w:r>
          </w:p>
        </w:tc>
      </w:tr>
      <w:tr>
        <w:tc>
          <w:tcPr/>
          <w:p>
            <w:pPr>
              <w:pStyle w:val="Compact"/>
              <w:jc w:val="left"/>
            </w:pPr>
            <w:r>
              <w:t xml:space="preserve">JUL</w:t>
            </w:r>
          </w:p>
        </w:tc>
        <w:tc>
          <w:tcPr/>
          <w:p>
            <w:pPr>
              <w:pStyle w:val="Compact"/>
              <w:jc w:val="right"/>
            </w:pPr>
            <w:r>
              <w:t xml:space="preserve">291.02</w:t>
            </w:r>
          </w:p>
        </w:tc>
        <w:tc>
          <w:tcPr/>
          <w:p>
            <w:pPr>
              <w:pStyle w:val="Compact"/>
              <w:jc w:val="right"/>
            </w:pPr>
            <w:r>
              <w:t xml:space="preserve">295.8</w:t>
            </w:r>
          </w:p>
        </w:tc>
        <w:tc>
          <w:tcPr/>
          <w:p>
            <w:pPr>
              <w:pStyle w:val="Compact"/>
              <w:jc w:val="right"/>
            </w:pPr>
            <w:r>
              <w:t xml:space="preserve">41.16</w:t>
            </w:r>
          </w:p>
        </w:tc>
        <w:tc>
          <w:tcPr/>
          <w:p>
            <w:pPr>
              <w:pStyle w:val="Compact"/>
              <w:jc w:val="right"/>
            </w:pPr>
            <w:r>
              <w:t xml:space="preserve">14.14</w:t>
            </w:r>
          </w:p>
        </w:tc>
        <w:tc>
          <w:tcPr/>
          <w:p>
            <w:pPr>
              <w:pStyle w:val="Compact"/>
              <w:jc w:val="right"/>
            </w:pPr>
            <w:r>
              <w:t xml:space="preserve">138.9</w:t>
            </w:r>
          </w:p>
        </w:tc>
        <w:tc>
          <w:tcPr/>
          <w:p>
            <w:pPr>
              <w:pStyle w:val="Compact"/>
              <w:jc w:val="right"/>
            </w:pPr>
            <w:r>
              <w:t xml:space="preserve">383.4</w:t>
            </w:r>
          </w:p>
        </w:tc>
      </w:tr>
      <w:tr>
        <w:tc>
          <w:tcPr/>
          <w:p>
            <w:pPr>
              <w:pStyle w:val="Compact"/>
              <w:jc w:val="left"/>
            </w:pPr>
            <w:r>
              <w:t xml:space="preserve">AUG</w:t>
            </w:r>
          </w:p>
        </w:tc>
        <w:tc>
          <w:tcPr/>
          <w:p>
            <w:pPr>
              <w:pStyle w:val="Compact"/>
              <w:jc w:val="right"/>
            </w:pPr>
            <w:r>
              <w:t xml:space="preserve">258.40</w:t>
            </w:r>
          </w:p>
        </w:tc>
        <w:tc>
          <w:tcPr/>
          <w:p>
            <w:pPr>
              <w:pStyle w:val="Compact"/>
              <w:jc w:val="right"/>
            </w:pPr>
            <w:r>
              <w:t xml:space="preserve">259.3</w:t>
            </w:r>
          </w:p>
        </w:tc>
        <w:tc>
          <w:tcPr/>
          <w:p>
            <w:pPr>
              <w:pStyle w:val="Compact"/>
              <w:jc w:val="right"/>
            </w:pPr>
            <w:r>
              <w:t xml:space="preserve">34.98</w:t>
            </w:r>
          </w:p>
        </w:tc>
        <w:tc>
          <w:tcPr/>
          <w:p>
            <w:pPr>
              <w:pStyle w:val="Compact"/>
              <w:jc w:val="right"/>
            </w:pPr>
            <w:r>
              <w:t xml:space="preserve">13.54</w:t>
            </w:r>
          </w:p>
        </w:tc>
        <w:tc>
          <w:tcPr/>
          <w:p>
            <w:pPr>
              <w:pStyle w:val="Compact"/>
              <w:jc w:val="right"/>
            </w:pPr>
            <w:r>
              <w:t xml:space="preserve">191.7</w:t>
            </w:r>
          </w:p>
        </w:tc>
        <w:tc>
          <w:tcPr/>
          <w:p>
            <w:pPr>
              <w:pStyle w:val="Compact"/>
              <w:jc w:val="right"/>
            </w:pPr>
            <w:r>
              <w:t xml:space="preserve">335.5</w:t>
            </w:r>
          </w:p>
        </w:tc>
      </w:tr>
      <w:tr>
        <w:tc>
          <w:tcPr/>
          <w:p>
            <w:pPr>
              <w:pStyle w:val="Compact"/>
              <w:jc w:val="left"/>
            </w:pPr>
            <w:r>
              <w:t xml:space="preserve">SEP</w:t>
            </w:r>
          </w:p>
        </w:tc>
        <w:tc>
          <w:tcPr/>
          <w:p>
            <w:pPr>
              <w:pStyle w:val="Compact"/>
              <w:jc w:val="right"/>
            </w:pPr>
            <w:r>
              <w:t xml:space="preserve">172.47</w:t>
            </w:r>
          </w:p>
        </w:tc>
        <w:tc>
          <w:tcPr/>
          <w:p>
            <w:pPr>
              <w:pStyle w:val="Compact"/>
              <w:jc w:val="right"/>
            </w:pPr>
            <w:r>
              <w:t xml:space="preserve">173.1</w:t>
            </w:r>
          </w:p>
        </w:tc>
        <w:tc>
          <w:tcPr/>
          <w:p>
            <w:pPr>
              <w:pStyle w:val="Compact"/>
              <w:jc w:val="right"/>
            </w:pPr>
            <w:r>
              <w:t xml:space="preserve">36.64</w:t>
            </w:r>
          </w:p>
        </w:tc>
        <w:tc>
          <w:tcPr/>
          <w:p>
            <w:pPr>
              <w:pStyle w:val="Compact"/>
              <w:jc w:val="right"/>
            </w:pPr>
            <w:r>
              <w:t xml:space="preserve">21.24</w:t>
            </w:r>
          </w:p>
        </w:tc>
        <w:tc>
          <w:tcPr/>
          <w:p>
            <w:pPr>
              <w:pStyle w:val="Compact"/>
              <w:jc w:val="right"/>
            </w:pPr>
            <w:r>
              <w:t xml:space="preserve">96.9</w:t>
            </w:r>
          </w:p>
        </w:tc>
        <w:tc>
          <w:tcPr/>
          <w:p>
            <w:pPr>
              <w:pStyle w:val="Compact"/>
              <w:jc w:val="right"/>
            </w:pPr>
            <w:r>
              <w:t xml:space="preserve">281.0</w:t>
            </w:r>
          </w:p>
        </w:tc>
      </w:tr>
      <w:tr>
        <w:tc>
          <w:tcPr/>
          <w:p>
            <w:pPr>
              <w:pStyle w:val="Compact"/>
              <w:jc w:val="left"/>
            </w:pPr>
            <w:r>
              <w:t xml:space="preserve">OCT</w:t>
            </w:r>
          </w:p>
        </w:tc>
        <w:tc>
          <w:tcPr/>
          <w:p>
            <w:pPr>
              <w:pStyle w:val="Compact"/>
              <w:jc w:val="right"/>
            </w:pPr>
            <w:r>
              <w:t xml:space="preserve">75.70</w:t>
            </w:r>
          </w:p>
        </w:tc>
        <w:tc>
          <w:tcPr/>
          <w:p>
            <w:pPr>
              <w:pStyle w:val="Compact"/>
              <w:jc w:val="right"/>
            </w:pPr>
            <w:r>
              <w:t xml:space="preserve">69.2</w:t>
            </w:r>
          </w:p>
        </w:tc>
        <w:tc>
          <w:tcPr/>
          <w:p>
            <w:pPr>
              <w:pStyle w:val="Compact"/>
              <w:jc w:val="right"/>
            </w:pPr>
            <w:r>
              <w:t xml:space="preserve">28.27</w:t>
            </w:r>
          </w:p>
        </w:tc>
        <w:tc>
          <w:tcPr/>
          <w:p>
            <w:pPr>
              <w:pStyle w:val="Compact"/>
              <w:jc w:val="right"/>
            </w:pPr>
            <w:r>
              <w:t xml:space="preserve">37.34</w:t>
            </w:r>
          </w:p>
        </w:tc>
        <w:tc>
          <w:tcPr/>
          <w:p>
            <w:pPr>
              <w:pStyle w:val="Compact"/>
              <w:jc w:val="right"/>
            </w:pPr>
            <w:r>
              <w:t xml:space="preserve">20.0</w:t>
            </w:r>
          </w:p>
        </w:tc>
        <w:tc>
          <w:tcPr/>
          <w:p>
            <w:pPr>
              <w:pStyle w:val="Compact"/>
              <w:jc w:val="right"/>
            </w:pPr>
            <w:r>
              <w:t xml:space="preserve">158.8</w:t>
            </w:r>
          </w:p>
        </w:tc>
      </w:tr>
      <w:tr>
        <w:tc>
          <w:tcPr/>
          <w:p>
            <w:pPr>
              <w:pStyle w:val="Compact"/>
              <w:jc w:val="left"/>
            </w:pPr>
            <w:r>
              <w:t xml:space="preserve">NOV</w:t>
            </w:r>
          </w:p>
        </w:tc>
        <w:tc>
          <w:tcPr/>
          <w:p>
            <w:pPr>
              <w:pStyle w:val="Compact"/>
              <w:jc w:val="right"/>
            </w:pPr>
            <w:r>
              <w:t xml:space="preserve">29.21</w:t>
            </w:r>
          </w:p>
        </w:tc>
        <w:tc>
          <w:tcPr/>
          <w:p>
            <w:pPr>
              <w:pStyle w:val="Compact"/>
              <w:jc w:val="right"/>
            </w:pPr>
            <w:r>
              <w:t xml:space="preserve">26.1</w:t>
            </w:r>
          </w:p>
        </w:tc>
        <w:tc>
          <w:tcPr/>
          <w:p>
            <w:pPr>
              <w:pStyle w:val="Compact"/>
              <w:jc w:val="right"/>
            </w:pPr>
            <w:r>
              <w:t xml:space="preserve">16.10</w:t>
            </w:r>
          </w:p>
        </w:tc>
        <w:tc>
          <w:tcPr/>
          <w:p>
            <w:pPr>
              <w:pStyle w:val="Compact"/>
              <w:jc w:val="right"/>
            </w:pPr>
            <w:r>
              <w:t xml:space="preserve">55.13</w:t>
            </w:r>
          </w:p>
        </w:tc>
        <w:tc>
          <w:tcPr/>
          <w:p>
            <w:pPr>
              <w:pStyle w:val="Compact"/>
              <w:jc w:val="right"/>
            </w:pPr>
            <w:r>
              <w:t xml:space="preserve">3.6</w:t>
            </w:r>
          </w:p>
        </w:tc>
        <w:tc>
          <w:tcPr/>
          <w:p>
            <w:pPr>
              <w:pStyle w:val="Compact"/>
              <w:jc w:val="right"/>
            </w:pPr>
            <w:r>
              <w:t xml:space="preserve">74.2</w:t>
            </w:r>
          </w:p>
        </w:tc>
      </w:tr>
      <w:tr>
        <w:tc>
          <w:tcPr/>
          <w:p>
            <w:pPr>
              <w:pStyle w:val="Compact"/>
              <w:jc w:val="left"/>
            </w:pPr>
            <w:r>
              <w:t xml:space="preserve">DEC</w:t>
            </w:r>
          </w:p>
        </w:tc>
        <w:tc>
          <w:tcPr/>
          <w:p>
            <w:pPr>
              <w:pStyle w:val="Compact"/>
              <w:jc w:val="right"/>
            </w:pPr>
            <w:r>
              <w:t xml:space="preserve">14.98</w:t>
            </w:r>
          </w:p>
        </w:tc>
        <w:tc>
          <w:tcPr/>
          <w:p>
            <w:pPr>
              <w:pStyle w:val="Compact"/>
              <w:jc w:val="right"/>
            </w:pPr>
            <w:r>
              <w:t xml:space="preserve">14.1</w:t>
            </w:r>
          </w:p>
        </w:tc>
        <w:tc>
          <w:tcPr/>
          <w:p>
            <w:pPr>
              <w:pStyle w:val="Compact"/>
              <w:jc w:val="right"/>
            </w:pPr>
            <w:r>
              <w:t xml:space="preserve">8.79</w:t>
            </w:r>
          </w:p>
        </w:tc>
        <w:tc>
          <w:tcPr/>
          <w:p>
            <w:pPr>
              <w:pStyle w:val="Compact"/>
              <w:jc w:val="right"/>
            </w:pPr>
            <w:r>
              <w:t xml:space="preserve">58.67</w:t>
            </w:r>
          </w:p>
        </w:tc>
        <w:tc>
          <w:tcPr/>
          <w:p>
            <w:pPr>
              <w:pStyle w:val="Compact"/>
              <w:jc w:val="right"/>
            </w:pPr>
            <w:r>
              <w:t xml:space="preserve">1.6</w:t>
            </w:r>
          </w:p>
        </w:tc>
        <w:tc>
          <w:tcPr/>
          <w:p>
            <w:pPr>
              <w:pStyle w:val="Compact"/>
              <w:jc w:val="right"/>
            </w:pPr>
            <w:r>
              <w:t xml:space="preserve">54.4</w:t>
            </w:r>
          </w:p>
        </w:tc>
      </w:tr>
    </w:tbl>
    <w:p>
      <w:pPr>
        <w:pStyle w:val="CaptionedFigure"/>
      </w:pPr>
      <w:r>
        <w:drawing>
          <wp:inline>
            <wp:extent cx="4907280" cy="3271520"/>
            <wp:effectExtent b="0" l="0" r="0" t="0"/>
            <wp:docPr descr="Figure 2. All-India monthly rainfall boxplots (mm), 1901–2015." title="" id="25" name="Picture"/>
            <a:graphic>
              <a:graphicData uri="http://schemas.openxmlformats.org/drawingml/2006/picture">
                <pic:pic>
                  <pic:nvPicPr>
                    <pic:cNvPr descr="../graphs/india_monthly_boxplots.png" id="26" name="Picture"/>
                    <pic:cNvPicPr>
                      <a:picLocks noChangeArrowheads="1" noChangeAspect="1"/>
                    </pic:cNvPicPr>
                  </pic:nvPicPr>
                  <pic:blipFill>
                    <a:blip r:embed="rId24"/>
                    <a:stretch>
                      <a:fillRect/>
                    </a:stretch>
                  </pic:blipFill>
                  <pic:spPr bwMode="auto">
                    <a:xfrm>
                      <a:off x="0" y="0"/>
                      <a:ext cx="4907280" cy="3271520"/>
                    </a:xfrm>
                    <a:prstGeom prst="rect">
                      <a:avLst/>
                    </a:prstGeom>
                    <a:noFill/>
                    <a:ln w="9525">
                      <a:noFill/>
                      <a:headEnd/>
                      <a:tailEnd/>
                    </a:ln>
                  </pic:spPr>
                </pic:pic>
              </a:graphicData>
            </a:graphic>
          </wp:inline>
        </w:drawing>
      </w:r>
    </w:p>
    <w:p>
      <w:pPr>
        <w:pStyle w:val="ImageCaption"/>
      </w:pPr>
      <w:r>
        <w:t xml:space="preserve">Figure 2. All-India monthly rainfall boxplots (mm), 1901–2015.</w:t>
      </w:r>
    </w:p>
    <w:p>
      <w:pPr>
        <w:pStyle w:val="CaptionedFigure"/>
      </w:pPr>
      <w:r>
        <w:drawing>
          <wp:inline>
            <wp:extent cx="4907280" cy="3271520"/>
            <wp:effectExtent b="0" l="0" r="0" t="0"/>
            <wp:docPr descr="Figure 3. All-India seasonal rainfall distributions (mm), 1901–2015." title="" id="28" name="Picture"/>
            <a:graphic>
              <a:graphicData uri="http://schemas.openxmlformats.org/drawingml/2006/picture">
                <pic:pic>
                  <pic:nvPicPr>
                    <pic:cNvPr descr="../graphs/india_seasonal_boxplot.png" id="29" name="Picture"/>
                    <pic:cNvPicPr>
                      <a:picLocks noChangeArrowheads="1" noChangeAspect="1"/>
                    </pic:cNvPicPr>
                  </pic:nvPicPr>
                  <pic:blipFill>
                    <a:blip r:embed="rId27"/>
                    <a:stretch>
                      <a:fillRect/>
                    </a:stretch>
                  </pic:blipFill>
                  <pic:spPr bwMode="auto">
                    <a:xfrm>
                      <a:off x="0" y="0"/>
                      <a:ext cx="4907280" cy="3271520"/>
                    </a:xfrm>
                    <a:prstGeom prst="rect">
                      <a:avLst/>
                    </a:prstGeom>
                    <a:noFill/>
                    <a:ln w="9525">
                      <a:noFill/>
                      <a:headEnd/>
                      <a:tailEnd/>
                    </a:ln>
                  </pic:spPr>
                </pic:pic>
              </a:graphicData>
            </a:graphic>
          </wp:inline>
        </w:drawing>
      </w:r>
    </w:p>
    <w:p>
      <w:pPr>
        <w:pStyle w:val="ImageCaption"/>
      </w:pPr>
      <w:r>
        <w:t xml:space="preserve">Figure 3. All-India seasonal rainfall distributions (mm), 1901–2015.</w:t>
      </w:r>
    </w:p>
    <w:p>
      <w:pPr>
        <w:pStyle w:val="BodyText"/>
      </w:pPr>
      <w:r>
        <w:t xml:space="preserve">Figures 2 and 3 make the same point visually: monsoon boxes sit far above the other seasons, with no overlap of typical years.</w:t>
      </w:r>
    </w:p>
    <w:p>
      <w:pPr>
        <w:pStyle w:val="BodyText"/>
      </w:pPr>
      <w:r>
        <w:t xml:space="preserve">Among subdivisions (complete years, 1901–2015), mean annual rainfall runs from West Rajasthan (292.67 mm, CV 37.19%) to very wet western-coast and north-eastern subdivisions (Coastal Karnataka and Arunachal Pradesh exceed 3400 mm). Kerala averages 2925.49 mm (CV 14.43%). Drier regions tend to have</w:t>
      </w:r>
      <w:r>
        <w:t xml:space="preserve"> </w:t>
      </w:r>
      <w:r>
        <w:rPr>
          <w:b/>
          <w:bCs/>
        </w:rPr>
        <w:t xml:space="preserve">larger CVs</w:t>
      </w:r>
      <w:r>
        <w:t xml:space="preserve">: relative variability, not only the mean, differs by climate. Full regional tables are in</w:t>
      </w:r>
      <w:r>
        <w:t xml:space="preserve"> </w:t>
      </w:r>
      <w:r>
        <w:rPr>
          <w:rStyle w:val="VerbatimChar"/>
        </w:rPr>
        <w:t xml:space="preserve">results/tables/regional_annual_summaries.csv</w:t>
      </w:r>
      <w:r>
        <w:t xml:space="preserve">.</w:t>
      </w:r>
    </w:p>
    <w:bookmarkEnd w:id="30"/>
    <w:bookmarkStart w:id="48" w:name="probability-and-distribution-analysis"/>
    <w:p>
      <w:pPr>
        <w:pStyle w:val="Heading1"/>
      </w:pPr>
      <w:r>
        <w:t xml:space="preserve">Probability and distribution analysis</w:t>
      </w:r>
    </w:p>
    <w:bookmarkStart w:id="31" w:name="empirical-probabilities"/>
    <w:p>
      <w:pPr>
        <w:pStyle w:val="Heading2"/>
      </w:pPr>
      <w:r>
        <w:t xml:space="preserve">Empirical probabilities</w:t>
      </w:r>
    </w:p>
    <w:p>
      <w:pPr>
        <w:pStyle w:val="FirstParagraph"/>
      </w:pPr>
      <w:r>
        <w:t xml:space="preserve">These quantities are</w:t>
      </w:r>
      <w:r>
        <w:t xml:space="preserve"> </w:t>
      </w:r>
      <w:r>
        <w:rPr>
          <w:b/>
          <w:bCs/>
        </w:rPr>
        <w:t xml:space="preserve">historical relative frequencies</w:t>
      </w:r>
      <w:r>
        <w:t xml:space="preserve"> </w:t>
      </w:r>
      <w:r>
        <w:t xml:space="preserve">in 1901–2015. They equal long-run probabilities only if one accepts extra assumptions (a stationary process, a well-defined random year). They are not forecasts.</w:t>
      </w:r>
    </w:p>
    <w:p>
      <w:pPr>
        <w:pStyle w:val="BodyText"/>
      </w:pPr>
      <w:r>
        <w:t xml:space="preserve">The long-period average (LPA) analogue used here is the</w:t>
      </w:r>
      <w:r>
        <w:t xml:space="preserve"> </w:t>
      </w:r>
      <w:r>
        <w:rPr>
          <w:b/>
          <w:bCs/>
        </w:rPr>
        <w:t xml:space="preserve">sample mean of this series</w:t>
      </w:r>
      <w:r>
        <w:t xml:space="preserve">, not the official IMD 50-year LPA, which is not stored in the CSV files. Deficient monsoon: June–September</w:t>
      </w:r>
      <w:r>
        <w:t xml:space="preserve"> </w:t>
      </w:r>
      <m:oMath>
        <m:r>
          <m:rPr>
            <m:sty m:val="p"/>
          </m:rPr>
          <m:t>&lt;</m:t>
        </m:r>
        <m:r>
          <m:t>90</m:t>
        </m:r>
        <m:r>
          <m:rPr>
            <m:sty m:val="p"/>
          </m:rPr>
          <m:t>%</m:t>
        </m:r>
      </m:oMath>
      <w:r>
        <w:t xml:space="preserve"> </w:t>
      </w:r>
      <w:r>
        <w:t xml:space="preserve">of that mean (801.23 mm). Excess:</w:t>
      </w:r>
      <w:r>
        <w:t xml:space="preserve"> </w:t>
      </w:r>
      <m:oMath>
        <m:r>
          <m:rPr>
            <m:sty m:val="p"/>
          </m:rPr>
          <m:t>&gt;</m:t>
        </m:r>
        <m:r>
          <m:t>110</m:t>
        </m:r>
        <m:r>
          <m:rPr>
            <m:sty m:val="p"/>
          </m:rPr>
          <m:t>%</m:t>
        </m:r>
      </m:oMath>
      <w:r>
        <w:t xml:space="preserve"> </w:t>
      </w:r>
      <w:r>
        <w:t xml:space="preserve">(979.29 mm).</w:t>
      </w:r>
    </w:p>
    <w:p>
      <w:pPr>
        <w:pStyle w:val="TableCaption"/>
      </w:pPr>
      <w:r>
        <w:t xml:space="preserve">Table 4. Empirical probabilities, all-India, 1901–2015 (n = 115).</w:t>
      </w:r>
    </w:p>
    <w:tbl>
      <w:tblPr>
        <w:tblStyle w:val="Table"/>
        <w:tblW w:type="pct" w:w="5000"/>
        <w:tblLayout w:type="fixed"/>
        <w:tblLook w:firstRow="1" w:lastRow="0" w:firstColumn="0" w:lastColumn="0" w:noHBand="0" w:noVBand="0" w:val="0020"/>
        <w:tblCaption w:val="Table 4. Empirical probabilities, all-India, 1901–2015 (n = 115)."/>
      </w:tblPr>
      <w:tblGrid>
        <w:gridCol w:w="3428"/>
        <w:gridCol w:w="2511"/>
        <w:gridCol w:w="482"/>
        <w:gridCol w:w="579"/>
        <w:gridCol w:w="917"/>
      </w:tblGrid>
      <w:tr>
        <w:trPr>
          <w:tblHeader w:val="on"/>
        </w:trPr>
        <w:tc>
          <w:tcPr/>
          <w:p>
            <w:pPr>
              <w:pStyle w:val="Compact"/>
              <w:jc w:val="left"/>
            </w:pPr>
            <w:r>
              <w:t xml:space="preserve">Event</w:t>
            </w:r>
          </w:p>
        </w:tc>
        <w:tc>
          <w:tcPr/>
          <w:p>
            <w:pPr>
              <w:pStyle w:val="Compact"/>
              <w:jc w:val="left"/>
            </w:pPr>
            <w:r>
              <w:t xml:space="preserve">Definition</w:t>
            </w:r>
          </w:p>
        </w:tc>
        <w:tc>
          <w:tcPr/>
          <w:p>
            <w:pPr>
              <w:pStyle w:val="Compact"/>
              <w:jc w:val="right"/>
            </w:pPr>
            <w:r>
              <w:t xml:space="preserve">Numerator</w:t>
            </w:r>
          </w:p>
        </w:tc>
        <w:tc>
          <w:tcPr/>
          <w:p>
            <w:pPr>
              <w:pStyle w:val="Compact"/>
              <w:jc w:val="right"/>
            </w:pPr>
            <w:r>
              <w:t xml:space="preserve">Denominator</w:t>
            </w:r>
          </w:p>
        </w:tc>
        <w:tc>
          <w:tcPr/>
          <w:p>
            <w:pPr>
              <w:pStyle w:val="Compact"/>
              <w:jc w:val="right"/>
            </w:pPr>
            <w:r>
              <w:t xml:space="preserve">Relative frequency</w:t>
            </w:r>
          </w:p>
        </w:tc>
      </w:tr>
      <w:tr>
        <w:tc>
          <w:tcPr/>
          <w:p>
            <w:pPr>
              <w:pStyle w:val="Compact"/>
              <w:jc w:val="left"/>
            </w:pPr>
            <w:r>
              <w:t xml:space="preserve">Annual rainfall greater than the 1901-2015 sample mean (LPA analogue)</w:t>
            </w:r>
          </w:p>
        </w:tc>
        <w:tc>
          <w:tcPr/>
          <w:p>
            <w:pPr>
              <w:pStyle w:val="Compact"/>
              <w:jc w:val="left"/>
            </w:pPr>
            <w:r>
              <w:t xml:space="preserve">ANNUAL &gt; 1182.03 mm</w:t>
            </w:r>
          </w:p>
        </w:tc>
        <w:tc>
          <w:tcPr/>
          <w:p>
            <w:pPr>
              <w:pStyle w:val="Compact"/>
              <w:jc w:val="right"/>
            </w:pPr>
            <w:r>
              <w:t xml:space="preserve">59</w:t>
            </w:r>
          </w:p>
        </w:tc>
        <w:tc>
          <w:tcPr/>
          <w:p>
            <w:pPr>
              <w:pStyle w:val="Compact"/>
              <w:jc w:val="right"/>
            </w:pPr>
            <w:r>
              <w:t xml:space="preserve">115</w:t>
            </w:r>
          </w:p>
        </w:tc>
        <w:tc>
          <w:tcPr/>
          <w:p>
            <w:pPr>
              <w:pStyle w:val="Compact"/>
              <w:jc w:val="right"/>
            </w:pPr>
            <w:r>
              <w:t xml:space="preserve">0.513</w:t>
            </w:r>
          </w:p>
        </w:tc>
      </w:tr>
      <w:tr>
        <w:tc>
          <w:tcPr/>
          <w:p>
            <w:pPr>
              <w:pStyle w:val="Compact"/>
              <w:jc w:val="left"/>
            </w:pPr>
            <w:r>
              <w:t xml:space="preserve">Unusually dry year (below historical 10th percentile)</w:t>
            </w:r>
          </w:p>
        </w:tc>
        <w:tc>
          <w:tcPr/>
          <w:p>
            <w:pPr>
              <w:pStyle w:val="Compact"/>
              <w:jc w:val="left"/>
            </w:pPr>
            <w:r>
              <w:t xml:space="preserve">ANNUAL &lt; 1041.30 mm (10th percentile of 1901-2015)</w:t>
            </w:r>
          </w:p>
        </w:tc>
        <w:tc>
          <w:tcPr/>
          <w:p>
            <w:pPr>
              <w:pStyle w:val="Compact"/>
              <w:jc w:val="right"/>
            </w:pPr>
            <w:r>
              <w:t xml:space="preserve">12</w:t>
            </w:r>
          </w:p>
        </w:tc>
        <w:tc>
          <w:tcPr/>
          <w:p>
            <w:pPr>
              <w:pStyle w:val="Compact"/>
              <w:jc w:val="right"/>
            </w:pPr>
            <w:r>
              <w:t xml:space="preserve">115</w:t>
            </w:r>
          </w:p>
        </w:tc>
        <w:tc>
          <w:tcPr/>
          <w:p>
            <w:pPr>
              <w:pStyle w:val="Compact"/>
              <w:jc w:val="right"/>
            </w:pPr>
            <w:r>
              <w:t xml:space="preserve">0.104</w:t>
            </w:r>
          </w:p>
        </w:tc>
      </w:tr>
      <w:tr>
        <w:tc>
          <w:tcPr/>
          <w:p>
            <w:pPr>
              <w:pStyle w:val="Compact"/>
              <w:jc w:val="left"/>
            </w:pPr>
            <w:r>
              <w:t xml:space="preserve">Unusually wet year (above historical 90th percentile)</w:t>
            </w:r>
          </w:p>
        </w:tc>
        <w:tc>
          <w:tcPr/>
          <w:p>
            <w:pPr>
              <w:pStyle w:val="Compact"/>
              <w:jc w:val="left"/>
            </w:pPr>
            <w:r>
              <w:t xml:space="preserve">ANNUAL &gt; 1331.30 mm (90th percentile of 1901-2015)</w:t>
            </w:r>
          </w:p>
        </w:tc>
        <w:tc>
          <w:tcPr/>
          <w:p>
            <w:pPr>
              <w:pStyle w:val="Compact"/>
              <w:jc w:val="right"/>
            </w:pPr>
            <w:r>
              <w:t xml:space="preserve">12</w:t>
            </w:r>
          </w:p>
        </w:tc>
        <w:tc>
          <w:tcPr/>
          <w:p>
            <w:pPr>
              <w:pStyle w:val="Compact"/>
              <w:jc w:val="right"/>
            </w:pPr>
            <w:r>
              <w:t xml:space="preserve">115</w:t>
            </w:r>
          </w:p>
        </w:tc>
        <w:tc>
          <w:tcPr/>
          <w:p>
            <w:pPr>
              <w:pStyle w:val="Compact"/>
              <w:jc w:val="right"/>
            </w:pPr>
            <w:r>
              <w:t xml:space="preserve">0.104</w:t>
            </w:r>
          </w:p>
        </w:tc>
      </w:tr>
      <w:tr>
        <w:tc>
          <w:tcPr/>
          <w:p>
            <w:pPr>
              <w:pStyle w:val="Compact"/>
              <w:jc w:val="left"/>
            </w:pPr>
            <w:r>
              <w:t xml:space="preserve">Deficient southwest monsoon (IMD-style: JJAS &lt; 90% of series mean)</w:t>
            </w:r>
          </w:p>
        </w:tc>
        <w:tc>
          <w:tcPr/>
          <w:p>
            <w:pPr>
              <w:pStyle w:val="Compact"/>
              <w:jc w:val="left"/>
            </w:pPr>
            <w:r>
              <w:t xml:space="preserve">Jun-Sep &lt; 0.90 * 890.26 mm</w:t>
            </w:r>
          </w:p>
        </w:tc>
        <w:tc>
          <w:tcPr/>
          <w:p>
            <w:pPr>
              <w:pStyle w:val="Compact"/>
              <w:jc w:val="right"/>
            </w:pPr>
            <w:r>
              <w:t xml:space="preserve">25</w:t>
            </w:r>
          </w:p>
        </w:tc>
        <w:tc>
          <w:tcPr/>
          <w:p>
            <w:pPr>
              <w:pStyle w:val="Compact"/>
              <w:jc w:val="right"/>
            </w:pPr>
            <w:r>
              <w:t xml:space="preserve">115</w:t>
            </w:r>
          </w:p>
        </w:tc>
        <w:tc>
          <w:tcPr/>
          <w:p>
            <w:pPr>
              <w:pStyle w:val="Compact"/>
              <w:jc w:val="right"/>
            </w:pPr>
            <w:r>
              <w:t xml:space="preserve">0.217</w:t>
            </w:r>
          </w:p>
        </w:tc>
      </w:tr>
      <w:tr>
        <w:tc>
          <w:tcPr/>
          <w:p>
            <w:pPr>
              <w:pStyle w:val="Compact"/>
              <w:jc w:val="left"/>
            </w:pPr>
            <w:r>
              <w:t xml:space="preserve">Normal southwest monsoon (90-110% of series mean)</w:t>
            </w:r>
          </w:p>
        </w:tc>
        <w:tc>
          <w:tcPr/>
          <w:p>
            <w:pPr>
              <w:pStyle w:val="Compact"/>
              <w:jc w:val="left"/>
            </w:pPr>
            <w:r>
              <w:t xml:space="preserve">0.90</w:t>
            </w:r>
            <w:r>
              <w:rPr>
                <w:i/>
                <w:iCs/>
              </w:rPr>
              <w:t xml:space="preserve">LPA &lt;= Jun-Sep &lt;= 1.10</w:t>
            </w:r>
            <w:r>
              <w:t xml:space="preserve">LPA</w:t>
            </w:r>
          </w:p>
        </w:tc>
        <w:tc>
          <w:tcPr/>
          <w:p>
            <w:pPr>
              <w:pStyle w:val="Compact"/>
              <w:jc w:val="right"/>
            </w:pPr>
            <w:r>
              <w:t xml:space="preserve">74</w:t>
            </w:r>
          </w:p>
        </w:tc>
        <w:tc>
          <w:tcPr/>
          <w:p>
            <w:pPr>
              <w:pStyle w:val="Compact"/>
              <w:jc w:val="right"/>
            </w:pPr>
            <w:r>
              <w:t xml:space="preserve">115</w:t>
            </w:r>
          </w:p>
        </w:tc>
        <w:tc>
          <w:tcPr/>
          <w:p>
            <w:pPr>
              <w:pStyle w:val="Compact"/>
              <w:jc w:val="right"/>
            </w:pPr>
            <w:r>
              <w:t xml:space="preserve">0.643</w:t>
            </w:r>
          </w:p>
        </w:tc>
      </w:tr>
      <w:tr>
        <w:tc>
          <w:tcPr/>
          <w:p>
            <w:pPr>
              <w:pStyle w:val="Compact"/>
              <w:jc w:val="left"/>
            </w:pPr>
            <w:r>
              <w:t xml:space="preserve">Excess southwest monsoon (JJAS &gt; 110% of series mean)</w:t>
            </w:r>
          </w:p>
        </w:tc>
        <w:tc>
          <w:tcPr/>
          <w:p>
            <w:pPr>
              <w:pStyle w:val="Compact"/>
              <w:jc w:val="left"/>
            </w:pPr>
            <w:r>
              <w:t xml:space="preserve">Jun-Sep &gt; 1.10 * 890.26 mm</w:t>
            </w:r>
          </w:p>
        </w:tc>
        <w:tc>
          <w:tcPr/>
          <w:p>
            <w:pPr>
              <w:pStyle w:val="Compact"/>
              <w:jc w:val="right"/>
            </w:pPr>
            <w:r>
              <w:t xml:space="preserve">16</w:t>
            </w:r>
          </w:p>
        </w:tc>
        <w:tc>
          <w:tcPr/>
          <w:p>
            <w:pPr>
              <w:pStyle w:val="Compact"/>
              <w:jc w:val="right"/>
            </w:pPr>
            <w:r>
              <w:t xml:space="preserve">115</w:t>
            </w:r>
          </w:p>
        </w:tc>
        <w:tc>
          <w:tcPr/>
          <w:p>
            <w:pPr>
              <w:pStyle w:val="Compact"/>
              <w:jc w:val="right"/>
            </w:pPr>
            <w:r>
              <w:t xml:space="preserve">0.139</w:t>
            </w:r>
          </w:p>
        </w:tc>
      </w:tr>
      <w:tr>
        <w:tc>
          <w:tcPr/>
          <w:p>
            <w:pPr>
              <w:pStyle w:val="Compact"/>
              <w:jc w:val="left"/>
            </w:pPr>
            <w:r>
              <w:t xml:space="preserve">Conditional: deficient monsoon given dry winter (JF &lt; 25th percentile)</w:t>
            </w:r>
          </w:p>
        </w:tc>
        <w:tc>
          <w:tcPr/>
          <w:p>
            <w:pPr>
              <w:pStyle w:val="Compact"/>
              <w:jc w:val="left"/>
            </w:pPr>
            <w:r>
              <w:t xml:space="preserve">P(JJAS deficient | Jan-Feb &lt; 33.80 mm)</w:t>
            </w:r>
          </w:p>
        </w:tc>
        <w:tc>
          <w:tcPr/>
          <w:p>
            <w:pPr>
              <w:pStyle w:val="Compact"/>
              <w:jc w:val="right"/>
            </w:pPr>
            <w:r>
              <w:t xml:space="preserve">6</w:t>
            </w:r>
          </w:p>
        </w:tc>
        <w:tc>
          <w:tcPr/>
          <w:p>
            <w:pPr>
              <w:pStyle w:val="Compact"/>
              <w:jc w:val="right"/>
            </w:pPr>
            <w:r>
              <w:t xml:space="preserve">29</w:t>
            </w:r>
          </w:p>
        </w:tc>
        <w:tc>
          <w:tcPr/>
          <w:p>
            <w:pPr>
              <w:pStyle w:val="Compact"/>
              <w:jc w:val="right"/>
            </w:pPr>
            <w:r>
              <w:t xml:space="preserve">0.207</w:t>
            </w:r>
          </w:p>
        </w:tc>
      </w:tr>
      <w:tr>
        <w:tc>
          <w:tcPr/>
          <w:p>
            <w:pPr>
              <w:pStyle w:val="Compact"/>
              <w:jc w:val="left"/>
            </w:pPr>
            <w:r>
              <w:t xml:space="preserve">Conditional: deficient monsoon given not-dry winter</w:t>
            </w:r>
          </w:p>
        </w:tc>
        <w:tc>
          <w:tcPr/>
          <w:p>
            <w:pPr>
              <w:pStyle w:val="Compact"/>
              <w:jc w:val="left"/>
            </w:pPr>
            <w:r>
              <w:t xml:space="preserve">P(JJAS deficient | Jan-Feb &gt;= 25th percentile)</w:t>
            </w:r>
          </w:p>
        </w:tc>
        <w:tc>
          <w:tcPr/>
          <w:p>
            <w:pPr>
              <w:pStyle w:val="Compact"/>
              <w:jc w:val="right"/>
            </w:pPr>
            <w:r>
              <w:t xml:space="preserve">19</w:t>
            </w:r>
          </w:p>
        </w:tc>
        <w:tc>
          <w:tcPr/>
          <w:p>
            <w:pPr>
              <w:pStyle w:val="Compact"/>
              <w:jc w:val="right"/>
            </w:pPr>
            <w:r>
              <w:t xml:space="preserve">86</w:t>
            </w:r>
          </w:p>
        </w:tc>
        <w:tc>
          <w:tcPr/>
          <w:p>
            <w:pPr>
              <w:pStyle w:val="Compact"/>
              <w:jc w:val="right"/>
            </w:pPr>
            <w:r>
              <w:t xml:space="preserve">0.221</w:t>
            </w:r>
          </w:p>
        </w:tc>
      </w:tr>
      <w:tr>
        <w:tc>
          <w:tcPr/>
          <w:p>
            <w:pPr>
              <w:pStyle w:val="Compact"/>
              <w:jc w:val="left"/>
            </w:pPr>
            <w:r>
              <w:t xml:space="preserve">Southwest monsoon is the wettest IMD season of the year</w:t>
            </w:r>
          </w:p>
        </w:tc>
        <w:tc>
          <w:tcPr/>
          <w:p>
            <w:pPr>
              <w:pStyle w:val="Compact"/>
              <w:jc w:val="left"/>
            </w:pPr>
            <w:r>
              <w:t xml:space="preserve">Jun-Sep == max(Jan-Feb, Mar-May, Jun-Sep, Oct-Dec)</w:t>
            </w:r>
          </w:p>
        </w:tc>
        <w:tc>
          <w:tcPr/>
          <w:p>
            <w:pPr>
              <w:pStyle w:val="Compact"/>
              <w:jc w:val="right"/>
            </w:pPr>
            <w:r>
              <w:t xml:space="preserve">115</w:t>
            </w:r>
          </w:p>
        </w:tc>
        <w:tc>
          <w:tcPr/>
          <w:p>
            <w:pPr>
              <w:pStyle w:val="Compact"/>
              <w:jc w:val="right"/>
            </w:pPr>
            <w:r>
              <w:t xml:space="preserve">115</w:t>
            </w:r>
          </w:p>
        </w:tc>
        <w:tc>
          <w:tcPr/>
          <w:p>
            <w:pPr>
              <w:pStyle w:val="Compact"/>
              <w:jc w:val="right"/>
            </w:pPr>
            <w:r>
              <w:t xml:space="preserve">1.000</w:t>
            </w:r>
          </w:p>
        </w:tc>
      </w:tr>
    </w:tbl>
    <w:p>
      <w:pPr>
        <w:pStyle w:val="BodyText"/>
      </w:pPr>
      <w:r>
        <w:t xml:space="preserve">About 64.3% of years are “normal” under this rule, 21.7% deficient and 13.9% excess. Unusually dry and wet</w:t>
      </w:r>
      <w:r>
        <w:t xml:space="preserve"> </w:t>
      </w:r>
      <w:r>
        <w:rPr>
          <w:i/>
          <w:iCs/>
        </w:rPr>
        <w:t xml:space="preserve">annual</w:t>
      </w:r>
      <w:r>
        <w:t xml:space="preserve"> </w:t>
      </w:r>
      <w:r>
        <w:t xml:space="preserve">years, defined by the sample 10th and 90th percentiles (1041.30 mm and 1331.30 mm), each occur in 12 of 115 years by construction of a 10% tail.</w:t>
      </w:r>
    </w:p>
    <w:p>
      <w:pPr>
        <w:pStyle w:val="BodyText"/>
      </w:pPr>
      <w:r>
        <w:t xml:space="preserve">The conditional probability of a deficient monsoon given a dry winter (January–February below its 25th percentile) is 0.207, versus 0.221 given a not-dry winter. The two frequencies are almost the same: this record does</w:t>
      </w:r>
      <w:r>
        <w:t xml:space="preserve"> </w:t>
      </w:r>
      <w:r>
        <w:rPr>
          <w:b/>
          <w:bCs/>
        </w:rPr>
        <w:t xml:space="preserve">not</w:t>
      </w:r>
      <w:r>
        <w:t xml:space="preserve"> </w:t>
      </w:r>
      <w:r>
        <w:t xml:space="preserve">show a useful winter–monsoon dependence of that form. That is association only, not a physical conclusion about teleconnections.</w:t>
      </w:r>
    </w:p>
    <w:p>
      <w:pPr>
        <w:pStyle w:val="BodyText"/>
      </w:pPr>
      <w:r>
        <w:t xml:space="preserve">In every one of the 115 years, June–September was the wettest of the four IMD seasons (relative frequency 1).</w:t>
      </w:r>
    </w:p>
    <w:bookmarkEnd w:id="31"/>
    <w:bookmarkStart w:id="47" w:name="probability-models"/>
    <w:p>
      <w:pPr>
        <w:pStyle w:val="Heading2"/>
      </w:pPr>
      <w:r>
        <w:t xml:space="preserve">Probability models</w:t>
      </w:r>
    </w:p>
    <w:p>
      <w:pPr>
        <w:pStyle w:val="FirstParagraph"/>
      </w:pPr>
      <w:r>
        <w:t xml:space="preserve">A normal law can assign probability to negative rainfall, so it is not automatic for millimetres. A gamma law is supported on</w:t>
      </w:r>
      <w:r>
        <w:t xml:space="preserve"> </w:t>
      </w:r>
      <m:oMath>
        <m:r>
          <m:rPr>
            <m:sty m:val="p"/>
          </m:rPr>
          <m:t>(</m:t>
        </m:r>
        <m:r>
          <m:t>0</m:t>
        </m:r>
        <m:r>
          <m:rPr>
            <m:sty m:val="p"/>
          </m:rPr>
          <m:t>,</m:t>
        </m:r>
        <m:r>
          <m:rPr>
            <m:sty m:val="p"/>
          </m:rPr>
          <m:t>∞</m:t>
        </m:r>
        <m:r>
          <m:rPr>
            <m:sty m:val="p"/>
          </m:rPr>
          <m:t>)</m:t>
        </m:r>
      </m:oMath>
      <w:r>
        <w:t xml:space="preserve"> </w:t>
      </w:r>
      <w:r>
        <w:t xml:space="preserve">and can be right-skewed. An exponential law is a gamma with shape 1 and forces</w:t>
      </w:r>
      <w:r>
        <w:t xml:space="preserve"> </w:t>
      </w:r>
      <m:oMath>
        <m:r>
          <m:rPr>
            <m:sty m:val="p"/>
          </m:rPr>
          <m:t>S</m:t>
        </m:r>
        <m:r>
          <m:rPr>
            <m:sty m:val="p"/>
          </m:rPr>
          <m:t>D</m:t>
        </m:r>
        <m:r>
          <m:rPr>
            <m:sty m:val="p"/>
          </m:rPr>
          <m:t>=</m:t>
        </m:r>
        <m:r>
          <m:rPr>
            <m:sty m:val="p"/>
          </m:rPr>
          <m:t>m</m:t>
        </m:r>
        <m:r>
          <m:rPr>
            <m:sty m:val="p"/>
          </m:rPr>
          <m:t>e</m:t>
        </m:r>
        <m:r>
          <m:rPr>
            <m:sty m:val="p"/>
          </m:rPr>
          <m:t>a</m:t>
        </m:r>
        <m:r>
          <m:rPr>
            <m:sty m:val="p"/>
          </m:rPr>
          <m:t>n</m:t>
        </m:r>
      </m:oMath>
      <w:r>
        <w:t xml:space="preserve">. For all-India annual rainfall, SD (110.69 mm) is far smaller than the mean (1182.03 mm), so exponential is scientifically implausible and is fitted only as a bad reference.</w:t>
      </w:r>
    </w:p>
    <w:p>
      <w:pPr>
        <w:pStyle w:val="BodyText"/>
      </w:pPr>
      <w:r>
        <w:t xml:space="preserve">Parameters were estimated by maximum likelihood. Goodness-of-fit</w:t>
      </w:r>
      <w:r>
        <w:t xml:space="preserve"> </w:t>
      </w:r>
      <m:oMath>
        <m:r>
          <m:t>p</m:t>
        </m:r>
      </m:oMath>
      <w:r>
        <w:t xml:space="preserve">-values for KS tests with estimated parameters come from a parametric bootstrap (</w:t>
      </w:r>
      <m:oMath>
        <m:r>
          <m:t>B</m:t>
        </m:r>
        <m:r>
          <m:rPr>
            <m:sty m:val="p"/>
          </m:rPr>
          <m:t>=</m:t>
        </m:r>
        <m:r>
          <m:t>400</m:t>
        </m:r>
      </m:oMath>
      <w:r>
        <w:t xml:space="preserve">).</w:t>
      </w:r>
    </w:p>
    <w:p>
      <w:pPr>
        <w:pStyle w:val="TableCaption"/>
      </w:pPr>
      <w:r>
        <w:t xml:space="preserve">Table 5. Fitted distributions. KS p-values are parametric bootstrap, not ordinary ks.test p-values.</w:t>
      </w:r>
    </w:p>
    <w:tbl>
      <w:tblPr>
        <w:tblStyle w:val="Table"/>
        <w:tblW w:type="pct" w:w="5000"/>
        <w:tblLayout w:type="fixed"/>
        <w:tblLook w:firstRow="1" w:lastRow="0" w:firstColumn="0" w:lastColumn="0" w:noHBand="0" w:noVBand="0" w:val="0020"/>
        <w:tblCaption w:val="Table 5. Fitted distributions. KS p-values are parametric bootstrap, not ordinary ks.test p-values."/>
      </w:tblPr>
      <w:tblGrid>
        <w:gridCol w:w="990"/>
        <w:gridCol w:w="919"/>
        <w:gridCol w:w="848"/>
        <w:gridCol w:w="707"/>
        <w:gridCol w:w="848"/>
        <w:gridCol w:w="777"/>
        <w:gridCol w:w="495"/>
        <w:gridCol w:w="565"/>
        <w:gridCol w:w="1060"/>
        <w:gridCol w:w="707"/>
      </w:tblGrid>
      <w:tr>
        <w:trPr>
          <w:tblHeader w:val="on"/>
        </w:trPr>
        <w:tc>
          <w:tcPr/>
          <w:p>
            <w:pPr>
              <w:pStyle w:val="Compact"/>
              <w:jc w:val="left"/>
            </w:pPr>
            <w:r>
              <w:t xml:space="preserve">series</w:t>
            </w:r>
          </w:p>
        </w:tc>
        <w:tc>
          <w:tcPr/>
          <w:p>
            <w:pPr>
              <w:pStyle w:val="Compact"/>
              <w:jc w:val="left"/>
            </w:pPr>
            <w:r>
              <w:t xml:space="preserve">distribution</w:t>
            </w:r>
          </w:p>
        </w:tc>
        <w:tc>
          <w:tcPr/>
          <w:p>
            <w:pPr>
              <w:pStyle w:val="Compact"/>
              <w:jc w:val="left"/>
            </w:pPr>
            <w:r>
              <w:t xml:space="preserve">param1_name</w:t>
            </w:r>
          </w:p>
        </w:tc>
        <w:tc>
          <w:tcPr/>
          <w:p>
            <w:pPr>
              <w:pStyle w:val="Compact"/>
              <w:jc w:val="right"/>
            </w:pPr>
            <w:r>
              <w:t xml:space="preserve">param1</w:t>
            </w:r>
          </w:p>
        </w:tc>
        <w:tc>
          <w:tcPr/>
          <w:p>
            <w:pPr>
              <w:pStyle w:val="Compact"/>
              <w:jc w:val="left"/>
            </w:pPr>
            <w:r>
              <w:t xml:space="preserve">param2_name</w:t>
            </w:r>
          </w:p>
        </w:tc>
        <w:tc>
          <w:tcPr/>
          <w:p>
            <w:pPr>
              <w:pStyle w:val="Compact"/>
              <w:jc w:val="right"/>
            </w:pPr>
            <w:r>
              <w:t xml:space="preserve">param2</w:t>
            </w:r>
          </w:p>
        </w:tc>
        <w:tc>
          <w:tcPr/>
          <w:p>
            <w:pPr>
              <w:pStyle w:val="Compact"/>
              <w:jc w:val="right"/>
            </w:pPr>
            <w:r>
              <w:t xml:space="preserve">aic</w:t>
            </w:r>
          </w:p>
        </w:tc>
        <w:tc>
          <w:tcPr/>
          <w:p>
            <w:pPr>
              <w:pStyle w:val="Compact"/>
              <w:jc w:val="right"/>
            </w:pPr>
            <w:r>
              <w:t xml:space="preserve">ks_stat</w:t>
            </w:r>
          </w:p>
        </w:tc>
        <w:tc>
          <w:tcPr/>
          <w:p>
            <w:pPr>
              <w:pStyle w:val="Compact"/>
              <w:jc w:val="right"/>
            </w:pPr>
            <w:r>
              <w:t xml:space="preserve">ks_p_bootstrap</w:t>
            </w:r>
          </w:p>
        </w:tc>
        <w:tc>
          <w:tcPr/>
          <w:p>
            <w:pPr>
              <w:pStyle w:val="Compact"/>
              <w:jc w:val="right"/>
            </w:pPr>
            <w:r>
              <w:t xml:space="preserve">shapiro_p</w:t>
            </w:r>
          </w:p>
        </w:tc>
      </w:tr>
      <w:tr>
        <w:tc>
          <w:tcPr/>
          <w:p>
            <w:pPr>
              <w:pStyle w:val="Compact"/>
              <w:jc w:val="left"/>
            </w:pPr>
            <w:r>
              <w:t xml:space="preserve">India annual</w:t>
            </w:r>
          </w:p>
        </w:tc>
        <w:tc>
          <w:tcPr/>
          <w:p>
            <w:pPr>
              <w:pStyle w:val="Compact"/>
              <w:jc w:val="left"/>
            </w:pPr>
            <w:r>
              <w:t xml:space="preserve">gamma</w:t>
            </w:r>
          </w:p>
        </w:tc>
        <w:tc>
          <w:tcPr/>
          <w:p>
            <w:pPr>
              <w:pStyle w:val="Compact"/>
              <w:jc w:val="left"/>
            </w:pPr>
            <w:r>
              <w:t xml:space="preserve">shape</w:t>
            </w:r>
          </w:p>
        </w:tc>
        <w:tc>
          <w:tcPr/>
          <w:p>
            <w:pPr>
              <w:pStyle w:val="Compact"/>
              <w:jc w:val="right"/>
            </w:pPr>
            <w:r>
              <w:t xml:space="preserve">114.0443</w:t>
            </w:r>
          </w:p>
        </w:tc>
        <w:tc>
          <w:tcPr/>
          <w:p>
            <w:pPr>
              <w:pStyle w:val="Compact"/>
              <w:jc w:val="left"/>
            </w:pPr>
            <w:r>
              <w:t xml:space="preserve">rate</w:t>
            </w:r>
          </w:p>
        </w:tc>
        <w:tc>
          <w:tcPr/>
          <w:p>
            <w:pPr>
              <w:pStyle w:val="Compact"/>
              <w:jc w:val="right"/>
            </w:pPr>
            <w:r>
              <w:t xml:space="preserve">0.09648</w:t>
            </w:r>
          </w:p>
        </w:tc>
        <w:tc>
          <w:tcPr/>
          <w:p>
            <w:pPr>
              <w:pStyle w:val="Compact"/>
              <w:jc w:val="right"/>
            </w:pPr>
            <w:r>
              <w:t xml:space="preserve">1412.3</w:t>
            </w:r>
          </w:p>
        </w:tc>
        <w:tc>
          <w:tcPr/>
          <w:p>
            <w:pPr>
              <w:pStyle w:val="Compact"/>
              <w:jc w:val="right"/>
            </w:pPr>
            <w:r>
              <w:t xml:space="preserve">0.0612</w:t>
            </w:r>
          </w:p>
        </w:tc>
        <w:tc>
          <w:tcPr/>
          <w:p>
            <w:pPr>
              <w:pStyle w:val="Compact"/>
              <w:jc w:val="right"/>
            </w:pPr>
            <w:r>
              <w:t xml:space="preserve">0.3725</w:t>
            </w:r>
          </w:p>
        </w:tc>
        <w:tc>
          <w:tcPr/>
          <w:p>
            <w:pPr>
              <w:pStyle w:val="Compact"/>
              <w:jc w:val="right"/>
            </w:pPr>
            <w:r>
              <w:t xml:space="preserve">0.8014</w:t>
            </w:r>
          </w:p>
        </w:tc>
      </w:tr>
      <w:tr>
        <w:tc>
          <w:tcPr/>
          <w:p>
            <w:pPr>
              <w:pStyle w:val="Compact"/>
              <w:jc w:val="left"/>
            </w:pPr>
            <w:r>
              <w:t xml:space="preserve">India annual</w:t>
            </w:r>
          </w:p>
        </w:tc>
        <w:tc>
          <w:tcPr/>
          <w:p>
            <w:pPr>
              <w:pStyle w:val="Compact"/>
              <w:jc w:val="left"/>
            </w:pPr>
            <w:r>
              <w:t xml:space="preserve">normal</w:t>
            </w:r>
          </w:p>
        </w:tc>
        <w:tc>
          <w:tcPr/>
          <w:p>
            <w:pPr>
              <w:pStyle w:val="Compact"/>
              <w:jc w:val="left"/>
            </w:pPr>
            <w:r>
              <w:t xml:space="preserve">mean</w:t>
            </w:r>
          </w:p>
        </w:tc>
        <w:tc>
          <w:tcPr/>
          <w:p>
            <w:pPr>
              <w:pStyle w:val="Compact"/>
              <w:jc w:val="right"/>
            </w:pPr>
            <w:r>
              <w:t xml:space="preserve">1182.0348</w:t>
            </w:r>
          </w:p>
        </w:tc>
        <w:tc>
          <w:tcPr/>
          <w:p>
            <w:pPr>
              <w:pStyle w:val="Compact"/>
              <w:jc w:val="left"/>
            </w:pPr>
            <w:r>
              <w:t xml:space="preserve">sd_mle</w:t>
            </w:r>
          </w:p>
        </w:tc>
        <w:tc>
          <w:tcPr/>
          <w:p>
            <w:pPr>
              <w:pStyle w:val="Compact"/>
              <w:jc w:val="right"/>
            </w:pPr>
            <w:r>
              <w:t xml:space="preserve">110.20392</w:t>
            </w:r>
          </w:p>
        </w:tc>
        <w:tc>
          <w:tcPr/>
          <w:p>
            <w:pPr>
              <w:pStyle w:val="Compact"/>
              <w:jc w:val="right"/>
            </w:pPr>
            <w:r>
              <w:t xml:space="preserve">1411.9</w:t>
            </w:r>
          </w:p>
        </w:tc>
        <w:tc>
          <w:tcPr/>
          <w:p>
            <w:pPr>
              <w:pStyle w:val="Compact"/>
              <w:jc w:val="right"/>
            </w:pPr>
            <w:r>
              <w:t xml:space="preserve">0.0517</w:t>
            </w:r>
          </w:p>
        </w:tc>
        <w:tc>
          <w:tcPr/>
          <w:p>
            <w:pPr>
              <w:pStyle w:val="Compact"/>
              <w:jc w:val="right"/>
            </w:pPr>
            <w:r>
              <w:t xml:space="preserve">0.6100</w:t>
            </w:r>
          </w:p>
        </w:tc>
        <w:tc>
          <w:tcPr/>
          <w:p>
            <w:pPr>
              <w:pStyle w:val="Compact"/>
              <w:jc w:val="right"/>
            </w:pPr>
            <w:r>
              <w:t xml:space="preserve">0.8014</w:t>
            </w:r>
          </w:p>
        </w:tc>
      </w:tr>
      <w:tr>
        <w:tc>
          <w:tcPr/>
          <w:p>
            <w:pPr>
              <w:pStyle w:val="Compact"/>
              <w:jc w:val="left"/>
            </w:pPr>
            <w:r>
              <w:t xml:space="preserve">India annual</w:t>
            </w:r>
          </w:p>
        </w:tc>
        <w:tc>
          <w:tcPr/>
          <w:p>
            <w:pPr>
              <w:pStyle w:val="Compact"/>
              <w:jc w:val="left"/>
            </w:pPr>
            <w:r>
              <w:t xml:space="preserve">exponential</w:t>
            </w:r>
          </w:p>
        </w:tc>
        <w:tc>
          <w:tcPr/>
          <w:p>
            <w:pPr>
              <w:pStyle w:val="Compact"/>
              <w:jc w:val="left"/>
            </w:pPr>
            <w:r>
              <w:t xml:space="preserve">rate</w:t>
            </w:r>
          </w:p>
        </w:tc>
        <w:tc>
          <w:tcPr/>
          <w:p>
            <w:pPr>
              <w:pStyle w:val="Compact"/>
              <w:jc w:val="right"/>
            </w:pPr>
            <w:r>
              <w:t xml:space="preserve">0.0008</w:t>
            </w:r>
          </w:p>
        </w:tc>
        <w:tc>
          <w:tcPr/>
          <w:p>
            <w:pPr>
              <w:pStyle w:val="Compact"/>
              <w:jc w:val="left"/>
            </w:pPr>
            <w:r>
              <w:t xml:space="preserve">mean</w:t>
            </w:r>
          </w:p>
        </w:tc>
        <w:tc>
          <w:tcPr/>
          <w:p>
            <w:pPr>
              <w:pStyle w:val="Compact"/>
              <w:jc w:val="right"/>
            </w:pPr>
            <w:r>
              <w:t xml:space="preserve">1182.03478</w:t>
            </w:r>
          </w:p>
        </w:tc>
        <w:tc>
          <w:tcPr/>
          <w:p>
            <w:pPr>
              <w:pStyle w:val="Compact"/>
              <w:jc w:val="right"/>
            </w:pPr>
            <w:r>
              <w:t xml:space="preserve">1859.2</w:t>
            </w:r>
          </w:p>
        </w:tc>
        <w:tc>
          <w:tcPr/>
          <w:p>
            <w:pPr>
              <w:pStyle w:val="Compact"/>
              <w:jc w:val="right"/>
            </w:pPr>
            <w:r>
              <w:t xml:space="preserve">0.5411</w:t>
            </w:r>
          </w:p>
        </w:tc>
        <w:tc>
          <w:tcPr/>
          <w:p>
            <w:pPr>
              <w:pStyle w:val="Compact"/>
              <w:jc w:val="right"/>
            </w:pPr>
            <w:r>
              <w:t xml:space="preserve">0.0000</w:t>
            </w:r>
          </w:p>
        </w:tc>
        <w:tc>
          <w:tcPr/>
          <w:p>
            <w:pPr>
              <w:pStyle w:val="Compact"/>
              <w:jc w:val="right"/>
            </w:pPr>
            <w:r>
              <w:t xml:space="preserve">0.8014</w:t>
            </w:r>
          </w:p>
        </w:tc>
      </w:tr>
      <w:tr>
        <w:tc>
          <w:tcPr/>
          <w:p>
            <w:pPr>
              <w:pStyle w:val="Compact"/>
              <w:jc w:val="left"/>
            </w:pPr>
            <w:r>
              <w:t xml:space="preserve">India Jun-Sep</w:t>
            </w:r>
          </w:p>
        </w:tc>
        <w:tc>
          <w:tcPr/>
          <w:p>
            <w:pPr>
              <w:pStyle w:val="Compact"/>
              <w:jc w:val="left"/>
            </w:pPr>
            <w:r>
              <w:t xml:space="preserve">gamma</w:t>
            </w:r>
          </w:p>
        </w:tc>
        <w:tc>
          <w:tcPr/>
          <w:p>
            <w:pPr>
              <w:pStyle w:val="Compact"/>
              <w:jc w:val="left"/>
            </w:pPr>
            <w:r>
              <w:t xml:space="preserve">shape</w:t>
            </w:r>
          </w:p>
        </w:tc>
        <w:tc>
          <w:tcPr/>
          <w:p>
            <w:pPr>
              <w:pStyle w:val="Compact"/>
              <w:jc w:val="right"/>
            </w:pPr>
            <w:r>
              <w:t xml:space="preserve">97.5089</w:t>
            </w:r>
          </w:p>
        </w:tc>
        <w:tc>
          <w:tcPr/>
          <w:p>
            <w:pPr>
              <w:pStyle w:val="Compact"/>
              <w:jc w:val="left"/>
            </w:pPr>
            <w:r>
              <w:t xml:space="preserve">rate</w:t>
            </w:r>
          </w:p>
        </w:tc>
        <w:tc>
          <w:tcPr/>
          <w:p>
            <w:pPr>
              <w:pStyle w:val="Compact"/>
              <w:jc w:val="right"/>
            </w:pPr>
            <w:r>
              <w:t xml:space="preserve">0.10953</w:t>
            </w:r>
          </w:p>
        </w:tc>
        <w:tc>
          <w:tcPr/>
          <w:p>
            <w:pPr>
              <w:pStyle w:val="Compact"/>
              <w:jc w:val="right"/>
            </w:pPr>
            <w:r>
              <w:t xml:space="preserve">1364.9</w:t>
            </w:r>
          </w:p>
        </w:tc>
        <w:tc>
          <w:tcPr/>
          <w:p>
            <w:pPr>
              <w:pStyle w:val="Compact"/>
              <w:jc w:val="right"/>
            </w:pPr>
            <w:r>
              <w:t xml:space="preserve">0.1155</w:t>
            </w:r>
          </w:p>
        </w:tc>
        <w:tc>
          <w:tcPr/>
          <w:p>
            <w:pPr>
              <w:pStyle w:val="Compact"/>
              <w:jc w:val="right"/>
            </w:pPr>
            <w:r>
              <w:t xml:space="preserve">0.0000</w:t>
            </w:r>
          </w:p>
        </w:tc>
        <w:tc>
          <w:tcPr/>
          <w:p>
            <w:pPr>
              <w:pStyle w:val="Compact"/>
              <w:jc w:val="right"/>
            </w:pPr>
            <w:r>
              <w:t xml:space="preserve">0.0581</w:t>
            </w:r>
          </w:p>
        </w:tc>
      </w:tr>
    </w:tbl>
    <w:p>
      <w:pPr>
        <w:pStyle w:val="BodyText"/>
      </w:pPr>
      <w:r>
        <w:t xml:space="preserve">For</w:t>
      </w:r>
      <w:r>
        <w:t xml:space="preserve"> </w:t>
      </w:r>
      <w:r>
        <w:rPr>
          <w:b/>
          <w:bCs/>
        </w:rPr>
        <w:t xml:space="preserve">all-India annual</w:t>
      </w:r>
      <w:r>
        <w:t xml:space="preserve"> </w:t>
      </w:r>
      <w:r>
        <w:t xml:space="preserve">rainfall, Shapiro–Wilk</w:t>
      </w:r>
      <w:r>
        <w:t xml:space="preserve"> </w:t>
      </w:r>
      <m:oMath>
        <m:r>
          <m:t>W</m:t>
        </m:r>
        <m:r>
          <m:rPr>
            <m:sty m:val="p"/>
          </m:rPr>
          <m:t>=</m:t>
        </m:r>
      </m:oMath>
      <w:r>
        <w:t xml:space="preserve"> </w:t>
      </w:r>
      <w:r>
        <w:t xml:space="preserve">0.9926,</w:t>
      </w:r>
      <w:r>
        <w:t xml:space="preserve"> </w:t>
      </w:r>
      <m:oMath>
        <m:r>
          <m:t>p</m:t>
        </m:r>
        <m:r>
          <m:rPr>
            <m:sty m:val="p"/>
          </m:rPr>
          <m:t>=</m:t>
        </m:r>
      </m:oMath>
      <w:r>
        <w:t xml:space="preserve"> </w:t>
      </w:r>
      <w:r>
        <w:t xml:space="preserve">0.8014: the normal model is not rejected. Bootstrap KS</w:t>
      </w:r>
      <w:r>
        <w:t xml:space="preserve"> </w:t>
      </w:r>
      <m:oMath>
        <m:r>
          <m:t>p</m:t>
        </m:r>
        <m:r>
          <m:rPr>
            <m:sty m:val="p"/>
          </m:rPr>
          <m:t>=</m:t>
        </m:r>
      </m:oMath>
      <w:r>
        <w:t xml:space="preserve"> </w:t>
      </w:r>
      <w:r>
        <w:t xml:space="preserve">0.6100 (normal) and</w:t>
      </w:r>
      <w:r>
        <w:t xml:space="preserve"> </w:t>
      </w:r>
      <m:oMath>
        <m:r>
          <m:t>p</m:t>
        </m:r>
        <m:r>
          <m:rPr>
            <m:sty m:val="p"/>
          </m:rPr>
          <m:t>=</m:t>
        </m:r>
      </m:oMath>
      <w:r>
        <w:t xml:space="preserve"> </w:t>
      </w:r>
      <w:r>
        <w:t xml:space="preserve">0.3725 (gamma). AIC slightly favours the normal (1411.9) over the gamma (1412.3). Exponential AIC is 1859.2 and bootstrap KS</w:t>
      </w:r>
      <w:r>
        <w:t xml:space="preserve"> </w:t>
      </w:r>
      <m:oMath>
        <m:r>
          <m:t>p</m:t>
        </m:r>
        <m:r>
          <m:rPr>
            <m:sty m:val="p"/>
          </m:rPr>
          <m:t>=</m:t>
        </m:r>
      </m:oMath>
      <w:r>
        <w:t xml:space="preserve"> </w:t>
      </w:r>
      <w:r>
        <w:t xml:space="preserve">&lt; 0.0001: it is rejected.</w:t>
      </w:r>
    </w:p>
    <w:p>
      <w:pPr>
        <w:pStyle w:val="BodyText"/>
      </w:pPr>
      <w:r>
        <w:t xml:space="preserve">The gamma MLE for annual totals is shape</w:t>
      </w:r>
      <w:r>
        <w:t xml:space="preserve"> </w:t>
      </w:r>
      <m:oMath>
        <m:acc>
          <m:accPr>
            <m:chr m:val="̂"/>
          </m:accPr>
          <m:e>
            <m:r>
              <m:t>α</m:t>
            </m:r>
          </m:e>
        </m:acc>
        <m:r>
          <m:rPr>
            <m:sty m:val="p"/>
          </m:rPr>
          <m:t>=</m:t>
        </m:r>
      </m:oMath>
      <w:r>
        <w:t xml:space="preserve"> </w:t>
      </w:r>
      <w:r>
        <w:t xml:space="preserve">114.04 and rate</w:t>
      </w:r>
      <w:r>
        <w:t xml:space="preserve"> </w:t>
      </w:r>
      <m:oMath>
        <m:acc>
          <m:accPr>
            <m:chr m:val="̂"/>
          </m:accPr>
          <m:e>
            <m:r>
              <m:t>β</m:t>
            </m:r>
          </m:e>
        </m:acc>
        <m:r>
          <m:rPr>
            <m:sty m:val="p"/>
          </m:rPr>
          <m:t>=</m:t>
        </m:r>
      </m:oMath>
      <w:r>
        <w:t xml:space="preserve"> </w:t>
      </w:r>
      <w:r>
        <w:t xml:space="preserve">0.0965 mm</w:t>
      </w:r>
      <m:oMath>
        <m:sSup>
          <m:e>
            <m:r>
              <m:t>​</m:t>
            </m:r>
          </m:e>
          <m:sup>
            <m:r>
              <m:rPr>
                <m:sty m:val="p"/>
              </m:rPr>
              <m:t>−</m:t>
            </m:r>
            <m:r>
              <m:t>1</m:t>
            </m:r>
          </m:sup>
        </m:sSup>
      </m:oMath>
      <w:r>
        <w:t xml:space="preserve">. A large shape is consistent with a nearly symmetric, peaked distribution, which matches the small sample skewness.</w:t>
      </w:r>
    </w:p>
    <w:p>
      <w:pPr>
        <w:pStyle w:val="BodyText"/>
      </w:pPr>
      <w:r>
        <w:t xml:space="preserve">June–September is slightly left-skewed (skewness -0.294). A right-skewed gamma is therefore a poorer match: bootstrap KS</w:t>
      </w:r>
      <w:r>
        <w:t xml:space="preserve"> </w:t>
      </w:r>
      <m:oMath>
        <m:r>
          <m:t>p</m:t>
        </m:r>
        <m:r>
          <m:rPr>
            <m:sty m:val="p"/>
          </m:rPr>
          <m:t>=</m:t>
        </m:r>
      </m:oMath>
      <w:r>
        <w:t xml:space="preserve"> </w:t>
      </w:r>
      <w:r>
        <w:t xml:space="preserve">&lt; 0.0001 and Shapiro–Wilk</w:t>
      </w:r>
      <w:r>
        <w:t xml:space="preserve"> </w:t>
      </w:r>
      <m:oMath>
        <m:r>
          <m:t>p</m:t>
        </m:r>
        <m:r>
          <m:rPr>
            <m:sty m:val="p"/>
          </m:rPr>
          <m:t>=</m:t>
        </m:r>
      </m:oMath>
      <w:r>
        <w:t xml:space="preserve"> </w:t>
      </w:r>
      <w:r>
        <w:t xml:space="preserve">0.0581. That is a limitation of forcing a gamma onto monsoon totals, not a reason to switch to exponential.</w:t>
      </w:r>
    </w:p>
    <w:p>
      <w:pPr>
        <w:pStyle w:val="CaptionedFigure"/>
      </w:pPr>
      <w:r>
        <w:drawing>
          <wp:inline>
            <wp:extent cx="4907280" cy="3271520"/>
            <wp:effectExtent b="0" l="0" r="0" t="0"/>
            <wp:docPr descr="Figure 4. Histogram and kernel density of all-India annual rainfall (mm), 1901–2015." title="" id="33" name="Picture"/>
            <a:graphic>
              <a:graphicData uri="http://schemas.openxmlformats.org/drawingml/2006/picture">
                <pic:pic>
                  <pic:nvPicPr>
                    <pic:cNvPr descr="../graphs/india_annual_histogram_density.png" id="34" name="Picture"/>
                    <pic:cNvPicPr>
                      <a:picLocks noChangeArrowheads="1" noChangeAspect="1"/>
                    </pic:cNvPicPr>
                  </pic:nvPicPr>
                  <pic:blipFill>
                    <a:blip r:embed="rId32"/>
                    <a:stretch>
                      <a:fillRect/>
                    </a:stretch>
                  </pic:blipFill>
                  <pic:spPr bwMode="auto">
                    <a:xfrm>
                      <a:off x="0" y="0"/>
                      <a:ext cx="4907280" cy="3271520"/>
                    </a:xfrm>
                    <a:prstGeom prst="rect">
                      <a:avLst/>
                    </a:prstGeom>
                    <a:noFill/>
                    <a:ln w="9525">
                      <a:noFill/>
                      <a:headEnd/>
                      <a:tailEnd/>
                    </a:ln>
                  </pic:spPr>
                </pic:pic>
              </a:graphicData>
            </a:graphic>
          </wp:inline>
        </w:drawing>
      </w:r>
    </w:p>
    <w:p>
      <w:pPr>
        <w:pStyle w:val="ImageCaption"/>
      </w:pPr>
      <w:r>
        <w:t xml:space="preserve">Figure 4. Histogram and kernel density of all-India annual rainfall (mm), 1901–2015.</w:t>
      </w:r>
    </w:p>
    <w:p>
      <w:pPr>
        <w:pStyle w:val="CaptionedFigure"/>
      </w:pPr>
      <w:r>
        <w:drawing>
          <wp:inline>
            <wp:extent cx="4907280" cy="3271520"/>
            <wp:effectExtent b="0" l="0" r="0" t="0"/>
            <wp:docPr descr="Figure 5. Gamma, normal and exponential densities fitted to all-India annual rainfall." title="" id="36" name="Picture"/>
            <a:graphic>
              <a:graphicData uri="http://schemas.openxmlformats.org/drawingml/2006/picture">
                <pic:pic>
                  <pic:nvPicPr>
                    <pic:cNvPr descr="../graphs/india_annual_distribution_overlay.png" id="37" name="Picture"/>
                    <pic:cNvPicPr>
                      <a:picLocks noChangeArrowheads="1" noChangeAspect="1"/>
                    </pic:cNvPicPr>
                  </pic:nvPicPr>
                  <pic:blipFill>
                    <a:blip r:embed="rId35"/>
                    <a:stretch>
                      <a:fillRect/>
                    </a:stretch>
                  </pic:blipFill>
                  <pic:spPr bwMode="auto">
                    <a:xfrm>
                      <a:off x="0" y="0"/>
                      <a:ext cx="4907280" cy="3271520"/>
                    </a:xfrm>
                    <a:prstGeom prst="rect">
                      <a:avLst/>
                    </a:prstGeom>
                    <a:noFill/>
                    <a:ln w="9525">
                      <a:noFill/>
                      <a:headEnd/>
                      <a:tailEnd/>
                    </a:ln>
                  </pic:spPr>
                </pic:pic>
              </a:graphicData>
            </a:graphic>
          </wp:inline>
        </w:drawing>
      </w:r>
    </w:p>
    <w:p>
      <w:pPr>
        <w:pStyle w:val="ImageCaption"/>
      </w:pPr>
      <w:r>
        <w:t xml:space="preserve">Figure 5. Gamma, normal and exponential densities fitted to all-India annual rainfall.</w:t>
      </w:r>
    </w:p>
    <w:p>
      <w:pPr>
        <w:pStyle w:val="CaptionedFigure"/>
      </w:pPr>
      <w:r>
        <w:drawing>
          <wp:inline>
            <wp:extent cx="4907280" cy="3271520"/>
            <wp:effectExtent b="0" l="0" r="0" t="0"/>
            <wp:docPr descr="Figure 6. Normal Q–Q plot of all-India annual rainfall (mm)." title="" id="39" name="Picture"/>
            <a:graphic>
              <a:graphicData uri="http://schemas.openxmlformats.org/drawingml/2006/picture">
                <pic:pic>
                  <pic:nvPicPr>
                    <pic:cNvPr descr="../graphs/india_annual_qq_normal.png" id="40" name="Picture"/>
                    <pic:cNvPicPr>
                      <a:picLocks noChangeArrowheads="1" noChangeAspect="1"/>
                    </pic:cNvPicPr>
                  </pic:nvPicPr>
                  <pic:blipFill>
                    <a:blip r:embed="rId38"/>
                    <a:stretch>
                      <a:fillRect/>
                    </a:stretch>
                  </pic:blipFill>
                  <pic:spPr bwMode="auto">
                    <a:xfrm>
                      <a:off x="0" y="0"/>
                      <a:ext cx="4907280" cy="3271520"/>
                    </a:xfrm>
                    <a:prstGeom prst="rect">
                      <a:avLst/>
                    </a:prstGeom>
                    <a:noFill/>
                    <a:ln w="9525">
                      <a:noFill/>
                      <a:headEnd/>
                      <a:tailEnd/>
                    </a:ln>
                  </pic:spPr>
                </pic:pic>
              </a:graphicData>
            </a:graphic>
          </wp:inline>
        </w:drawing>
      </w:r>
    </w:p>
    <w:p>
      <w:pPr>
        <w:pStyle w:val="ImageCaption"/>
      </w:pPr>
      <w:r>
        <w:t xml:space="preserve">Figure 6. Normal Q–Q plot of all-India annual rainfall (mm).</w:t>
      </w:r>
    </w:p>
    <w:p>
      <w:pPr>
        <w:pStyle w:val="CaptionedFigure"/>
      </w:pPr>
      <w:r>
        <w:drawing>
          <wp:inline>
            <wp:extent cx="4907280" cy="3271520"/>
            <wp:effectExtent b="0" l="0" r="0" t="0"/>
            <wp:docPr descr="Figure 7. Gamma Q–Q plot of all-India annual rainfall (mm)." title="" id="42" name="Picture"/>
            <a:graphic>
              <a:graphicData uri="http://schemas.openxmlformats.org/drawingml/2006/picture">
                <pic:pic>
                  <pic:nvPicPr>
                    <pic:cNvPr descr="../graphs/india_annual_qq_gamma.png" id="43" name="Picture"/>
                    <pic:cNvPicPr>
                      <a:picLocks noChangeArrowheads="1" noChangeAspect="1"/>
                    </pic:cNvPicPr>
                  </pic:nvPicPr>
                  <pic:blipFill>
                    <a:blip r:embed="rId41"/>
                    <a:stretch>
                      <a:fillRect/>
                    </a:stretch>
                  </pic:blipFill>
                  <pic:spPr bwMode="auto">
                    <a:xfrm>
                      <a:off x="0" y="0"/>
                      <a:ext cx="4907280" cy="3271520"/>
                    </a:xfrm>
                    <a:prstGeom prst="rect">
                      <a:avLst/>
                    </a:prstGeom>
                    <a:noFill/>
                    <a:ln w="9525">
                      <a:noFill/>
                      <a:headEnd/>
                      <a:tailEnd/>
                    </a:ln>
                  </pic:spPr>
                </pic:pic>
              </a:graphicData>
            </a:graphic>
          </wp:inline>
        </w:drawing>
      </w:r>
    </w:p>
    <w:p>
      <w:pPr>
        <w:pStyle w:val="ImageCaption"/>
      </w:pPr>
      <w:r>
        <w:t xml:space="preserve">Figure 7. Gamma Q–Q plot of all-India annual rainfall (mm).</w:t>
      </w:r>
    </w:p>
    <w:p>
      <w:pPr>
        <w:pStyle w:val="CaptionedFigure"/>
      </w:pPr>
      <w:r>
        <w:drawing>
          <wp:inline>
            <wp:extent cx="4907280" cy="3271520"/>
            <wp:effectExtent b="0" l="0" r="0" t="0"/>
            <wp:docPr descr="Figure 8. Empirical CDF of all-India annual rainfall with the fitted gamma CDF." title="" id="45" name="Picture"/>
            <a:graphic>
              <a:graphicData uri="http://schemas.openxmlformats.org/drawingml/2006/picture">
                <pic:pic>
                  <pic:nvPicPr>
                    <pic:cNvPr descr="../graphs/india_annual_ecdf.png" id="46" name="Picture"/>
                    <pic:cNvPicPr>
                      <a:picLocks noChangeArrowheads="1" noChangeAspect="1"/>
                    </pic:cNvPicPr>
                  </pic:nvPicPr>
                  <pic:blipFill>
                    <a:blip r:embed="rId44"/>
                    <a:stretch>
                      <a:fillRect/>
                    </a:stretch>
                  </pic:blipFill>
                  <pic:spPr bwMode="auto">
                    <a:xfrm>
                      <a:off x="0" y="0"/>
                      <a:ext cx="4907280" cy="3271520"/>
                    </a:xfrm>
                    <a:prstGeom prst="rect">
                      <a:avLst/>
                    </a:prstGeom>
                    <a:noFill/>
                    <a:ln w="9525">
                      <a:noFill/>
                      <a:headEnd/>
                      <a:tailEnd/>
                    </a:ln>
                  </pic:spPr>
                </pic:pic>
              </a:graphicData>
            </a:graphic>
          </wp:inline>
        </w:drawing>
      </w:r>
    </w:p>
    <w:p>
      <w:pPr>
        <w:pStyle w:val="ImageCaption"/>
      </w:pPr>
      <w:r>
        <w:t xml:space="preserve">Figure 8. Empirical CDF of all-India annual rainfall with the fitted gamma CDF.</w:t>
      </w:r>
    </w:p>
    <w:p>
      <w:pPr>
        <w:pStyle w:val="BodyText"/>
      </w:pPr>
      <w:r>
        <w:t xml:space="preserve">Figures 4–8 agree with Table 5: the histogram is unimodal and fairly symmetric; exponential is far too spread out; normal and gamma Q–Q plots are both reasonable.</w:t>
      </w:r>
    </w:p>
    <w:p>
      <w:pPr>
        <w:pStyle w:val="BodyText"/>
      </w:pPr>
      <w:r>
        <w:rPr>
          <w:b/>
          <w:bCs/>
        </w:rPr>
        <w:t xml:space="preserve">Zeros.</w:t>
      </w:r>
      <w:r>
        <w:t xml:space="preserve"> </w:t>
      </w:r>
      <w:r>
        <w:t xml:space="preserve">The national monthly series has no zeros. Subdivision dry-season months do. A single gamma or exponential cannot place a point mass at zero. For West Rajasthan December (complete years,</w:t>
      </w:r>
      <w:r>
        <w:t xml:space="preserve"> </w:t>
      </w:r>
      <m:oMath>
        <m:r>
          <m:t>n</m:t>
        </m:r>
        <m:r>
          <m:rPr>
            <m:sty m:val="p"/>
          </m:rPr>
          <m:t>=</m:t>
        </m:r>
      </m:oMath>
      <w:r>
        <w:t xml:space="preserve"> </w:t>
      </w:r>
      <w:r>
        <w:t xml:space="preserve">117), 43 months are zero, so the empirical</w:t>
      </w:r>
      <w:r>
        <w:t xml:space="preserve"> </w:t>
      </w:r>
      <m:oMath>
        <m:r>
          <m:t>P</m:t>
        </m:r>
        <m:r>
          <m:rPr>
            <m:sty m:val="p"/>
          </m:rPr>
          <m:t>(</m:t>
        </m:r>
        <m:r>
          <m:t>X</m:t>
        </m:r>
        <m:r>
          <m:rPr>
            <m:sty m:val="p"/>
          </m:rPr>
          <m:t>=</m:t>
        </m:r>
        <m:r>
          <m:t>0</m:t>
        </m:r>
        <m:r>
          <m:rPr>
            <m:sty m:val="p"/>
          </m:rPr>
          <m:t>)</m:t>
        </m:r>
        <m:r>
          <m:rPr>
            <m:sty m:val="p"/>
          </m:rPr>
          <m:t>=</m:t>
        </m:r>
      </m:oMath>
      <w:r>
        <w:t xml:space="preserve"> </w:t>
      </w:r>
      <w:r>
        <w:t xml:space="preserve">0.368. Positive amounts were given a separate gamma (shape 0.654, rate 0.219). This is a hurdle description, not a claim that December rain is a waiting time.</w:t>
      </w:r>
    </w:p>
    <w:bookmarkEnd w:id="47"/>
    <w:bookmarkEnd w:id="48"/>
    <w:bookmarkStart w:id="52" w:name="sampling-and-estimation"/>
    <w:p>
      <w:pPr>
        <w:pStyle w:val="Heading1"/>
      </w:pPr>
      <w:r>
        <w:t xml:space="preserve">Sampling and estimation</w:t>
      </w:r>
    </w:p>
    <w:p>
      <w:pPr>
        <w:pStyle w:val="FirstParagraph"/>
      </w:pPr>
      <w:r>
        <w:t xml:space="preserve">The 115 years are</w:t>
      </w:r>
      <w:r>
        <w:t xml:space="preserve"> </w:t>
      </w:r>
      <w:r>
        <w:rPr>
          <w:b/>
          <w:bCs/>
        </w:rPr>
        <w:t xml:space="preserve">one realised path</w:t>
      </w:r>
      <w:r>
        <w:t xml:space="preserve"> </w:t>
      </w:r>
      <w:r>
        <w:t xml:space="preserve">of a climate process. Treating them as iid draws from a super-population is an approximation used to illustrate textbook sampling theory.</w:t>
      </w:r>
    </w:p>
    <w:p>
      <w:pPr>
        <w:pStyle w:val="BodyText"/>
      </w:pPr>
      <w:r>
        <w:t xml:space="preserve">The estimated standard error of the all-India annual mean is</w:t>
      </w:r>
      <w:r>
        <w:t xml:space="preserve"> </w:t>
      </w:r>
      <m:oMath>
        <m:r>
          <m:t>s</m:t>
        </m:r>
        <m:r>
          <m:rPr>
            <m:sty m:val="p"/>
          </m:rPr>
          <m:t>/</m:t>
        </m:r>
        <m:rad>
          <m:radPr>
            <m:degHide m:val="on"/>
          </m:radPr>
          <m:deg/>
          <m:e>
            <m:r>
              <m:t>n</m:t>
            </m:r>
          </m:e>
        </m:rad>
        <m:r>
          <m:rPr>
            <m:sty m:val="p"/>
          </m:rPr>
          <m:t>=</m:t>
        </m:r>
      </m:oMath>
      <w:r>
        <w:t xml:space="preserve"> </w:t>
      </w:r>
      <w:r>
        <w:t xml:space="preserve">10.32 mm.</w:t>
      </w:r>
    </w:p>
    <w:p>
      <w:pPr>
        <w:pStyle w:val="BodyText"/>
      </w:pPr>
      <w:r>
        <w:t xml:space="preserve">A teaching simulation (seed 19012015) drew 4000 bootstrap samples</w:t>
      </w:r>
      <w:r>
        <w:t xml:space="preserve"> </w:t>
      </w:r>
      <w:r>
        <w:rPr>
          <w:b/>
          <w:bCs/>
        </w:rPr>
        <w:t xml:space="preserve">with replacement from the 115 observed annual totals</w:t>
      </w:r>
      <w:r>
        <w:t xml:space="preserve">, for sample sizes 5, 15 and 40. These draws are</w:t>
      </w:r>
      <w:r>
        <w:t xml:space="preserve"> </w:t>
      </w:r>
      <w:r>
        <w:rPr>
          <w:b/>
          <w:bCs/>
        </w:rPr>
        <w:t xml:space="preserve">not extra meteorological years</w:t>
      </w:r>
      <w:r>
        <w:t xml:space="preserve"> </w:t>
      </w:r>
      <w:r>
        <w:t xml:space="preserve">and must not be averaged into the data.</w:t>
      </w:r>
    </w:p>
    <w:p>
      <w:pPr>
        <w:pStyle w:val="TableCaption"/>
      </w:pPr>
      <w:r>
        <w:t xml:space="preserve">Table 6. CLT resampling demonstration from the empirical all-India annual distribution (4000 replications).</w:t>
      </w:r>
    </w:p>
    <w:tbl>
      <w:tblPr>
        <w:tblStyle w:val="Table"/>
        <w:tblW w:type="pct" w:w="5000"/>
        <w:tblLayout w:type="fixed"/>
        <w:tblLook w:firstRow="1" w:lastRow="0" w:firstColumn="0" w:lastColumn="0" w:noHBand="0" w:noVBand="0" w:val="0020"/>
        <w:tblCaption w:val="Table 6. CLT resampling demonstration from the empirical all-India annual distribution (4000 replications)."/>
      </w:tblPr>
      <w:tblGrid>
        <w:gridCol w:w="833"/>
        <w:gridCol w:w="1042"/>
        <w:gridCol w:w="1458"/>
        <w:gridCol w:w="1320"/>
        <w:gridCol w:w="1042"/>
        <w:gridCol w:w="1250"/>
        <w:gridCol w:w="972"/>
      </w:tblGrid>
      <w:tr>
        <w:trPr>
          <w:tblHeader w:val="on"/>
        </w:trPr>
        <w:tc>
          <w:tcPr/>
          <w:p>
            <w:pPr>
              <w:pStyle w:val="Compact"/>
              <w:jc w:val="right"/>
            </w:pPr>
            <w:r>
              <w:t xml:space="preserve">sample_size</w:t>
            </w:r>
          </w:p>
        </w:tc>
        <w:tc>
          <w:tcPr/>
          <w:p>
            <w:pPr>
              <w:pStyle w:val="Compact"/>
              <w:jc w:val="right"/>
            </w:pPr>
            <w:r>
              <w:t xml:space="preserve">n_replications</w:t>
            </w:r>
          </w:p>
        </w:tc>
        <w:tc>
          <w:tcPr/>
          <w:p>
            <w:pPr>
              <w:pStyle w:val="Compact"/>
              <w:jc w:val="right"/>
            </w:pPr>
            <w:r>
              <w:t xml:space="preserve">mean_of_sample_means</w:t>
            </w:r>
          </w:p>
        </w:tc>
        <w:tc>
          <w:tcPr/>
          <w:p>
            <w:pPr>
              <w:pStyle w:val="Compact"/>
              <w:jc w:val="right"/>
            </w:pPr>
            <w:r>
              <w:t xml:space="preserve">sd_of_sample_means</w:t>
            </w:r>
          </w:p>
        </w:tc>
        <w:tc>
          <w:tcPr/>
          <w:p>
            <w:pPr>
              <w:pStyle w:val="Compact"/>
              <w:jc w:val="right"/>
            </w:pPr>
            <w:r>
              <w:t xml:space="preserve">theoretical_se</w:t>
            </w:r>
          </w:p>
        </w:tc>
        <w:tc>
          <w:tcPr/>
          <w:p>
            <w:pPr>
              <w:pStyle w:val="Compact"/>
              <w:jc w:val="right"/>
            </w:pPr>
            <w:r>
              <w:t xml:space="preserve">skewness_of_means</w:t>
            </w:r>
          </w:p>
        </w:tc>
        <w:tc>
          <w:tcPr/>
          <w:p>
            <w:pPr>
              <w:pStyle w:val="Compact"/>
              <w:jc w:val="right"/>
            </w:pPr>
            <w:r>
              <w:t xml:space="preserve">shapiro_p_500</w:t>
            </w:r>
          </w:p>
        </w:tc>
      </w:tr>
      <w:tr>
        <w:tc>
          <w:tcPr/>
          <w:p>
            <w:pPr>
              <w:pStyle w:val="Compact"/>
              <w:jc w:val="right"/>
            </w:pPr>
            <w:r>
              <w:t xml:space="preserve">5</w:t>
            </w:r>
          </w:p>
        </w:tc>
        <w:tc>
          <w:tcPr/>
          <w:p>
            <w:pPr>
              <w:pStyle w:val="Compact"/>
              <w:jc w:val="right"/>
            </w:pPr>
            <w:r>
              <w:t xml:space="preserve">4000</w:t>
            </w:r>
          </w:p>
        </w:tc>
        <w:tc>
          <w:tcPr/>
          <w:p>
            <w:pPr>
              <w:pStyle w:val="Compact"/>
              <w:jc w:val="right"/>
            </w:pPr>
            <w:r>
              <w:t xml:space="preserve">1182.007</w:t>
            </w:r>
          </w:p>
        </w:tc>
        <w:tc>
          <w:tcPr/>
          <w:p>
            <w:pPr>
              <w:pStyle w:val="Compact"/>
              <w:jc w:val="right"/>
            </w:pPr>
            <w:r>
              <w:t xml:space="preserve">49.270</w:t>
            </w:r>
          </w:p>
        </w:tc>
        <w:tc>
          <w:tcPr/>
          <w:p>
            <w:pPr>
              <w:pStyle w:val="Compact"/>
              <w:jc w:val="right"/>
            </w:pPr>
            <w:r>
              <w:t xml:space="preserve">49.500</w:t>
            </w:r>
          </w:p>
        </w:tc>
        <w:tc>
          <w:tcPr/>
          <w:p>
            <w:pPr>
              <w:pStyle w:val="Compact"/>
              <w:jc w:val="right"/>
            </w:pPr>
            <w:r>
              <w:t xml:space="preserve">0.001</w:t>
            </w:r>
          </w:p>
        </w:tc>
        <w:tc>
          <w:tcPr/>
          <w:p>
            <w:pPr>
              <w:pStyle w:val="Compact"/>
              <w:jc w:val="right"/>
            </w:pPr>
            <w:r>
              <w:t xml:space="preserve">0.425</w:t>
            </w:r>
          </w:p>
        </w:tc>
      </w:tr>
      <w:tr>
        <w:tc>
          <w:tcPr/>
          <w:p>
            <w:pPr>
              <w:pStyle w:val="Compact"/>
              <w:jc w:val="right"/>
            </w:pPr>
            <w:r>
              <w:t xml:space="preserve">15</w:t>
            </w:r>
          </w:p>
        </w:tc>
        <w:tc>
          <w:tcPr/>
          <w:p>
            <w:pPr>
              <w:pStyle w:val="Compact"/>
              <w:jc w:val="right"/>
            </w:pPr>
            <w:r>
              <w:t xml:space="preserve">4000</w:t>
            </w:r>
          </w:p>
        </w:tc>
        <w:tc>
          <w:tcPr/>
          <w:p>
            <w:pPr>
              <w:pStyle w:val="Compact"/>
              <w:jc w:val="right"/>
            </w:pPr>
            <w:r>
              <w:t xml:space="preserve">1181.403</w:t>
            </w:r>
          </w:p>
        </w:tc>
        <w:tc>
          <w:tcPr/>
          <w:p>
            <w:pPr>
              <w:pStyle w:val="Compact"/>
              <w:jc w:val="right"/>
            </w:pPr>
            <w:r>
              <w:t xml:space="preserve">28.530</w:t>
            </w:r>
          </w:p>
        </w:tc>
        <w:tc>
          <w:tcPr/>
          <w:p>
            <w:pPr>
              <w:pStyle w:val="Compact"/>
              <w:jc w:val="right"/>
            </w:pPr>
            <w:r>
              <w:t xml:space="preserve">28.579</w:t>
            </w:r>
          </w:p>
        </w:tc>
        <w:tc>
          <w:tcPr/>
          <w:p>
            <w:pPr>
              <w:pStyle w:val="Compact"/>
              <w:jc w:val="right"/>
            </w:pPr>
            <w:r>
              <w:t xml:space="preserve">0.020</w:t>
            </w:r>
          </w:p>
        </w:tc>
        <w:tc>
          <w:tcPr/>
          <w:p>
            <w:pPr>
              <w:pStyle w:val="Compact"/>
              <w:jc w:val="right"/>
            </w:pPr>
            <w:r>
              <w:t xml:space="preserve">0.547</w:t>
            </w:r>
          </w:p>
        </w:tc>
      </w:tr>
      <w:tr>
        <w:tc>
          <w:tcPr/>
          <w:p>
            <w:pPr>
              <w:pStyle w:val="Compact"/>
              <w:jc w:val="right"/>
            </w:pPr>
            <w:r>
              <w:t xml:space="preserve">40</w:t>
            </w:r>
          </w:p>
        </w:tc>
        <w:tc>
          <w:tcPr/>
          <w:p>
            <w:pPr>
              <w:pStyle w:val="Compact"/>
              <w:jc w:val="right"/>
            </w:pPr>
            <w:r>
              <w:t xml:space="preserve">4000</w:t>
            </w:r>
          </w:p>
        </w:tc>
        <w:tc>
          <w:tcPr/>
          <w:p>
            <w:pPr>
              <w:pStyle w:val="Compact"/>
              <w:jc w:val="right"/>
            </w:pPr>
            <w:r>
              <w:t xml:space="preserve">1182.223</w:t>
            </w:r>
          </w:p>
        </w:tc>
        <w:tc>
          <w:tcPr/>
          <w:p>
            <w:pPr>
              <w:pStyle w:val="Compact"/>
              <w:jc w:val="right"/>
            </w:pPr>
            <w:r>
              <w:t xml:space="preserve">17.351</w:t>
            </w:r>
          </w:p>
        </w:tc>
        <w:tc>
          <w:tcPr/>
          <w:p>
            <w:pPr>
              <w:pStyle w:val="Compact"/>
              <w:jc w:val="right"/>
            </w:pPr>
            <w:r>
              <w:t xml:space="preserve">17.501</w:t>
            </w:r>
          </w:p>
        </w:tc>
        <w:tc>
          <w:tcPr/>
          <w:p>
            <w:pPr>
              <w:pStyle w:val="Compact"/>
              <w:jc w:val="right"/>
            </w:pPr>
            <w:r>
              <w:t xml:space="preserve">-0.013</w:t>
            </w:r>
          </w:p>
        </w:tc>
        <w:tc>
          <w:tcPr/>
          <w:p>
            <w:pPr>
              <w:pStyle w:val="Compact"/>
              <w:jc w:val="right"/>
            </w:pPr>
            <w:r>
              <w:t xml:space="preserve">0.598</w:t>
            </w:r>
          </w:p>
        </w:tc>
      </w:tr>
    </w:tbl>
    <w:p>
      <w:pPr>
        <w:pStyle w:val="CaptionedFigure"/>
      </w:pPr>
      <w:r>
        <w:drawing>
          <wp:inline>
            <wp:extent cx="4907280" cy="3271520"/>
            <wp:effectExtent b="0" l="0" r="0" t="0"/>
            <wp:docPr descr="Figure 9. Parent annual-rainfall histogram and sampling distributions of the mean for n = 5, 15 and 40. Simulated draws are teaching devices, not new observations." title="" id="50" name="Picture"/>
            <a:graphic>
              <a:graphicData uri="http://schemas.openxmlformats.org/drawingml/2006/picture">
                <pic:pic>
                  <pic:nvPicPr>
                    <pic:cNvPr descr="../graphs/clt_sampling_distributions.png" id="51" name="Picture"/>
                    <pic:cNvPicPr>
                      <a:picLocks noChangeArrowheads="1" noChangeAspect="1"/>
                    </pic:cNvPicPr>
                  </pic:nvPicPr>
                  <pic:blipFill>
                    <a:blip r:embed="rId49"/>
                    <a:stretch>
                      <a:fillRect/>
                    </a:stretch>
                  </pic:blipFill>
                  <pic:spPr bwMode="auto">
                    <a:xfrm>
                      <a:off x="0" y="0"/>
                      <a:ext cx="4907280" cy="3271520"/>
                    </a:xfrm>
                    <a:prstGeom prst="rect">
                      <a:avLst/>
                    </a:prstGeom>
                    <a:noFill/>
                    <a:ln w="9525">
                      <a:noFill/>
                      <a:headEnd/>
                      <a:tailEnd/>
                    </a:ln>
                  </pic:spPr>
                </pic:pic>
              </a:graphicData>
            </a:graphic>
          </wp:inline>
        </w:drawing>
      </w:r>
    </w:p>
    <w:p>
      <w:pPr>
        <w:pStyle w:val="ImageCaption"/>
      </w:pPr>
      <w:r>
        <w:t xml:space="preserve">Figure 9. Parent annual-rainfall histogram and sampling distributions of the mean for n = 5, 15 and 40. Simulated draws are teaching devices, not new observations.</w:t>
      </w:r>
    </w:p>
    <w:p>
      <w:pPr>
        <w:pStyle w:val="BodyText"/>
      </w:pPr>
      <w:r>
        <w:t xml:space="preserve">As</w:t>
      </w:r>
      <w:r>
        <w:t xml:space="preserve"> </w:t>
      </w:r>
      <m:oMath>
        <m:r>
          <m:t>n</m:t>
        </m:r>
      </m:oMath>
      <w:r>
        <w:t xml:space="preserve"> </w:t>
      </w:r>
      <w:r>
        <w:t xml:space="preserve">grows, the histogram of sample means concentrates at about 1182.03 mm and the simulated SD of means tracks</w:t>
      </w:r>
      <w:r>
        <w:t xml:space="preserve"> </w:t>
      </w:r>
      <m:oMath>
        <m:r>
          <m:t>s</m:t>
        </m:r>
        <m:r>
          <m:rPr>
            <m:sty m:val="p"/>
          </m:rPr>
          <m:t>/</m:t>
        </m:r>
        <m:rad>
          <m:radPr>
            <m:degHide m:val="on"/>
          </m:radPr>
          <m:deg/>
          <m:e>
            <m:r>
              <m:t>n</m:t>
            </m:r>
          </m:e>
        </m:rad>
      </m:oMath>
      <w:r>
        <w:t xml:space="preserve"> </w:t>
      </w:r>
      <w:r>
        <w:t xml:space="preserve">(for</w:t>
      </w:r>
      <w:r>
        <w:t xml:space="preserve"> </w:t>
      </w:r>
      <m:oMath>
        <m:r>
          <m:t>n</m:t>
        </m:r>
        <m:r>
          <m:rPr>
            <m:sty m:val="p"/>
          </m:rPr>
          <m:t>=</m:t>
        </m:r>
        <m:r>
          <m:t>40</m:t>
        </m:r>
      </m:oMath>
      <w:r>
        <w:t xml:space="preserve">, 17.35 mm versus theoretical 17.50 mm). Skewness of the means is near zero. This is the Central Limit Theorem in a resampling illustration, not a proof that annual climate is iid.</w:t>
      </w:r>
    </w:p>
    <w:bookmarkEnd w:id="52"/>
    <w:bookmarkStart w:id="56" w:name="confidence-intervals"/>
    <w:p>
      <w:pPr>
        <w:pStyle w:val="Heading1"/>
      </w:pPr>
      <w:r>
        <w:t xml:space="preserve">Confidence intervals</w:t>
      </w:r>
    </w:p>
    <w:p>
      <w:pPr>
        <w:pStyle w:val="FirstParagraph"/>
      </w:pPr>
      <w:r>
        <w:rPr>
          <w:b/>
          <w:bCs/>
        </w:rPr>
        <w:t xml:space="preserve">Parameter.</w:t>
      </w:r>
      <w:r>
        <w:t xml:space="preserve"> </w:t>
      </w:r>
      <w:r>
        <w:t xml:space="preserve">The mean of all-India area-weighted annual rainfall, in millimetres, for the 1901–2015 record under the iid-normal (or CLT) approximation.</w:t>
      </w:r>
    </w:p>
    <w:p>
      <w:pPr>
        <w:pStyle w:val="BodyText"/>
      </w:pPr>
      <w:r>
        <w:rPr>
          <w:b/>
          <w:bCs/>
        </w:rPr>
        <w:t xml:space="preserve">Method.</w:t>
      </w:r>
      <w:r>
        <w:t xml:space="preserve"> </w:t>
      </w:r>
      <w:r>
        <w:t xml:space="preserve">Student’s</w:t>
      </w:r>
      <w:r>
        <w:t xml:space="preserve"> </w:t>
      </w:r>
      <m:oMath>
        <m:r>
          <m:t>t</m:t>
        </m:r>
      </m:oMath>
      <w:r>
        <w:t xml:space="preserve"> </w:t>
      </w:r>
      <w:r>
        <w:t xml:space="preserve">with</w:t>
      </w:r>
      <w:r>
        <w:t xml:space="preserve"> </w:t>
      </w:r>
      <m:oMath>
        <m:r>
          <m:t>n</m:t>
        </m:r>
        <m:r>
          <m:rPr>
            <m:sty m:val="p"/>
          </m:rPr>
          <m:t>−</m:t>
        </m:r>
        <m:r>
          <m:t>1</m:t>
        </m:r>
        <m:r>
          <m:rPr>
            <m:sty m:val="p"/>
          </m:rPr>
          <m:t>=</m:t>
        </m:r>
        <m:r>
          <m:t>114</m:t>
        </m:r>
      </m:oMath>
      <w:r>
        <w:t xml:space="preserve"> </w:t>
      </w:r>
      <w:r>
        <w:t xml:space="preserve">degrees of freedom. Assumptions: independent years and either normality or a large-sample mean. Shapiro–Wilk did not reject normality of annual totals, but lag-2 autocorrelation (Section 18) means the reported intervals are</w:t>
      </w:r>
      <w:r>
        <w:t xml:space="preserve"> </w:t>
      </w:r>
      <w:r>
        <w:rPr>
          <w:b/>
          <w:bCs/>
        </w:rPr>
        <w:t xml:space="preserve">iid-benchmark</w:t>
      </w:r>
      <w:r>
        <w:t xml:space="preserve"> </w:t>
      </w:r>
      <w:r>
        <w:t xml:space="preserve">intervals and may be slightly too narrow.</w:t>
      </w:r>
    </w:p>
    <w:p>
      <w:pPr>
        <w:pStyle w:val="TableCaption"/>
      </w:pPr>
      <w:r>
        <w:t xml:space="preserve">Table 7. Confidence intervals. Mean intervals are Student t; proportion intervals are Wald.</w:t>
      </w:r>
    </w:p>
    <w:tbl>
      <w:tblPr>
        <w:tblStyle w:val="Table"/>
        <w:tblW w:type="pct" w:w="5000"/>
        <w:tblLayout w:type="fixed"/>
        <w:tblLook w:firstRow="1" w:lastRow="0" w:firstColumn="0" w:lastColumn="0" w:noHBand="0" w:noVBand="0" w:val="0020"/>
        <w:tblCaption w:val="Table 7. Confidence intervals. Mean intervals are Student t; proportion intervals are Wald."/>
      </w:tblPr>
      <w:tblGrid>
        <w:gridCol w:w="1357"/>
        <w:gridCol w:w="1946"/>
        <w:gridCol w:w="769"/>
        <w:gridCol w:w="181"/>
        <w:gridCol w:w="407"/>
        <w:gridCol w:w="316"/>
        <w:gridCol w:w="362"/>
        <w:gridCol w:w="362"/>
        <w:gridCol w:w="2217"/>
      </w:tblGrid>
      <w:tr>
        <w:trPr>
          <w:tblHeader w:val="on"/>
        </w:trPr>
        <w:tc>
          <w:tcPr/>
          <w:p>
            <w:pPr>
              <w:pStyle w:val="Compact"/>
              <w:jc w:val="left"/>
            </w:pPr>
            <w:r>
              <w:t xml:space="preserve">series</w:t>
            </w:r>
          </w:p>
        </w:tc>
        <w:tc>
          <w:tcPr/>
          <w:p>
            <w:pPr>
              <w:pStyle w:val="Compact"/>
              <w:jc w:val="left"/>
            </w:pPr>
            <w:r>
              <w:t xml:space="preserve">parameter</w:t>
            </w:r>
          </w:p>
        </w:tc>
        <w:tc>
          <w:tcPr/>
          <w:p>
            <w:pPr>
              <w:pStyle w:val="Compact"/>
              <w:jc w:val="right"/>
            </w:pPr>
            <w:r>
              <w:t xml:space="preserve">confidence_level</w:t>
            </w:r>
          </w:p>
        </w:tc>
        <w:tc>
          <w:tcPr/>
          <w:p>
            <w:pPr>
              <w:pStyle w:val="Compact"/>
              <w:jc w:val="right"/>
            </w:pPr>
            <w:r>
              <w:t xml:space="preserve">n</w:t>
            </w:r>
          </w:p>
        </w:tc>
        <w:tc>
          <w:tcPr/>
          <w:p>
            <w:pPr>
              <w:pStyle w:val="Compact"/>
              <w:jc w:val="right"/>
            </w:pPr>
            <w:r>
              <w:t xml:space="preserve">estimate</w:t>
            </w:r>
          </w:p>
        </w:tc>
        <w:tc>
          <w:tcPr/>
          <w:p>
            <w:pPr>
              <w:pStyle w:val="Compact"/>
              <w:jc w:val="right"/>
            </w:pPr>
            <w:r>
              <w:t xml:space="preserve">se</w:t>
            </w:r>
          </w:p>
        </w:tc>
        <w:tc>
          <w:tcPr/>
          <w:p>
            <w:pPr>
              <w:pStyle w:val="Compact"/>
              <w:jc w:val="right"/>
            </w:pPr>
            <w:r>
              <w:t xml:space="preserve">lower</w:t>
            </w:r>
          </w:p>
        </w:tc>
        <w:tc>
          <w:tcPr/>
          <w:p>
            <w:pPr>
              <w:pStyle w:val="Compact"/>
              <w:jc w:val="right"/>
            </w:pPr>
            <w:r>
              <w:t xml:space="preserve">upper</w:t>
            </w:r>
          </w:p>
        </w:tc>
        <w:tc>
          <w:tcPr/>
          <w:p>
            <w:pPr>
              <w:pStyle w:val="Compact"/>
              <w:jc w:val="left"/>
            </w:pPr>
            <w:r>
              <w:t xml:space="preserve">method</w:t>
            </w:r>
          </w:p>
        </w:tc>
      </w:tr>
      <w:tr>
        <w:tc>
          <w:tcPr/>
          <w:p>
            <w:pPr>
              <w:pStyle w:val="Compact"/>
              <w:jc w:val="left"/>
            </w:pPr>
            <w:r>
              <w:t xml:space="preserve">India annual rainfall</w:t>
            </w:r>
          </w:p>
        </w:tc>
        <w:tc>
          <w:tcPr/>
          <w:p>
            <w:pPr>
              <w:pStyle w:val="Compact"/>
              <w:jc w:val="left"/>
            </w:pPr>
            <w:r>
              <w:t xml:space="preserve">mean (mm)</w:t>
            </w:r>
          </w:p>
        </w:tc>
        <w:tc>
          <w:tcPr/>
          <w:p>
            <w:pPr>
              <w:pStyle w:val="Compact"/>
              <w:jc w:val="right"/>
            </w:pPr>
            <w:r>
              <w:t xml:space="preserve">0.90</w:t>
            </w:r>
          </w:p>
        </w:tc>
        <w:tc>
          <w:tcPr/>
          <w:p>
            <w:pPr>
              <w:pStyle w:val="Compact"/>
              <w:jc w:val="right"/>
            </w:pPr>
            <w:r>
              <w:t xml:space="preserve">115</w:t>
            </w:r>
          </w:p>
        </w:tc>
        <w:tc>
          <w:tcPr/>
          <w:p>
            <w:pPr>
              <w:pStyle w:val="Compact"/>
              <w:jc w:val="right"/>
            </w:pPr>
            <w:r>
              <w:t xml:space="preserve">1182.03</w:t>
            </w:r>
          </w:p>
        </w:tc>
        <w:tc>
          <w:tcPr/>
          <w:p>
            <w:pPr>
              <w:pStyle w:val="Compact"/>
              <w:jc w:val="right"/>
            </w:pPr>
            <w:r>
              <w:t xml:space="preserve">10.322</w:t>
            </w:r>
          </w:p>
        </w:tc>
        <w:tc>
          <w:tcPr/>
          <w:p>
            <w:pPr>
              <w:pStyle w:val="Compact"/>
              <w:jc w:val="right"/>
            </w:pPr>
            <w:r>
              <w:t xml:space="preserve">1164.92</w:t>
            </w:r>
          </w:p>
        </w:tc>
        <w:tc>
          <w:tcPr/>
          <w:p>
            <w:pPr>
              <w:pStyle w:val="Compact"/>
              <w:jc w:val="right"/>
            </w:pPr>
            <w:r>
              <w:t xml:space="preserve">1199.15</w:t>
            </w:r>
          </w:p>
        </w:tc>
        <w:tc>
          <w:tcPr/>
          <w:p>
            <w:pPr>
              <w:pStyle w:val="Compact"/>
              <w:jc w:val="left"/>
            </w:pPr>
            <w:r>
              <w:t xml:space="preserve">Student t, iid assumption</w:t>
            </w:r>
          </w:p>
        </w:tc>
      </w:tr>
      <w:tr>
        <w:tc>
          <w:tcPr/>
          <w:p>
            <w:pPr>
              <w:pStyle w:val="Compact"/>
              <w:jc w:val="left"/>
            </w:pPr>
            <w:r>
              <w:t xml:space="preserve">India annual rainfall</w:t>
            </w:r>
          </w:p>
        </w:tc>
        <w:tc>
          <w:tcPr/>
          <w:p>
            <w:pPr>
              <w:pStyle w:val="Compact"/>
              <w:jc w:val="left"/>
            </w:pPr>
            <w:r>
              <w:t xml:space="preserve">mean (mm)</w:t>
            </w:r>
          </w:p>
        </w:tc>
        <w:tc>
          <w:tcPr/>
          <w:p>
            <w:pPr>
              <w:pStyle w:val="Compact"/>
              <w:jc w:val="right"/>
            </w:pPr>
            <w:r>
              <w:t xml:space="preserve">0.95</w:t>
            </w:r>
          </w:p>
        </w:tc>
        <w:tc>
          <w:tcPr/>
          <w:p>
            <w:pPr>
              <w:pStyle w:val="Compact"/>
              <w:jc w:val="right"/>
            </w:pPr>
            <w:r>
              <w:t xml:space="preserve">115</w:t>
            </w:r>
          </w:p>
        </w:tc>
        <w:tc>
          <w:tcPr/>
          <w:p>
            <w:pPr>
              <w:pStyle w:val="Compact"/>
              <w:jc w:val="right"/>
            </w:pPr>
            <w:r>
              <w:t xml:space="preserve">1182.03</w:t>
            </w:r>
          </w:p>
        </w:tc>
        <w:tc>
          <w:tcPr/>
          <w:p>
            <w:pPr>
              <w:pStyle w:val="Compact"/>
              <w:jc w:val="right"/>
            </w:pPr>
            <w:r>
              <w:t xml:space="preserve">10.322</w:t>
            </w:r>
          </w:p>
        </w:tc>
        <w:tc>
          <w:tcPr/>
          <w:p>
            <w:pPr>
              <w:pStyle w:val="Compact"/>
              <w:jc w:val="right"/>
            </w:pPr>
            <w:r>
              <w:t xml:space="preserve">1161.59</w:t>
            </w:r>
          </w:p>
        </w:tc>
        <w:tc>
          <w:tcPr/>
          <w:p>
            <w:pPr>
              <w:pStyle w:val="Compact"/>
              <w:jc w:val="right"/>
            </w:pPr>
            <w:r>
              <w:t xml:space="preserve">1202.48</w:t>
            </w:r>
          </w:p>
        </w:tc>
        <w:tc>
          <w:tcPr/>
          <w:p>
            <w:pPr>
              <w:pStyle w:val="Compact"/>
              <w:jc w:val="left"/>
            </w:pPr>
            <w:r>
              <w:t xml:space="preserve">Student t, iid assumption</w:t>
            </w:r>
          </w:p>
        </w:tc>
      </w:tr>
      <w:tr>
        <w:tc>
          <w:tcPr/>
          <w:p>
            <w:pPr>
              <w:pStyle w:val="Compact"/>
              <w:jc w:val="left"/>
            </w:pPr>
            <w:r>
              <w:t xml:space="preserve">India annual rainfall</w:t>
            </w:r>
          </w:p>
        </w:tc>
        <w:tc>
          <w:tcPr/>
          <w:p>
            <w:pPr>
              <w:pStyle w:val="Compact"/>
              <w:jc w:val="left"/>
            </w:pPr>
            <w:r>
              <w:t xml:space="preserve">mean (mm)</w:t>
            </w:r>
          </w:p>
        </w:tc>
        <w:tc>
          <w:tcPr/>
          <w:p>
            <w:pPr>
              <w:pStyle w:val="Compact"/>
              <w:jc w:val="right"/>
            </w:pPr>
            <w:r>
              <w:t xml:space="preserve">0.99</w:t>
            </w:r>
          </w:p>
        </w:tc>
        <w:tc>
          <w:tcPr/>
          <w:p>
            <w:pPr>
              <w:pStyle w:val="Compact"/>
              <w:jc w:val="right"/>
            </w:pPr>
            <w:r>
              <w:t xml:space="preserve">115</w:t>
            </w:r>
          </w:p>
        </w:tc>
        <w:tc>
          <w:tcPr/>
          <w:p>
            <w:pPr>
              <w:pStyle w:val="Compact"/>
              <w:jc w:val="right"/>
            </w:pPr>
            <w:r>
              <w:t xml:space="preserve">1182.03</w:t>
            </w:r>
          </w:p>
        </w:tc>
        <w:tc>
          <w:tcPr/>
          <w:p>
            <w:pPr>
              <w:pStyle w:val="Compact"/>
              <w:jc w:val="right"/>
            </w:pPr>
            <w:r>
              <w:t xml:space="preserve">10.322</w:t>
            </w:r>
          </w:p>
        </w:tc>
        <w:tc>
          <w:tcPr/>
          <w:p>
            <w:pPr>
              <w:pStyle w:val="Compact"/>
              <w:jc w:val="right"/>
            </w:pPr>
            <w:r>
              <w:t xml:space="preserve">1155.00</w:t>
            </w:r>
          </w:p>
        </w:tc>
        <w:tc>
          <w:tcPr/>
          <w:p>
            <w:pPr>
              <w:pStyle w:val="Compact"/>
              <w:jc w:val="right"/>
            </w:pPr>
            <w:r>
              <w:t xml:space="preserve">1209.07</w:t>
            </w:r>
          </w:p>
        </w:tc>
        <w:tc>
          <w:tcPr/>
          <w:p>
            <w:pPr>
              <w:pStyle w:val="Compact"/>
              <w:jc w:val="left"/>
            </w:pPr>
            <w:r>
              <w:t xml:space="preserve">Student t, iid assumption</w:t>
            </w:r>
          </w:p>
        </w:tc>
      </w:tr>
      <w:tr>
        <w:tc>
          <w:tcPr/>
          <w:p>
            <w:pPr>
              <w:pStyle w:val="Compact"/>
              <w:jc w:val="left"/>
            </w:pPr>
            <w:r>
              <w:t xml:space="preserve">India Jun-Sep rainfall</w:t>
            </w:r>
          </w:p>
        </w:tc>
        <w:tc>
          <w:tcPr/>
          <w:p>
            <w:pPr>
              <w:pStyle w:val="Compact"/>
              <w:jc w:val="left"/>
            </w:pPr>
            <w:r>
              <w:t xml:space="preserve">mean (mm)</w:t>
            </w:r>
          </w:p>
        </w:tc>
        <w:tc>
          <w:tcPr/>
          <w:p>
            <w:pPr>
              <w:pStyle w:val="Compact"/>
              <w:jc w:val="right"/>
            </w:pPr>
            <w:r>
              <w:t xml:space="preserve">0.90</w:t>
            </w:r>
          </w:p>
        </w:tc>
        <w:tc>
          <w:tcPr/>
          <w:p>
            <w:pPr>
              <w:pStyle w:val="Compact"/>
              <w:jc w:val="right"/>
            </w:pPr>
            <w:r>
              <w:t xml:space="preserve">115</w:t>
            </w:r>
          </w:p>
        </w:tc>
        <w:tc>
          <w:tcPr/>
          <w:p>
            <w:pPr>
              <w:pStyle w:val="Compact"/>
              <w:jc w:val="right"/>
            </w:pPr>
            <w:r>
              <w:t xml:space="preserve">890.26</w:t>
            </w:r>
          </w:p>
        </w:tc>
        <w:tc>
          <w:tcPr/>
          <w:p>
            <w:pPr>
              <w:pStyle w:val="Compact"/>
              <w:jc w:val="right"/>
            </w:pPr>
            <w:r>
              <w:t xml:space="preserve">8.316</w:t>
            </w:r>
          </w:p>
        </w:tc>
        <w:tc>
          <w:tcPr/>
          <w:p>
            <w:pPr>
              <w:pStyle w:val="Compact"/>
              <w:jc w:val="right"/>
            </w:pPr>
            <w:r>
              <w:t xml:space="preserve">876.47</w:t>
            </w:r>
          </w:p>
        </w:tc>
        <w:tc>
          <w:tcPr/>
          <w:p>
            <w:pPr>
              <w:pStyle w:val="Compact"/>
              <w:jc w:val="right"/>
            </w:pPr>
            <w:r>
              <w:t xml:space="preserve">904.05</w:t>
            </w:r>
          </w:p>
        </w:tc>
        <w:tc>
          <w:tcPr/>
          <w:p>
            <w:pPr>
              <w:pStyle w:val="Compact"/>
              <w:jc w:val="left"/>
            </w:pPr>
            <w:r>
              <w:t xml:space="preserve">Student t, iid assumption</w:t>
            </w:r>
          </w:p>
        </w:tc>
      </w:tr>
      <w:tr>
        <w:tc>
          <w:tcPr/>
          <w:p>
            <w:pPr>
              <w:pStyle w:val="Compact"/>
              <w:jc w:val="left"/>
            </w:pPr>
            <w:r>
              <w:t xml:space="preserve">India Jun-Sep rainfall</w:t>
            </w:r>
          </w:p>
        </w:tc>
        <w:tc>
          <w:tcPr/>
          <w:p>
            <w:pPr>
              <w:pStyle w:val="Compact"/>
              <w:jc w:val="left"/>
            </w:pPr>
            <w:r>
              <w:t xml:space="preserve">mean (mm)</w:t>
            </w:r>
          </w:p>
        </w:tc>
        <w:tc>
          <w:tcPr/>
          <w:p>
            <w:pPr>
              <w:pStyle w:val="Compact"/>
              <w:jc w:val="right"/>
            </w:pPr>
            <w:r>
              <w:t xml:space="preserve">0.95</w:t>
            </w:r>
          </w:p>
        </w:tc>
        <w:tc>
          <w:tcPr/>
          <w:p>
            <w:pPr>
              <w:pStyle w:val="Compact"/>
              <w:jc w:val="right"/>
            </w:pPr>
            <w:r>
              <w:t xml:space="preserve">115</w:t>
            </w:r>
          </w:p>
        </w:tc>
        <w:tc>
          <w:tcPr/>
          <w:p>
            <w:pPr>
              <w:pStyle w:val="Compact"/>
              <w:jc w:val="right"/>
            </w:pPr>
            <w:r>
              <w:t xml:space="preserve">890.26</w:t>
            </w:r>
          </w:p>
        </w:tc>
        <w:tc>
          <w:tcPr/>
          <w:p>
            <w:pPr>
              <w:pStyle w:val="Compact"/>
              <w:jc w:val="right"/>
            </w:pPr>
            <w:r>
              <w:t xml:space="preserve">8.316</w:t>
            </w:r>
          </w:p>
        </w:tc>
        <w:tc>
          <w:tcPr/>
          <w:p>
            <w:pPr>
              <w:pStyle w:val="Compact"/>
              <w:jc w:val="right"/>
            </w:pPr>
            <w:r>
              <w:t xml:space="preserve">873.79</w:t>
            </w:r>
          </w:p>
        </w:tc>
        <w:tc>
          <w:tcPr/>
          <w:p>
            <w:pPr>
              <w:pStyle w:val="Compact"/>
              <w:jc w:val="right"/>
            </w:pPr>
            <w:r>
              <w:t xml:space="preserve">906.73</w:t>
            </w:r>
          </w:p>
        </w:tc>
        <w:tc>
          <w:tcPr/>
          <w:p>
            <w:pPr>
              <w:pStyle w:val="Compact"/>
              <w:jc w:val="left"/>
            </w:pPr>
            <w:r>
              <w:t xml:space="preserve">Student t, iid assumption</w:t>
            </w:r>
          </w:p>
        </w:tc>
      </w:tr>
      <w:tr>
        <w:tc>
          <w:tcPr/>
          <w:p>
            <w:pPr>
              <w:pStyle w:val="Compact"/>
              <w:jc w:val="left"/>
            </w:pPr>
            <w:r>
              <w:t xml:space="preserve">India Jun-Sep rainfall</w:t>
            </w:r>
          </w:p>
        </w:tc>
        <w:tc>
          <w:tcPr/>
          <w:p>
            <w:pPr>
              <w:pStyle w:val="Compact"/>
              <w:jc w:val="left"/>
            </w:pPr>
            <w:r>
              <w:t xml:space="preserve">mean (mm)</w:t>
            </w:r>
          </w:p>
        </w:tc>
        <w:tc>
          <w:tcPr/>
          <w:p>
            <w:pPr>
              <w:pStyle w:val="Compact"/>
              <w:jc w:val="right"/>
            </w:pPr>
            <w:r>
              <w:t xml:space="preserve">0.99</w:t>
            </w:r>
          </w:p>
        </w:tc>
        <w:tc>
          <w:tcPr/>
          <w:p>
            <w:pPr>
              <w:pStyle w:val="Compact"/>
              <w:jc w:val="right"/>
            </w:pPr>
            <w:r>
              <w:t xml:space="preserve">115</w:t>
            </w:r>
          </w:p>
        </w:tc>
        <w:tc>
          <w:tcPr/>
          <w:p>
            <w:pPr>
              <w:pStyle w:val="Compact"/>
              <w:jc w:val="right"/>
            </w:pPr>
            <w:r>
              <w:t xml:space="preserve">890.26</w:t>
            </w:r>
          </w:p>
        </w:tc>
        <w:tc>
          <w:tcPr/>
          <w:p>
            <w:pPr>
              <w:pStyle w:val="Compact"/>
              <w:jc w:val="right"/>
            </w:pPr>
            <w:r>
              <w:t xml:space="preserve">8.316</w:t>
            </w:r>
          </w:p>
        </w:tc>
        <w:tc>
          <w:tcPr/>
          <w:p>
            <w:pPr>
              <w:pStyle w:val="Compact"/>
              <w:jc w:val="right"/>
            </w:pPr>
            <w:r>
              <w:t xml:space="preserve">868.48</w:t>
            </w:r>
          </w:p>
        </w:tc>
        <w:tc>
          <w:tcPr/>
          <w:p>
            <w:pPr>
              <w:pStyle w:val="Compact"/>
              <w:jc w:val="right"/>
            </w:pPr>
            <w:r>
              <w:t xml:space="preserve">912.05</w:t>
            </w:r>
          </w:p>
        </w:tc>
        <w:tc>
          <w:tcPr/>
          <w:p>
            <w:pPr>
              <w:pStyle w:val="Compact"/>
              <w:jc w:val="left"/>
            </w:pPr>
            <w:r>
              <w:t xml:space="preserve">Student t, iid assumption</w:t>
            </w:r>
          </w:p>
        </w:tc>
      </w:tr>
      <w:tr>
        <w:tc>
          <w:tcPr/>
          <w:p>
            <w:pPr>
              <w:pStyle w:val="Compact"/>
              <w:jc w:val="left"/>
            </w:pPr>
            <w:r>
              <w:t xml:space="preserve">India Jun-Sep deficient years</w:t>
            </w:r>
          </w:p>
        </w:tc>
        <w:tc>
          <w:tcPr/>
          <w:p>
            <w:pPr>
              <w:pStyle w:val="Compact"/>
              <w:jc w:val="left"/>
            </w:pPr>
            <w:r>
              <w:t xml:space="preserve">proportion deficient (&lt;90% of series mean)</w:t>
            </w:r>
          </w:p>
        </w:tc>
        <w:tc>
          <w:tcPr/>
          <w:p>
            <w:pPr>
              <w:pStyle w:val="Compact"/>
              <w:jc w:val="right"/>
            </w:pPr>
            <w:r>
              <w:t xml:space="preserve">0.90</w:t>
            </w:r>
          </w:p>
        </w:tc>
        <w:tc>
          <w:tcPr/>
          <w:p>
            <w:pPr>
              <w:pStyle w:val="Compact"/>
              <w:jc w:val="right"/>
            </w:pPr>
            <w:r>
              <w:t xml:space="preserve">115</w:t>
            </w:r>
          </w:p>
        </w:tc>
        <w:tc>
          <w:tcPr/>
          <w:p>
            <w:pPr>
              <w:pStyle w:val="Compact"/>
              <w:jc w:val="right"/>
            </w:pPr>
            <w:r>
              <w:t xml:space="preserve">0.22</w:t>
            </w:r>
          </w:p>
        </w:tc>
        <w:tc>
          <w:tcPr/>
          <w:p>
            <w:pPr>
              <w:pStyle w:val="Compact"/>
              <w:jc w:val="right"/>
            </w:pPr>
            <w:r>
              <w:t xml:space="preserve">0.038</w:t>
            </w:r>
          </w:p>
        </w:tc>
        <w:tc>
          <w:tcPr/>
          <w:p>
            <w:pPr>
              <w:pStyle w:val="Compact"/>
              <w:jc w:val="right"/>
            </w:pPr>
            <w:r>
              <w:t xml:space="preserve">0.15</w:t>
            </w:r>
          </w:p>
        </w:tc>
        <w:tc>
          <w:tcPr/>
          <w:p>
            <w:pPr>
              <w:pStyle w:val="Compact"/>
              <w:jc w:val="right"/>
            </w:pPr>
            <w:r>
              <w:t xml:space="preserve">0.28</w:t>
            </w:r>
          </w:p>
        </w:tc>
        <w:tc>
          <w:tcPr/>
          <w:p>
            <w:pPr>
              <w:pStyle w:val="Compact"/>
              <w:jc w:val="left"/>
            </w:pPr>
            <w:r>
              <w:t xml:space="preserve">Wald (normal) interval for a binomial proportion</w:t>
            </w:r>
          </w:p>
        </w:tc>
      </w:tr>
      <w:tr>
        <w:tc>
          <w:tcPr/>
          <w:p>
            <w:pPr>
              <w:pStyle w:val="Compact"/>
              <w:jc w:val="left"/>
            </w:pPr>
            <w:r>
              <w:t xml:space="preserve">India Jun-Sep deficient years</w:t>
            </w:r>
          </w:p>
        </w:tc>
        <w:tc>
          <w:tcPr/>
          <w:p>
            <w:pPr>
              <w:pStyle w:val="Compact"/>
              <w:jc w:val="left"/>
            </w:pPr>
            <w:r>
              <w:t xml:space="preserve">proportion deficient (&lt;90% of series mean)</w:t>
            </w:r>
          </w:p>
        </w:tc>
        <w:tc>
          <w:tcPr/>
          <w:p>
            <w:pPr>
              <w:pStyle w:val="Compact"/>
              <w:jc w:val="right"/>
            </w:pPr>
            <w:r>
              <w:t xml:space="preserve">0.95</w:t>
            </w:r>
          </w:p>
        </w:tc>
        <w:tc>
          <w:tcPr/>
          <w:p>
            <w:pPr>
              <w:pStyle w:val="Compact"/>
              <w:jc w:val="right"/>
            </w:pPr>
            <w:r>
              <w:t xml:space="preserve">115</w:t>
            </w:r>
          </w:p>
        </w:tc>
        <w:tc>
          <w:tcPr/>
          <w:p>
            <w:pPr>
              <w:pStyle w:val="Compact"/>
              <w:jc w:val="right"/>
            </w:pPr>
            <w:r>
              <w:t xml:space="preserve">0.22</w:t>
            </w:r>
          </w:p>
        </w:tc>
        <w:tc>
          <w:tcPr/>
          <w:p>
            <w:pPr>
              <w:pStyle w:val="Compact"/>
              <w:jc w:val="right"/>
            </w:pPr>
            <w:r>
              <w:t xml:space="preserve">0.038</w:t>
            </w:r>
          </w:p>
        </w:tc>
        <w:tc>
          <w:tcPr/>
          <w:p>
            <w:pPr>
              <w:pStyle w:val="Compact"/>
              <w:jc w:val="right"/>
            </w:pPr>
            <w:r>
              <w:t xml:space="preserve">0.14</w:t>
            </w:r>
          </w:p>
        </w:tc>
        <w:tc>
          <w:tcPr/>
          <w:p>
            <w:pPr>
              <w:pStyle w:val="Compact"/>
              <w:jc w:val="right"/>
            </w:pPr>
            <w:r>
              <w:t xml:space="preserve">0.29</w:t>
            </w:r>
          </w:p>
        </w:tc>
        <w:tc>
          <w:tcPr/>
          <w:p>
            <w:pPr>
              <w:pStyle w:val="Compact"/>
              <w:jc w:val="left"/>
            </w:pPr>
            <w:r>
              <w:t xml:space="preserve">Wald (normal) interval for a binomial proportion</w:t>
            </w:r>
          </w:p>
        </w:tc>
      </w:tr>
      <w:tr>
        <w:tc>
          <w:tcPr/>
          <w:p>
            <w:pPr>
              <w:pStyle w:val="Compact"/>
              <w:jc w:val="left"/>
            </w:pPr>
            <w:r>
              <w:t xml:space="preserve">India Jun-Sep deficient years</w:t>
            </w:r>
          </w:p>
        </w:tc>
        <w:tc>
          <w:tcPr/>
          <w:p>
            <w:pPr>
              <w:pStyle w:val="Compact"/>
              <w:jc w:val="left"/>
            </w:pPr>
            <w:r>
              <w:t xml:space="preserve">proportion deficient (&lt;90% of series mean)</w:t>
            </w:r>
          </w:p>
        </w:tc>
        <w:tc>
          <w:tcPr/>
          <w:p>
            <w:pPr>
              <w:pStyle w:val="Compact"/>
              <w:jc w:val="right"/>
            </w:pPr>
            <w:r>
              <w:t xml:space="preserve">0.99</w:t>
            </w:r>
          </w:p>
        </w:tc>
        <w:tc>
          <w:tcPr/>
          <w:p>
            <w:pPr>
              <w:pStyle w:val="Compact"/>
              <w:jc w:val="right"/>
            </w:pPr>
            <w:r>
              <w:t xml:space="preserve">115</w:t>
            </w:r>
          </w:p>
        </w:tc>
        <w:tc>
          <w:tcPr/>
          <w:p>
            <w:pPr>
              <w:pStyle w:val="Compact"/>
              <w:jc w:val="right"/>
            </w:pPr>
            <w:r>
              <w:t xml:space="preserve">0.22</w:t>
            </w:r>
          </w:p>
        </w:tc>
        <w:tc>
          <w:tcPr/>
          <w:p>
            <w:pPr>
              <w:pStyle w:val="Compact"/>
              <w:jc w:val="right"/>
            </w:pPr>
            <w:r>
              <w:t xml:space="preserve">0.038</w:t>
            </w:r>
          </w:p>
        </w:tc>
        <w:tc>
          <w:tcPr/>
          <w:p>
            <w:pPr>
              <w:pStyle w:val="Compact"/>
              <w:jc w:val="right"/>
            </w:pPr>
            <w:r>
              <w:t xml:space="preserve">0.12</w:t>
            </w:r>
          </w:p>
        </w:tc>
        <w:tc>
          <w:tcPr/>
          <w:p>
            <w:pPr>
              <w:pStyle w:val="Compact"/>
              <w:jc w:val="right"/>
            </w:pPr>
            <w:r>
              <w:t xml:space="preserve">0.32</w:t>
            </w:r>
          </w:p>
        </w:tc>
        <w:tc>
          <w:tcPr/>
          <w:p>
            <w:pPr>
              <w:pStyle w:val="Compact"/>
              <w:jc w:val="left"/>
            </w:pPr>
            <w:r>
              <w:t xml:space="preserve">Wald (normal) interval for a binomial proportion</w:t>
            </w:r>
          </w:p>
        </w:tc>
      </w:tr>
    </w:tbl>
    <w:p>
      <w:pPr>
        <w:pStyle w:val="CaptionedFigure"/>
      </w:pPr>
      <w:r>
        <w:drawing>
          <wp:inline>
            <wp:extent cx="4907280" cy="3271520"/>
            <wp:effectExtent b="0" l="0" r="0" t="0"/>
            <wp:docPr descr="Figure 10. t intervals for the all-India mean annual rainfall at 90%, 95% and 99% confidence. Higher confidence produces a wider interval." title="" id="54" name="Picture"/>
            <a:graphic>
              <a:graphicData uri="http://schemas.openxmlformats.org/drawingml/2006/picture">
                <pic:pic>
                  <pic:nvPicPr>
                    <pic:cNvPr descr="../graphs/confidence_intervals_mean_compare.png" id="55" name="Picture"/>
                    <pic:cNvPicPr>
                      <a:picLocks noChangeArrowheads="1" noChangeAspect="1"/>
                    </pic:cNvPicPr>
                  </pic:nvPicPr>
                  <pic:blipFill>
                    <a:blip r:embed="rId53"/>
                    <a:stretch>
                      <a:fillRect/>
                    </a:stretch>
                  </pic:blipFill>
                  <pic:spPr bwMode="auto">
                    <a:xfrm>
                      <a:off x="0" y="0"/>
                      <a:ext cx="4907280" cy="3271520"/>
                    </a:xfrm>
                    <a:prstGeom prst="rect">
                      <a:avLst/>
                    </a:prstGeom>
                    <a:noFill/>
                    <a:ln w="9525">
                      <a:noFill/>
                      <a:headEnd/>
                      <a:tailEnd/>
                    </a:ln>
                  </pic:spPr>
                </pic:pic>
              </a:graphicData>
            </a:graphic>
          </wp:inline>
        </w:drawing>
      </w:r>
    </w:p>
    <w:p>
      <w:pPr>
        <w:pStyle w:val="ImageCaption"/>
      </w:pPr>
      <w:r>
        <w:t xml:space="preserve">Figure 10. t intervals for the all-India mean annual rainfall at 90%, 95% and 99% confidence. Higher confidence produces a wider interval.</w:t>
      </w:r>
    </w:p>
    <w:p>
      <w:pPr>
        <w:pStyle w:val="BodyText"/>
      </w:pPr>
      <w:r>
        <w:t xml:space="preserve">The 90%, 95% and 99% intervals for the annual mean are [1164.92, 1199.15], [1161.59, 1202.48] and [1155.00, 1209.07] mm. The 95% interval for mean June–September rainfall is 873.79 to 906.73 mm.</w:t>
      </w:r>
    </w:p>
    <w:p>
      <w:pPr>
        <w:pStyle w:val="BodyText"/>
      </w:pPr>
      <w:r>
        <w:t xml:space="preserve">The Wald 95% interval for the proportion of deficient monsoon years is 0.142 to 0.293, around</w:t>
      </w:r>
      <w:r>
        <w:t xml:space="preserve"> </w:t>
      </w:r>
      <m:oMath>
        <m:acc>
          <m:accPr>
            <m:chr m:val="̂"/>
          </m:accPr>
          <m:e>
            <m:r>
              <m:t>p</m:t>
            </m:r>
          </m:e>
        </m:acc>
        <m:r>
          <m:rPr>
            <m:sty m:val="p"/>
          </m:rPr>
          <m:t>=</m:t>
        </m:r>
      </m:oMath>
      <w:r>
        <w:t xml:space="preserve"> </w:t>
      </w:r>
      <w:r>
        <w:t xml:space="preserve">0.217. Years are not independent Bernoulli trials; the interval is a teaching calculation with that caveat.</w:t>
      </w:r>
    </w:p>
    <w:bookmarkEnd w:id="56"/>
    <w:bookmarkStart w:id="62" w:name="hypothesis-testing"/>
    <w:p>
      <w:pPr>
        <w:pStyle w:val="Heading1"/>
      </w:pPr>
      <w:r>
        <w:t xml:space="preserve">Hypothesis testing</w:t>
      </w:r>
    </w:p>
    <w:p>
      <w:pPr>
        <w:pStyle w:val="FirstParagraph"/>
      </w:pPr>
      <w:r>
        <w:t xml:space="preserve">All tests use</w:t>
      </w:r>
      <w:r>
        <w:t xml:space="preserve"> </w:t>
      </w:r>
      <m:oMath>
        <m:r>
          <m:t>α</m:t>
        </m:r>
        <m:r>
          <m:rPr>
            <m:sty m:val="p"/>
          </m:rPr>
          <m:t>=</m:t>
        </m:r>
        <m:r>
          <m:t>0.05</m:t>
        </m:r>
      </m:oMath>
      <w:r>
        <w:t xml:space="preserve">. Failure to reject</w:t>
      </w:r>
      <w:r>
        <w:t xml:space="preserve"> </w:t>
      </w:r>
      <m:oMath>
        <m:sSub>
          <m:e>
            <m:r>
              <m:t>H</m:t>
            </m:r>
          </m:e>
          <m:sub>
            <m:r>
              <m:t>0</m:t>
            </m:r>
          </m:sub>
        </m:sSub>
      </m:oMath>
      <w:r>
        <w:t xml:space="preserve"> </w:t>
      </w:r>
      <w:r>
        <w:t xml:space="preserve">does</w:t>
      </w:r>
      <w:r>
        <w:t xml:space="preserve"> </w:t>
      </w:r>
      <w:r>
        <w:rPr>
          <w:b/>
          <w:bCs/>
        </w:rPr>
        <w:t xml:space="preserve">not</w:t>
      </w:r>
      <w:r>
        <w:t xml:space="preserve"> </w:t>
      </w:r>
      <w:r>
        <w:t xml:space="preserve">prove</w:t>
      </w:r>
      <w:r>
        <w:t xml:space="preserve"> </w:t>
      </w:r>
      <m:oMath>
        <m:sSub>
          <m:e>
            <m:r>
              <m:t>H</m:t>
            </m:r>
          </m:e>
          <m:sub>
            <m:r>
              <m:t>0</m:t>
            </m:r>
          </m:sub>
        </m:sSub>
      </m:oMath>
      <w:r>
        <w:t xml:space="preserve">.</w:t>
      </w:r>
      <w:r>
        <w:t xml:space="preserve"> </w:t>
      </w:r>
      <m:oMath>
        <m:r>
          <m:t>P</m:t>
        </m:r>
      </m:oMath>
      <w:r>
        <w:t xml:space="preserve">-values are not posterior probabilities of hypotheses.</w:t>
      </w:r>
    </w:p>
    <w:p>
      <w:pPr>
        <w:pStyle w:val="TableCaption"/>
      </w:pPr>
      <w:r>
        <w:t xml:space="preserve">Table 8. Hypothesis tests at alpha = 0.05. Full write-ups follow.</w:t>
      </w:r>
    </w:p>
    <w:tbl>
      <w:tblPr>
        <w:tblStyle w:val="Table"/>
        <w:tblW w:type="pct" w:w="5000"/>
        <w:tblLayout w:type="fixed"/>
        <w:tblLook w:firstRow="1" w:lastRow="0" w:firstColumn="0" w:lastColumn="0" w:noHBand="0" w:noVBand="0" w:val="0020"/>
        <w:tblCaption w:val="Table 8. Hypothesis tests at alpha = 0.05. Full write-ups follow."/>
      </w:tblPr>
      <w:tblGrid>
        <w:gridCol w:w="357"/>
        <w:gridCol w:w="1521"/>
        <w:gridCol w:w="2729"/>
        <w:gridCol w:w="357"/>
        <w:gridCol w:w="447"/>
        <w:gridCol w:w="402"/>
        <w:gridCol w:w="402"/>
        <w:gridCol w:w="939"/>
        <w:gridCol w:w="760"/>
      </w:tblGrid>
      <w:tr>
        <w:trPr>
          <w:tblHeader w:val="on"/>
        </w:trPr>
        <w:tc>
          <w:tcPr/>
          <w:p>
            <w:pPr>
              <w:pStyle w:val="Compact"/>
              <w:jc w:val="right"/>
            </w:pPr>
            <w:r>
              <w:t xml:space="preserve">test_id</w:t>
            </w:r>
          </w:p>
        </w:tc>
        <w:tc>
          <w:tcPr/>
          <w:p>
            <w:pPr>
              <w:pStyle w:val="Compact"/>
              <w:jc w:val="left"/>
            </w:pPr>
            <w:r>
              <w:t xml:space="preserve">procedure</w:t>
            </w:r>
          </w:p>
        </w:tc>
        <w:tc>
          <w:tcPr/>
          <w:p>
            <w:pPr>
              <w:pStyle w:val="Compact"/>
              <w:jc w:val="left"/>
            </w:pPr>
            <w:r>
              <w:t xml:space="preserve">H0</w:t>
            </w:r>
          </w:p>
        </w:tc>
        <w:tc>
          <w:tcPr/>
          <w:p>
            <w:pPr>
              <w:pStyle w:val="Compact"/>
              <w:jc w:val="left"/>
            </w:pPr>
            <w:r>
              <w:t xml:space="preserve">n</w:t>
            </w:r>
          </w:p>
        </w:tc>
        <w:tc>
          <w:tcPr/>
          <w:p>
            <w:pPr>
              <w:pStyle w:val="Compact"/>
              <w:jc w:val="right"/>
            </w:pPr>
            <w:r>
              <w:t xml:space="preserve">statistic</w:t>
            </w:r>
          </w:p>
        </w:tc>
        <w:tc>
          <w:tcPr/>
          <w:p>
            <w:pPr>
              <w:pStyle w:val="Compact"/>
              <w:jc w:val="right"/>
            </w:pPr>
            <w:r>
              <w:t xml:space="preserve">df</w:t>
            </w:r>
          </w:p>
        </w:tc>
        <w:tc>
          <w:tcPr/>
          <w:p>
            <w:pPr>
              <w:pStyle w:val="Compact"/>
              <w:jc w:val="left"/>
            </w:pPr>
            <w:r>
              <w:t xml:space="preserve">p_value</w:t>
            </w:r>
          </w:p>
        </w:tc>
        <w:tc>
          <w:tcPr/>
          <w:p>
            <w:pPr>
              <w:pStyle w:val="Compact"/>
              <w:jc w:val="left"/>
            </w:pPr>
            <w:r>
              <w:t xml:space="preserve">ci_95</w:t>
            </w:r>
          </w:p>
        </w:tc>
        <w:tc>
          <w:tcPr/>
          <w:p>
            <w:pPr>
              <w:pStyle w:val="Compact"/>
              <w:jc w:val="left"/>
            </w:pPr>
            <w:r>
              <w:t xml:space="preserve">decision</w:t>
            </w:r>
          </w:p>
        </w:tc>
      </w:tr>
      <w:tr>
        <w:tc>
          <w:tcPr/>
          <w:p>
            <w:pPr>
              <w:pStyle w:val="Compact"/>
              <w:jc w:val="right"/>
            </w:pPr>
            <w:r>
              <w:t xml:space="preserve">1</w:t>
            </w:r>
          </w:p>
        </w:tc>
        <w:tc>
          <w:tcPr/>
          <w:p>
            <w:pPr>
              <w:pStyle w:val="Compact"/>
              <w:jc w:val="left"/>
            </w:pPr>
            <w:r>
              <w:t xml:space="preserve">One-sample t-test</w:t>
            </w:r>
          </w:p>
        </w:tc>
        <w:tc>
          <w:tcPr/>
          <w:p>
            <w:pPr>
              <w:pStyle w:val="Compact"/>
              <w:jc w:val="left"/>
            </w:pPr>
            <w:r>
              <w:t xml:space="preserve">mu = 1180 mm</w:t>
            </w:r>
          </w:p>
        </w:tc>
        <w:tc>
          <w:tcPr/>
          <w:p>
            <w:pPr>
              <w:pStyle w:val="Compact"/>
              <w:jc w:val="left"/>
            </w:pPr>
            <w:r>
              <w:t xml:space="preserve">115</w:t>
            </w:r>
          </w:p>
        </w:tc>
        <w:tc>
          <w:tcPr/>
          <w:p>
            <w:pPr>
              <w:pStyle w:val="Compact"/>
              <w:jc w:val="right"/>
            </w:pPr>
            <w:r>
              <w:t xml:space="preserve">0.197</w:t>
            </w:r>
          </w:p>
        </w:tc>
        <w:tc>
          <w:tcPr/>
          <w:p>
            <w:pPr>
              <w:pStyle w:val="Compact"/>
              <w:jc w:val="right"/>
            </w:pPr>
            <w:r>
              <w:t xml:space="preserve">114.0000</w:t>
            </w:r>
          </w:p>
        </w:tc>
        <w:tc>
          <w:tcPr/>
          <w:p>
            <w:pPr>
              <w:pStyle w:val="Compact"/>
              <w:jc w:val="left"/>
            </w:pPr>
            <w:r>
              <w:t xml:space="preserve">0.8441</w:t>
            </w:r>
          </w:p>
        </w:tc>
        <w:tc>
          <w:tcPr/>
          <w:p>
            <w:pPr>
              <w:pStyle w:val="Compact"/>
              <w:jc w:val="left"/>
            </w:pPr>
            <w:r>
              <w:t xml:space="preserve">[1161.588, 1202.482]</w:t>
            </w:r>
          </w:p>
        </w:tc>
        <w:tc>
          <w:tcPr/>
          <w:p>
            <w:pPr>
              <w:pStyle w:val="Compact"/>
              <w:jc w:val="left"/>
            </w:pPr>
            <w:r>
              <w:t xml:space="preserve">Do not reject H0</w:t>
            </w:r>
          </w:p>
        </w:tc>
      </w:tr>
      <w:tr>
        <w:tc>
          <w:tcPr/>
          <w:p>
            <w:pPr>
              <w:pStyle w:val="Compact"/>
              <w:jc w:val="right"/>
            </w:pPr>
            <w:r>
              <w:t xml:space="preserve">2</w:t>
            </w:r>
          </w:p>
        </w:tc>
        <w:tc>
          <w:tcPr/>
          <w:p>
            <w:pPr>
              <w:pStyle w:val="Compact"/>
              <w:jc w:val="left"/>
            </w:pPr>
            <w:r>
              <w:t xml:space="preserve">Wilcoxon signed-rank (one-sample)</w:t>
            </w:r>
          </w:p>
        </w:tc>
        <w:tc>
          <w:tcPr/>
          <w:p>
            <w:pPr>
              <w:pStyle w:val="Compact"/>
              <w:jc w:val="left"/>
            </w:pPr>
            <w:r>
              <w:t xml:space="preserve">median = 1180 mm</w:t>
            </w:r>
          </w:p>
        </w:tc>
        <w:tc>
          <w:tcPr/>
          <w:p>
            <w:pPr>
              <w:pStyle w:val="Compact"/>
              <w:jc w:val="left"/>
            </w:pPr>
            <w:r>
              <w:t xml:space="preserve">115</w:t>
            </w:r>
          </w:p>
        </w:tc>
        <w:tc>
          <w:tcPr/>
          <w:p>
            <w:pPr>
              <w:pStyle w:val="Compact"/>
              <w:jc w:val="right"/>
            </w:pPr>
            <w:r>
              <w:t xml:space="preserve">3420.000</w:t>
            </w:r>
          </w:p>
        </w:tc>
        <w:tc>
          <w:tcPr/>
          <w:p>
            <w:pPr>
              <w:pStyle w:val="Compact"/>
              <w:jc w:val="right"/>
            </w:pPr>
            <w:r>
              <w:t xml:space="preserve">NA</w:t>
            </w:r>
          </w:p>
        </w:tc>
        <w:tc>
          <w:tcPr/>
          <w:p>
            <w:pPr>
              <w:pStyle w:val="Compact"/>
              <w:jc w:val="left"/>
            </w:pPr>
            <w:r>
              <w:t xml:space="preserve">0.8136</w:t>
            </w:r>
          </w:p>
        </w:tc>
        <w:tc>
          <w:tcPr/>
          <w:p>
            <w:pPr>
              <w:pStyle w:val="Compact"/>
              <w:jc w:val="left"/>
            </w:pPr>
            <w:r>
              <w:t xml:space="preserve">[1160.850, 1204.150]</w:t>
            </w:r>
          </w:p>
        </w:tc>
        <w:tc>
          <w:tcPr/>
          <w:p>
            <w:pPr>
              <w:pStyle w:val="Compact"/>
              <w:jc w:val="left"/>
            </w:pPr>
            <w:r>
              <w:t xml:space="preserve">Do not reject H0</w:t>
            </w:r>
          </w:p>
        </w:tc>
      </w:tr>
      <w:tr>
        <w:tc>
          <w:tcPr/>
          <w:p>
            <w:pPr>
              <w:pStyle w:val="Compact"/>
              <w:jc w:val="right"/>
            </w:pPr>
            <w:r>
              <w:t xml:space="preserve">3</w:t>
            </w:r>
          </w:p>
        </w:tc>
        <w:tc>
          <w:tcPr/>
          <w:p>
            <w:pPr>
              <w:pStyle w:val="Compact"/>
              <w:jc w:val="left"/>
            </w:pPr>
            <w:r>
              <w:t xml:space="preserve">Welch two-sample t-test</w:t>
            </w:r>
          </w:p>
        </w:tc>
        <w:tc>
          <w:tcPr/>
          <w:p>
            <w:pPr>
              <w:pStyle w:val="Compact"/>
              <w:jc w:val="left"/>
            </w:pPr>
            <w:r>
              <w:t xml:space="preserve">mu_Kerala = mu_WestRajasthan</w:t>
            </w:r>
          </w:p>
        </w:tc>
        <w:tc>
          <w:tcPr/>
          <w:p>
            <w:pPr>
              <w:pStyle w:val="Compact"/>
              <w:jc w:val="left"/>
            </w:pPr>
            <w:r>
              <w:t xml:space="preserve">115+115</w:t>
            </w:r>
          </w:p>
        </w:tc>
        <w:tc>
          <w:tcPr/>
          <w:p>
            <w:pPr>
              <w:pStyle w:val="Compact"/>
              <w:jc w:val="right"/>
            </w:pPr>
            <w:r>
              <w:t xml:space="preserve">64.768</w:t>
            </w:r>
          </w:p>
        </w:tc>
        <w:tc>
          <w:tcPr/>
          <w:p>
            <w:pPr>
              <w:pStyle w:val="Compact"/>
              <w:jc w:val="right"/>
            </w:pPr>
            <w:r>
              <w:t xml:space="preserve">129.0925</w:t>
            </w:r>
          </w:p>
        </w:tc>
        <w:tc>
          <w:tcPr/>
          <w:p>
            <w:pPr>
              <w:pStyle w:val="Compact"/>
              <w:jc w:val="left"/>
            </w:pPr>
            <w:r>
              <w:t xml:space="preserve">&lt; 0.0001</w:t>
            </w:r>
          </w:p>
        </w:tc>
        <w:tc>
          <w:tcPr/>
          <w:p>
            <w:pPr>
              <w:pStyle w:val="Compact"/>
              <w:jc w:val="left"/>
            </w:pPr>
            <w:r>
              <w:t xml:space="preserve">[2552.389, 2713.241]</w:t>
            </w:r>
          </w:p>
        </w:tc>
        <w:tc>
          <w:tcPr/>
          <w:p>
            <w:pPr>
              <w:pStyle w:val="Compact"/>
              <w:jc w:val="left"/>
            </w:pPr>
            <w:r>
              <w:t xml:space="preserve">Reject H0</w:t>
            </w:r>
          </w:p>
        </w:tc>
      </w:tr>
      <w:tr>
        <w:tc>
          <w:tcPr/>
          <w:p>
            <w:pPr>
              <w:pStyle w:val="Compact"/>
              <w:jc w:val="right"/>
            </w:pPr>
            <w:r>
              <w:t xml:space="preserve">4</w:t>
            </w:r>
          </w:p>
        </w:tc>
        <w:tc>
          <w:tcPr/>
          <w:p>
            <w:pPr>
              <w:pStyle w:val="Compact"/>
              <w:jc w:val="left"/>
            </w:pPr>
            <w:r>
              <w:t xml:space="preserve">Wilcoxon rank-sum</w:t>
            </w:r>
          </w:p>
        </w:tc>
        <w:tc>
          <w:tcPr/>
          <w:p>
            <w:pPr>
              <w:pStyle w:val="Compact"/>
              <w:jc w:val="left"/>
            </w:pPr>
            <w:r>
              <w:t xml:space="preserve">P(Kerala &gt; Rajasthan) = 0.5 (equal distributions on a shift)</w:t>
            </w:r>
          </w:p>
        </w:tc>
        <w:tc>
          <w:tcPr/>
          <w:p>
            <w:pPr>
              <w:pStyle w:val="Compact"/>
              <w:jc w:val="left"/>
            </w:pPr>
            <w:r>
              <w:t xml:space="preserve">115+115</w:t>
            </w:r>
          </w:p>
        </w:tc>
        <w:tc>
          <w:tcPr/>
          <w:p>
            <w:pPr>
              <w:pStyle w:val="Compact"/>
              <w:jc w:val="right"/>
            </w:pPr>
            <w:r>
              <w:t xml:space="preserve">13225.000</w:t>
            </w:r>
          </w:p>
        </w:tc>
        <w:tc>
          <w:tcPr/>
          <w:p>
            <w:pPr>
              <w:pStyle w:val="Compact"/>
              <w:jc w:val="right"/>
            </w:pPr>
            <w:r>
              <w:t xml:space="preserve">NA</w:t>
            </w:r>
          </w:p>
        </w:tc>
        <w:tc>
          <w:tcPr/>
          <w:p>
            <w:pPr>
              <w:pStyle w:val="Compact"/>
              <w:jc w:val="left"/>
            </w:pPr>
            <w:r>
              <w:t xml:space="preserve">&lt; 0.0001</w:t>
            </w:r>
          </w:p>
        </w:tc>
        <w:tc>
          <w:tcPr/>
          <w:p>
            <w:pPr>
              <w:pStyle w:val="Compact"/>
              <w:jc w:val="left"/>
            </w:pPr>
            <w:r>
              <w:t xml:space="preserve">see output file</w:t>
            </w:r>
          </w:p>
        </w:tc>
        <w:tc>
          <w:tcPr/>
          <w:p>
            <w:pPr>
              <w:pStyle w:val="Compact"/>
              <w:jc w:val="left"/>
            </w:pPr>
            <w:r>
              <w:t xml:space="preserve">Reject H0</w:t>
            </w:r>
          </w:p>
        </w:tc>
      </w:tr>
      <w:tr>
        <w:tc>
          <w:tcPr/>
          <w:p>
            <w:pPr>
              <w:pStyle w:val="Compact"/>
              <w:jc w:val="right"/>
            </w:pPr>
            <w:r>
              <w:t xml:space="preserve">5</w:t>
            </w:r>
          </w:p>
        </w:tc>
        <w:tc>
          <w:tcPr/>
          <w:p>
            <w:pPr>
              <w:pStyle w:val="Compact"/>
              <w:jc w:val="left"/>
            </w:pPr>
            <w:r>
              <w:t xml:space="preserve">Paired t-test</w:t>
            </w:r>
          </w:p>
        </w:tc>
        <w:tc>
          <w:tcPr/>
          <w:p>
            <w:pPr>
              <w:pStyle w:val="Compact"/>
              <w:jc w:val="left"/>
            </w:pPr>
            <w:r>
              <w:t xml:space="preserve">mu_(JJAS - OND) = 0</w:t>
            </w:r>
          </w:p>
        </w:tc>
        <w:tc>
          <w:tcPr/>
          <w:p>
            <w:pPr>
              <w:pStyle w:val="Compact"/>
              <w:jc w:val="left"/>
            </w:pPr>
            <w:r>
              <w:t xml:space="preserve">115</w:t>
            </w:r>
          </w:p>
        </w:tc>
        <w:tc>
          <w:tcPr/>
          <w:p>
            <w:pPr>
              <w:pStyle w:val="Compact"/>
              <w:jc w:val="right"/>
            </w:pPr>
            <w:r>
              <w:t xml:space="preserve">96.377</w:t>
            </w:r>
          </w:p>
        </w:tc>
        <w:tc>
          <w:tcPr/>
          <w:p>
            <w:pPr>
              <w:pStyle w:val="Compact"/>
              <w:jc w:val="right"/>
            </w:pPr>
            <w:r>
              <w:t xml:space="preserve">114.0000</w:t>
            </w:r>
          </w:p>
        </w:tc>
        <w:tc>
          <w:tcPr/>
          <w:p>
            <w:pPr>
              <w:pStyle w:val="Compact"/>
              <w:jc w:val="left"/>
            </w:pPr>
            <w:r>
              <w:t xml:space="preserve">&lt; 0.0001</w:t>
            </w:r>
          </w:p>
        </w:tc>
        <w:tc>
          <w:tcPr/>
          <w:p>
            <w:pPr>
              <w:pStyle w:val="Compact"/>
              <w:jc w:val="left"/>
            </w:pPr>
            <w:r>
              <w:t xml:space="preserve">[754.543, 786.213]</w:t>
            </w:r>
          </w:p>
        </w:tc>
        <w:tc>
          <w:tcPr/>
          <w:p>
            <w:pPr>
              <w:pStyle w:val="Compact"/>
              <w:jc w:val="left"/>
            </w:pPr>
            <w:r>
              <w:t xml:space="preserve">Reject H0</w:t>
            </w:r>
          </w:p>
        </w:tc>
      </w:tr>
      <w:tr>
        <w:tc>
          <w:tcPr/>
          <w:p>
            <w:pPr>
              <w:pStyle w:val="Compact"/>
              <w:jc w:val="right"/>
            </w:pPr>
            <w:r>
              <w:t xml:space="preserve">6</w:t>
            </w:r>
          </w:p>
        </w:tc>
        <w:tc>
          <w:tcPr/>
          <w:p>
            <w:pPr>
              <w:pStyle w:val="Compact"/>
              <w:jc w:val="left"/>
            </w:pPr>
            <w:r>
              <w:t xml:space="preserve">Wilcoxon signed-rank (paired)</w:t>
            </w:r>
          </w:p>
        </w:tc>
        <w:tc>
          <w:tcPr/>
          <w:p>
            <w:pPr>
              <w:pStyle w:val="Compact"/>
              <w:jc w:val="left"/>
            </w:pPr>
            <w:r>
              <w:t xml:space="preserve">median(JJAS - OND) = 0</w:t>
            </w:r>
          </w:p>
        </w:tc>
        <w:tc>
          <w:tcPr/>
          <w:p>
            <w:pPr>
              <w:pStyle w:val="Compact"/>
              <w:jc w:val="left"/>
            </w:pPr>
            <w:r>
              <w:t xml:space="preserve">115</w:t>
            </w:r>
          </w:p>
        </w:tc>
        <w:tc>
          <w:tcPr/>
          <w:p>
            <w:pPr>
              <w:pStyle w:val="Compact"/>
              <w:jc w:val="right"/>
            </w:pPr>
            <w:r>
              <w:t xml:space="preserve">6670.000</w:t>
            </w:r>
          </w:p>
        </w:tc>
        <w:tc>
          <w:tcPr/>
          <w:p>
            <w:pPr>
              <w:pStyle w:val="Compact"/>
              <w:jc w:val="right"/>
            </w:pPr>
            <w:r>
              <w:t xml:space="preserve">NA</w:t>
            </w:r>
          </w:p>
        </w:tc>
        <w:tc>
          <w:tcPr/>
          <w:p>
            <w:pPr>
              <w:pStyle w:val="Compact"/>
              <w:jc w:val="left"/>
            </w:pPr>
            <w:r>
              <w:t xml:space="preserve">&lt; 0.0001</w:t>
            </w:r>
          </w:p>
        </w:tc>
        <w:tc>
          <w:tcPr/>
          <w:p>
            <w:pPr>
              <w:pStyle w:val="Compact"/>
              <w:jc w:val="left"/>
            </w:pPr>
            <w:r>
              <w:t xml:space="preserve">[755.000, 789.250]</w:t>
            </w:r>
          </w:p>
        </w:tc>
        <w:tc>
          <w:tcPr/>
          <w:p>
            <w:pPr>
              <w:pStyle w:val="Compact"/>
              <w:jc w:val="left"/>
            </w:pPr>
            <w:r>
              <w:t xml:space="preserve">Reject H0</w:t>
            </w:r>
          </w:p>
        </w:tc>
      </w:tr>
      <w:tr>
        <w:tc>
          <w:tcPr/>
          <w:p>
            <w:pPr>
              <w:pStyle w:val="Compact"/>
              <w:jc w:val="right"/>
            </w:pPr>
            <w:r>
              <w:t xml:space="preserve">7</w:t>
            </w:r>
          </w:p>
        </w:tc>
        <w:tc>
          <w:tcPr/>
          <w:p>
            <w:pPr>
              <w:pStyle w:val="Compact"/>
              <w:jc w:val="left"/>
            </w:pPr>
            <w:r>
              <w:t xml:space="preserve">Chi-square goodness-of-fit</w:t>
            </w:r>
          </w:p>
        </w:tc>
        <w:tc>
          <w:tcPr/>
          <w:p>
            <w:pPr>
              <w:pStyle w:val="Compact"/>
              <w:jc w:val="left"/>
            </w:pPr>
            <w:r>
              <w:t xml:space="preserve">p_JF = p_MAM = p_JJAS = p_OND = 1/4</w:t>
            </w:r>
          </w:p>
        </w:tc>
        <w:tc>
          <w:tcPr/>
          <w:p>
            <w:pPr>
              <w:pStyle w:val="Compact"/>
              <w:jc w:val="left"/>
            </w:pPr>
            <w:r>
              <w:t xml:space="preserve">115</w:t>
            </w:r>
          </w:p>
        </w:tc>
        <w:tc>
          <w:tcPr/>
          <w:p>
            <w:pPr>
              <w:pStyle w:val="Compact"/>
              <w:jc w:val="right"/>
            </w:pPr>
            <w:r>
              <w:t xml:space="preserve">345.000</w:t>
            </w:r>
          </w:p>
        </w:tc>
        <w:tc>
          <w:tcPr/>
          <w:p>
            <w:pPr>
              <w:pStyle w:val="Compact"/>
              <w:jc w:val="right"/>
            </w:pPr>
            <w:r>
              <w:t xml:space="preserve">3.0000</w:t>
            </w:r>
          </w:p>
        </w:tc>
        <w:tc>
          <w:tcPr/>
          <w:p>
            <w:pPr>
              <w:pStyle w:val="Compact"/>
              <w:jc w:val="left"/>
            </w:pPr>
            <w:r>
              <w:t xml:space="preserve">&lt; 0.0001</w:t>
            </w:r>
          </w:p>
        </w:tc>
        <w:tc>
          <w:tcPr/>
          <w:p>
            <w:pPr>
              <w:pStyle w:val="Compact"/>
              <w:jc w:val="left"/>
            </w:pPr>
            <w:r>
              <w:t xml:space="preserve">NA</w:t>
            </w:r>
          </w:p>
        </w:tc>
        <w:tc>
          <w:tcPr/>
          <w:p>
            <w:pPr>
              <w:pStyle w:val="Compact"/>
              <w:jc w:val="left"/>
            </w:pPr>
            <w:r>
              <w:t xml:space="preserve">Reject H0</w:t>
            </w:r>
          </w:p>
        </w:tc>
      </w:tr>
      <w:tr>
        <w:tc>
          <w:tcPr/>
          <w:p>
            <w:pPr>
              <w:pStyle w:val="Compact"/>
              <w:jc w:val="right"/>
            </w:pPr>
            <w:r>
              <w:t xml:space="preserve">8</w:t>
            </w:r>
          </w:p>
        </w:tc>
        <w:tc>
          <w:tcPr/>
          <w:p>
            <w:pPr>
              <w:pStyle w:val="Compact"/>
              <w:jc w:val="left"/>
            </w:pPr>
            <w:r>
              <w:t xml:space="preserve">Chi-square test of independence</w:t>
            </w:r>
          </w:p>
        </w:tc>
        <w:tc>
          <w:tcPr/>
          <w:p>
            <w:pPr>
              <w:pStyle w:val="Compact"/>
              <w:jc w:val="left"/>
            </w:pPr>
            <w:r>
              <w:t xml:space="preserve">period and monsoon category are independent</w:t>
            </w:r>
          </w:p>
        </w:tc>
        <w:tc>
          <w:tcPr/>
          <w:p>
            <w:pPr>
              <w:pStyle w:val="Compact"/>
              <w:jc w:val="left"/>
            </w:pPr>
            <w:r>
              <w:t xml:space="preserve">115</w:t>
            </w:r>
          </w:p>
        </w:tc>
        <w:tc>
          <w:tcPr/>
          <w:p>
            <w:pPr>
              <w:pStyle w:val="Compact"/>
              <w:jc w:val="right"/>
            </w:pPr>
            <w:r>
              <w:t xml:space="preserve">0.335</w:t>
            </w:r>
          </w:p>
        </w:tc>
        <w:tc>
          <w:tcPr/>
          <w:p>
            <w:pPr>
              <w:pStyle w:val="Compact"/>
              <w:jc w:val="right"/>
            </w:pPr>
            <w:r>
              <w:t xml:space="preserve">2.0000</w:t>
            </w:r>
          </w:p>
        </w:tc>
        <w:tc>
          <w:tcPr/>
          <w:p>
            <w:pPr>
              <w:pStyle w:val="Compact"/>
              <w:jc w:val="left"/>
            </w:pPr>
            <w:r>
              <w:t xml:space="preserve">0.8456</w:t>
            </w:r>
          </w:p>
        </w:tc>
        <w:tc>
          <w:tcPr/>
          <w:p>
            <w:pPr>
              <w:pStyle w:val="Compact"/>
              <w:jc w:val="left"/>
            </w:pPr>
            <w:r>
              <w:t xml:space="preserve">NA</w:t>
            </w:r>
          </w:p>
        </w:tc>
        <w:tc>
          <w:tcPr/>
          <w:p>
            <w:pPr>
              <w:pStyle w:val="Compact"/>
              <w:jc w:val="left"/>
            </w:pPr>
            <w:r>
              <w:t xml:space="preserve">Do not reject H0</w:t>
            </w:r>
          </w:p>
        </w:tc>
      </w:tr>
    </w:tbl>
    <w:bookmarkStart w:id="57" w:name="Xc69f38ae8fe90a6768a2e9d6179ecf992ca103f"/>
    <w:p>
      <w:pPr>
        <w:pStyle w:val="Heading2"/>
      </w:pPr>
      <w:r>
        <w:t xml:space="preserve">One-sample</w:t>
      </w:r>
      <w:r>
        <w:t xml:space="preserve"> </w:t>
      </w:r>
      <m:oMath>
        <m:r>
          <m:t>t</m:t>
        </m:r>
      </m:oMath>
      <w:r>
        <w:t xml:space="preserve">-test (all-India annual mean versus 1180 mm)</w:t>
      </w:r>
    </w:p>
    <w:p>
      <w:pPr>
        <w:pStyle w:val="FirstParagraph"/>
      </w:pPr>
      <w:r>
        <w:rPr>
          <w:b/>
          <w:bCs/>
        </w:rPr>
        <w:t xml:space="preserve">Question.</w:t>
      </w:r>
      <w:r>
        <w:t xml:space="preserve"> </w:t>
      </w:r>
      <w:r>
        <w:t xml:space="preserve">Is the mean of this area-weighted annual series different from 1180 mm (a round textbook figure of about 118 cm)?</w:t>
      </w:r>
    </w:p>
    <w:p>
      <w:pPr>
        <w:pStyle w:val="BodyText"/>
      </w:pPr>
      <w:r>
        <w:rPr>
          <w:b/>
          <w:bCs/>
        </w:rPr>
        <w:t xml:space="preserve">Hypotheses.</w:t>
      </w:r>
      <w:r>
        <w:t xml:space="preserve"> </w:t>
      </w:r>
      <m:oMath>
        <m:sSub>
          <m:e>
            <m:r>
              <m:t>H</m:t>
            </m:r>
          </m:e>
          <m:sub>
            <m:r>
              <m:t>0</m:t>
            </m:r>
          </m:sub>
        </m:sSub>
        <m:r>
          <m:rPr>
            <m:sty m:val="p"/>
          </m:rPr>
          <m:t>:</m:t>
        </m:r>
        <m:r>
          <m:t>μ</m:t>
        </m:r>
        <m:r>
          <m:rPr>
            <m:sty m:val="p"/>
          </m:rPr>
          <m:t>=</m:t>
        </m:r>
        <m:r>
          <m:t>1180</m:t>
        </m:r>
      </m:oMath>
      <w:r>
        <w:t xml:space="preserve"> </w:t>
      </w:r>
      <w:r>
        <w:t xml:space="preserve">mm versus</w:t>
      </w:r>
      <w:r>
        <w:t xml:space="preserve"> </w:t>
      </w:r>
      <m:oMath>
        <m:sSub>
          <m:e>
            <m:r>
              <m:t>H</m:t>
            </m:r>
          </m:e>
          <m:sub>
            <m:r>
              <m:t>1</m:t>
            </m:r>
          </m:sub>
        </m:sSub>
        <m:r>
          <m:rPr>
            <m:sty m:val="p"/>
          </m:rPr>
          <m:t>:</m:t>
        </m:r>
        <m:r>
          <m:t>μ</m:t>
        </m:r>
        <m:r>
          <m:rPr>
            <m:sty m:val="p"/>
          </m:rPr>
          <m:t>≠</m:t>
        </m:r>
        <m:r>
          <m:t>1180</m:t>
        </m:r>
      </m:oMath>
      <w:r>
        <w:t xml:space="preserve"> </w:t>
      </w:r>
      <w:r>
        <w:t xml:space="preserve">mm.</w:t>
      </w:r>
    </w:p>
    <w:p>
      <w:pPr>
        <w:pStyle w:val="BodyText"/>
      </w:pPr>
      <w:r>
        <w:rPr>
          <w:b/>
          <w:bCs/>
        </w:rPr>
        <w:t xml:space="preserve">Method and assumptions.</w:t>
      </w:r>
      <w:r>
        <w:t xml:space="preserve"> </w:t>
      </w:r>
      <w:r>
        <w:t xml:space="preserve">One-sample</w:t>
      </w:r>
      <w:r>
        <w:t xml:space="preserve"> </w:t>
      </w:r>
      <m:oMath>
        <m:r>
          <m:t>t</m:t>
        </m:r>
      </m:oMath>
      <w:r>
        <w:t xml:space="preserve">,</w:t>
      </w:r>
      <w:r>
        <w:t xml:space="preserve"> </w:t>
      </w:r>
      <m:oMath>
        <m:r>
          <m:t>n</m:t>
        </m:r>
        <m:r>
          <m:rPr>
            <m:sty m:val="p"/>
          </m:rPr>
          <m:t>=</m:t>
        </m:r>
        <m:r>
          <m:t>115</m:t>
        </m:r>
      </m:oMath>
      <w:r>
        <w:t xml:space="preserve">, df</w:t>
      </w:r>
      <w:r>
        <w:t xml:space="preserve"> </w:t>
      </w:r>
      <m:oMath>
        <m:r>
          <m:rPr>
            <m:sty m:val="p"/>
          </m:rPr>
          <m:t>=</m:t>
        </m:r>
        <m:r>
          <m:t>114</m:t>
        </m:r>
      </m:oMath>
      <w:r>
        <w:t xml:space="preserve">. Shapiro–Wilk</w:t>
      </w:r>
      <w:r>
        <w:t xml:space="preserve"> </w:t>
      </w:r>
      <m:oMath>
        <m:r>
          <m:t>W</m:t>
        </m:r>
        <m:r>
          <m:rPr>
            <m:sty m:val="p"/>
          </m:rPr>
          <m:t>=</m:t>
        </m:r>
        <m:r>
          <m:t>0.9926</m:t>
        </m:r>
      </m:oMath>
      <w:r>
        <w:t xml:space="preserve">,</w:t>
      </w:r>
      <w:r>
        <w:t xml:space="preserve"> </w:t>
      </w:r>
      <m:oMath>
        <m:r>
          <m:t>p</m:t>
        </m:r>
        <m:r>
          <m:rPr>
            <m:sty m:val="p"/>
          </m:rPr>
          <m:t>=</m:t>
        </m:r>
        <m:r>
          <m:t>0.8014</m:t>
        </m:r>
      </m:oMath>
      <w:r>
        <w:t xml:space="preserve">. Independence of years is approximate.</w:t>
      </w:r>
    </w:p>
    <w:p>
      <w:pPr>
        <w:pStyle w:val="BodyText"/>
      </w:pPr>
      <w:r>
        <w:rPr>
          <w:b/>
          <w:bCs/>
        </w:rPr>
        <w:t xml:space="preserve">Result.</w:t>
      </w:r>
      <w:r>
        <w:t xml:space="preserve"> </w:t>
      </w:r>
      <m:oMath>
        <m:acc>
          <m:accPr>
            <m:chr m:val="‾"/>
          </m:accPr>
          <m:e>
            <m:r>
              <m:t>x</m:t>
            </m:r>
          </m:e>
        </m:acc>
        <m:r>
          <m:rPr>
            <m:sty m:val="p"/>
          </m:rPr>
          <m:t>=</m:t>
        </m:r>
      </m:oMath>
      <w:r>
        <w:t xml:space="preserve"> </w:t>
      </w:r>
      <w:r>
        <w:t xml:space="preserve">1182.03 mm,</w:t>
      </w:r>
      <w:r>
        <w:t xml:space="preserve"> </w:t>
      </w:r>
      <m:oMath>
        <m:r>
          <m:t>t</m:t>
        </m:r>
        <m:r>
          <m:rPr>
            <m:sty m:val="p"/>
          </m:rPr>
          <m:t>=</m:t>
        </m:r>
      </m:oMath>
      <w:r>
        <w:t xml:space="preserve"> </w:t>
      </w:r>
      <w:r>
        <w:t xml:space="preserve">0.197,</w:t>
      </w:r>
      <w:r>
        <w:t xml:space="preserve"> </w:t>
      </w:r>
      <m:oMath>
        <m:r>
          <m:t>p</m:t>
        </m:r>
        <m:r>
          <m:rPr>
            <m:sty m:val="p"/>
          </m:rPr>
          <m:t>=</m:t>
        </m:r>
      </m:oMath>
      <w:r>
        <w:t xml:space="preserve"> </w:t>
      </w:r>
      <w:r>
        <w:t xml:space="preserve">0.8441, 95% CI [1161.59, 1202.48] mm.</w:t>
      </w:r>
    </w:p>
    <w:p>
      <w:pPr>
        <w:pStyle w:val="BodyText"/>
      </w:pPr>
      <w:r>
        <w:rPr>
          <w:b/>
          <w:bCs/>
        </w:rPr>
        <w:t xml:space="preserve">Decision.</w:t>
      </w:r>
      <w:r>
        <w:t xml:space="preserve"> </w:t>
      </w:r>
      <w:r>
        <w:t xml:space="preserve">Do not reject</w:t>
      </w:r>
      <w:r>
        <w:t xml:space="preserve"> </w:t>
      </w:r>
      <m:oMath>
        <m:sSub>
          <m:e>
            <m:r>
              <m:t>H</m:t>
            </m:r>
          </m:e>
          <m:sub>
            <m:r>
              <m:t>0</m:t>
            </m:r>
          </m:sub>
        </m:sSub>
      </m:oMath>
      <w:r>
        <w:t xml:space="preserve">.</w:t>
      </w:r>
    </w:p>
    <w:p>
      <w:pPr>
        <w:pStyle w:val="BodyText"/>
      </w:pPr>
      <w:r>
        <w:rPr>
          <w:b/>
          <w:bCs/>
        </w:rPr>
        <w:t xml:space="preserve">Interpretation.</w:t>
      </w:r>
      <w:r>
        <w:t xml:space="preserve"> </w:t>
      </w:r>
      <w:r>
        <w:t xml:space="preserve">This historical mean is compatible with 1180 mm. That does not validate every textbook sentence, and it does not say the true generating mean “is” 1180 mm.</w:t>
      </w:r>
    </w:p>
    <w:p>
      <w:pPr>
        <w:pStyle w:val="BodyText"/>
      </w:pPr>
      <w:r>
        <w:t xml:space="preserve">Wilcoxon signed-rank against median 1180 mm:</w:t>
      </w:r>
      <w:r>
        <w:t xml:space="preserve"> </w:t>
      </w:r>
      <m:oMath>
        <m:r>
          <m:t>V</m:t>
        </m:r>
        <m:r>
          <m:rPr>
            <m:sty m:val="p"/>
          </m:rPr>
          <m:t>=</m:t>
        </m:r>
        <m:r>
          <m:t>3420</m:t>
        </m:r>
      </m:oMath>
      <w:r>
        <w:t xml:space="preserve">,</w:t>
      </w:r>
      <w:r>
        <w:t xml:space="preserve"> </w:t>
      </w:r>
      <m:oMath>
        <m:r>
          <m:t>p</m:t>
        </m:r>
        <m:r>
          <m:rPr>
            <m:sty m:val="p"/>
          </m:rPr>
          <m:t>=</m:t>
        </m:r>
      </m:oMath>
      <w:r>
        <w:t xml:space="preserve"> </w:t>
      </w:r>
      <w:r>
        <w:t xml:space="preserve">0.8136; same decision.</w:t>
      </w:r>
    </w:p>
    <w:bookmarkEnd w:id="57"/>
    <w:bookmarkStart w:id="58" w:name="Xe915728277022e3e612fb58eb5a9f873cf0a7cc"/>
    <w:p>
      <w:pPr>
        <w:pStyle w:val="Heading2"/>
      </w:pPr>
      <w:r>
        <w:t xml:space="preserve">Welch two-sample</w:t>
      </w:r>
      <w:r>
        <w:t xml:space="preserve"> </w:t>
      </w:r>
      <m:oMath>
        <m:r>
          <m:t>t</m:t>
        </m:r>
      </m:oMath>
      <w:r>
        <w:t xml:space="preserve">-test (Kerala versus West Rajasthan)</w:t>
      </w:r>
    </w:p>
    <w:p>
      <w:pPr>
        <w:pStyle w:val="FirstParagraph"/>
      </w:pPr>
      <w:r>
        <w:rPr>
          <w:b/>
          <w:bCs/>
        </w:rPr>
        <w:t xml:space="preserve">Question.</w:t>
      </w:r>
      <w:r>
        <w:t xml:space="preserve"> </w:t>
      </w:r>
      <w:r>
        <w:t xml:space="preserve">Do two climatic extremes differ in mean annual rainfall?</w:t>
      </w:r>
    </w:p>
    <w:p>
      <w:pPr>
        <w:pStyle w:val="BodyText"/>
      </w:pPr>
      <w:r>
        <w:rPr>
          <w:b/>
          <w:bCs/>
        </w:rPr>
        <w:t xml:space="preserve">Hypotheses.</w:t>
      </w:r>
      <w:r>
        <w:t xml:space="preserve"> </w:t>
      </w:r>
      <m:oMath>
        <m:sSub>
          <m:e>
            <m:r>
              <m:t>H</m:t>
            </m:r>
          </m:e>
          <m:sub>
            <m:r>
              <m:t>0</m:t>
            </m:r>
          </m:sub>
        </m:sSub>
        <m:r>
          <m:rPr>
            <m:sty m:val="p"/>
          </m:rPr>
          <m:t>:</m:t>
        </m:r>
        <m:sSub>
          <m:e>
            <m:r>
              <m:t>μ</m:t>
            </m:r>
          </m:e>
          <m:sub>
            <m:r>
              <m:t>K</m:t>
            </m:r>
          </m:sub>
        </m:sSub>
        <m:r>
          <m:rPr>
            <m:sty m:val="p"/>
          </m:rPr>
          <m:t>=</m:t>
        </m:r>
        <m:sSub>
          <m:e>
            <m:r>
              <m:t>μ</m:t>
            </m:r>
          </m:e>
          <m:sub>
            <m:r>
              <m:t>R</m:t>
            </m:r>
          </m:sub>
        </m:sSub>
      </m:oMath>
      <w:r>
        <w:t xml:space="preserve"> </w:t>
      </w:r>
      <w:r>
        <w:t xml:space="preserve">versus</w:t>
      </w:r>
      <w:r>
        <w:t xml:space="preserve"> </w:t>
      </w:r>
      <m:oMath>
        <m:sSub>
          <m:e>
            <m:r>
              <m:t>H</m:t>
            </m:r>
          </m:e>
          <m:sub>
            <m:r>
              <m:t>1</m:t>
            </m:r>
          </m:sub>
        </m:sSub>
        <m:r>
          <m:rPr>
            <m:sty m:val="p"/>
          </m:rPr>
          <m:t>:</m:t>
        </m:r>
        <m:sSub>
          <m:e>
            <m:r>
              <m:t>μ</m:t>
            </m:r>
          </m:e>
          <m:sub>
            <m:r>
              <m:t>K</m:t>
            </m:r>
          </m:sub>
        </m:sSub>
        <m:r>
          <m:rPr>
            <m:sty m:val="p"/>
          </m:rPr>
          <m:t>≠</m:t>
        </m:r>
        <m:sSub>
          <m:e>
            <m:r>
              <m:t>μ</m:t>
            </m:r>
          </m:e>
          <m:sub>
            <m:r>
              <m:t>R</m:t>
            </m:r>
          </m:sub>
        </m:sSub>
      </m:oMath>
      <w:r>
        <w:t xml:space="preserve">.</w:t>
      </w:r>
    </w:p>
    <w:p>
      <w:pPr>
        <w:pStyle w:val="BodyText"/>
      </w:pPr>
      <w:r>
        <w:rPr>
          <w:b/>
          <w:bCs/>
        </w:rPr>
        <w:t xml:space="preserve">Design.</w:t>
      </w:r>
      <w:r>
        <w:t xml:space="preserve"> </w:t>
      </w:r>
      <w:r>
        <w:t xml:space="preserve">Independent samples (different places), complete years 1901–2015,</w:t>
      </w:r>
      <w:r>
        <w:t xml:space="preserve"> </w:t>
      </w:r>
      <m:oMath>
        <m:sSub>
          <m:e>
            <m:r>
              <m:t>n</m:t>
            </m:r>
          </m:e>
          <m:sub>
            <m:r>
              <m:t>K</m:t>
            </m:r>
          </m:sub>
        </m:sSub>
        <m:r>
          <m:rPr>
            <m:sty m:val="p"/>
          </m:rPr>
          <m:t>=</m:t>
        </m:r>
        <m:sSub>
          <m:e>
            <m:r>
              <m:t>n</m:t>
            </m:r>
          </m:e>
          <m:sub>
            <m:r>
              <m:t>R</m:t>
            </m:r>
          </m:sub>
        </m:sSub>
        <m:r>
          <m:rPr>
            <m:sty m:val="p"/>
          </m:rPr>
          <m:t>=</m:t>
        </m:r>
        <m:r>
          <m:t>115</m:t>
        </m:r>
      </m:oMath>
      <w:r>
        <w:t xml:space="preserve">. Variances are unequal (Kerala</w:t>
      </w:r>
      <w:r>
        <w:t xml:space="preserve"> </w:t>
      </w:r>
      <m:oMath>
        <m:sSup>
          <m:e>
            <m:r>
              <m:t>s</m:t>
            </m:r>
          </m:e>
          <m:sup>
            <m:r>
              <m:t>2</m:t>
            </m:r>
          </m:sup>
        </m:sSup>
        <m:r>
          <m:rPr>
            <m:sty m:val="p"/>
          </m:rPr>
          <m:t>≈</m:t>
        </m:r>
        <m:r>
          <m:t>1.78</m:t>
        </m:r>
        <m:r>
          <m:rPr>
            <m:sty m:val="p"/>
          </m:rPr>
          <m:t>×</m:t>
        </m:r>
        <m:sSup>
          <m:e>
            <m:r>
              <m:t>10</m:t>
            </m:r>
          </m:e>
          <m:sup>
            <m:r>
              <m:t>5</m:t>
            </m:r>
          </m:sup>
        </m:sSup>
      </m:oMath>
      <w:r>
        <w:t xml:space="preserve">, West Rajasthan</w:t>
      </w:r>
      <w:r>
        <w:t xml:space="preserve"> </w:t>
      </w:r>
      <m:oMath>
        <m:sSup>
          <m:e>
            <m:r>
              <m:t>s</m:t>
            </m:r>
          </m:e>
          <m:sup>
            <m:r>
              <m:t>2</m:t>
            </m:r>
          </m:sup>
        </m:sSup>
        <m:r>
          <m:rPr>
            <m:sty m:val="p"/>
          </m:rPr>
          <m:t>≈</m:t>
        </m:r>
        <m:r>
          <m:t>1.18</m:t>
        </m:r>
        <m:r>
          <m:rPr>
            <m:sty m:val="p"/>
          </m:rPr>
          <m:t>×</m:t>
        </m:r>
        <m:sSup>
          <m:e>
            <m:r>
              <m:t>10</m:t>
            </m:r>
          </m:e>
          <m:sup>
            <m:r>
              <m:t>4</m:t>
            </m:r>
          </m:sup>
        </m:sSup>
      </m:oMath>
      <w:r>
        <w:t xml:space="preserve">), so Welch’s</w:t>
      </w:r>
      <w:r>
        <w:t xml:space="preserve"> </w:t>
      </w:r>
      <m:oMath>
        <m:r>
          <m:t>t</m:t>
        </m:r>
      </m:oMath>
      <w:r>
        <w:t xml:space="preserve"> </w:t>
      </w:r>
      <w:r>
        <w:t xml:space="preserve">is used, not Student’s equal-variance</w:t>
      </w:r>
      <w:r>
        <w:t xml:space="preserve"> </w:t>
      </w:r>
      <m:oMath>
        <m:r>
          <m:t>t</m:t>
        </m:r>
      </m:oMath>
      <w:r>
        <w:t xml:space="preserve">. Shapiro–Wilk</w:t>
      </w:r>
      <w:r>
        <w:t xml:space="preserve"> </w:t>
      </w:r>
      <m:oMath>
        <m:r>
          <m:t>p</m:t>
        </m:r>
        <m:r>
          <m:rPr>
            <m:sty m:val="p"/>
          </m:rPr>
          <m:t>=</m:t>
        </m:r>
        <m:r>
          <m:t>0.046</m:t>
        </m:r>
      </m:oMath>
      <w:r>
        <w:t xml:space="preserve"> </w:t>
      </w:r>
      <w:r>
        <w:t xml:space="preserve">(Kerala) and</w:t>
      </w:r>
      <w:r>
        <w:t xml:space="preserve"> </w:t>
      </w:r>
      <m:oMath>
        <m:r>
          <m:t>p</m:t>
        </m:r>
        <m:r>
          <m:rPr>
            <m:sty m:val="p"/>
          </m:rPr>
          <m:t>=</m:t>
        </m:r>
        <m:r>
          <m:t>0.001</m:t>
        </m:r>
      </m:oMath>
      <w:r>
        <w:t xml:space="preserve"> </w:t>
      </w:r>
      <w:r>
        <w:t xml:space="preserve">(West Rajasthan); the rank-sum test is therefore reported as well. An independent two-sample test would be</w:t>
      </w:r>
      <w:r>
        <w:t xml:space="preserve"> </w:t>
      </w:r>
      <w:r>
        <w:rPr>
          <w:b/>
          <w:bCs/>
        </w:rPr>
        <w:t xml:space="preserve">wrong</w:t>
      </w:r>
      <w:r>
        <w:t xml:space="preserve"> </w:t>
      </w:r>
      <w:r>
        <w:t xml:space="preserve">for two seasons of the same year.</w:t>
      </w:r>
    </w:p>
    <w:p>
      <w:pPr>
        <w:pStyle w:val="BodyText"/>
      </w:pPr>
      <w:r>
        <w:rPr>
          <w:b/>
          <w:bCs/>
        </w:rPr>
        <w:t xml:space="preserve">Result.</w:t>
      </w:r>
      <w:r>
        <w:t xml:space="preserve"> </w:t>
      </w:r>
      <m:oMath>
        <m:r>
          <m:t>t</m:t>
        </m:r>
        <m:r>
          <m:rPr>
            <m:sty m:val="p"/>
          </m:rPr>
          <m:t>=</m:t>
        </m:r>
      </m:oMath>
      <w:r>
        <w:t xml:space="preserve"> </w:t>
      </w:r>
      <w:r>
        <w:t xml:space="preserve">64.768, df</w:t>
      </w:r>
      <w:r>
        <w:t xml:space="preserve"> </w:t>
      </w:r>
      <m:oMath>
        <m:r>
          <m:rPr>
            <m:sty m:val="p"/>
          </m:rPr>
          <m:t>≈</m:t>
        </m:r>
      </m:oMath>
      <w:r>
        <w:t xml:space="preserve"> </w:t>
      </w:r>
      <w:r>
        <w:t xml:space="preserve">129.1,</w:t>
      </w:r>
      <w:r>
        <w:t xml:space="preserve"> </w:t>
      </w:r>
      <m:oMath>
        <m:r>
          <m:t>p</m:t>
        </m:r>
        <m:r>
          <m:rPr>
            <m:sty m:val="p"/>
          </m:rPr>
          <m:t>&lt;</m:t>
        </m:r>
      </m:oMath>
      <w:r>
        <w:t xml:space="preserve"> </w:t>
      </w:r>
      <w:r>
        <w:t xml:space="preserve">0.0001, 95% CI for</w:t>
      </w:r>
      <w:r>
        <w:t xml:space="preserve"> </w:t>
      </w:r>
      <m:oMath>
        <m:sSub>
          <m:e>
            <m:r>
              <m:t>μ</m:t>
            </m:r>
          </m:e>
          <m:sub>
            <m:r>
              <m:t>K</m:t>
            </m:r>
          </m:sub>
        </m:sSub>
        <m:r>
          <m:rPr>
            <m:sty m:val="p"/>
          </m:rPr>
          <m:t>−</m:t>
        </m:r>
        <m:sSub>
          <m:e>
            <m:r>
              <m:t>μ</m:t>
            </m:r>
          </m:e>
          <m:sub>
            <m:r>
              <m:t>R</m:t>
            </m:r>
          </m:sub>
        </m:sSub>
      </m:oMath>
      <w:r>
        <w:t xml:space="preserve">: 2552.4 to 2713.2 mm.</w:t>
      </w:r>
    </w:p>
    <w:p>
      <w:pPr>
        <w:pStyle w:val="BodyText"/>
      </w:pPr>
      <w:r>
        <w:rPr>
          <w:b/>
          <w:bCs/>
        </w:rPr>
        <w:t xml:space="preserve">Decision.</w:t>
      </w:r>
      <w:r>
        <w:t xml:space="preserve"> </w:t>
      </w:r>
      <w:r>
        <w:t xml:space="preserve">Reject</w:t>
      </w:r>
      <w:r>
        <w:t xml:space="preserve"> </w:t>
      </w:r>
      <m:oMath>
        <m:sSub>
          <m:e>
            <m:r>
              <m:t>H</m:t>
            </m:r>
          </m:e>
          <m:sub>
            <m:r>
              <m:t>0</m:t>
            </m:r>
          </m:sub>
        </m:sSub>
      </m:oMath>
      <w:r>
        <w:t xml:space="preserve">. Wilcoxon rank-sum</w:t>
      </w:r>
      <w:r>
        <w:t xml:space="preserve"> </w:t>
      </w:r>
      <m:oMath>
        <m:r>
          <m:t>W</m:t>
        </m:r>
        <m:r>
          <m:rPr>
            <m:sty m:val="p"/>
          </m:rPr>
          <m:t>=</m:t>
        </m:r>
        <m:r>
          <m:t>13225</m:t>
        </m:r>
      </m:oMath>
      <w:r>
        <w:t xml:space="preserve">,</w:t>
      </w:r>
      <w:r>
        <w:t xml:space="preserve"> </w:t>
      </w:r>
      <m:oMath>
        <m:r>
          <m:t>p</m:t>
        </m:r>
        <m:r>
          <m:rPr>
            <m:sty m:val="p"/>
          </m:rPr>
          <m:t>&lt;</m:t>
        </m:r>
      </m:oMath>
      <w:r>
        <w:t xml:space="preserve"> </w:t>
      </w:r>
      <w:r>
        <w:t xml:space="preserve">0.0001.</w:t>
      </w:r>
    </w:p>
    <w:p>
      <w:pPr>
        <w:pStyle w:val="BodyText"/>
      </w:pPr>
      <w:r>
        <w:rPr>
          <w:b/>
          <w:bCs/>
        </w:rPr>
        <w:t xml:space="preserve">Interpretation.</w:t>
      </w:r>
      <w:r>
        <w:t xml:space="preserve"> </w:t>
      </w:r>
      <w:r>
        <w:t xml:space="preserve">Kerala is wetter by about 2.6 metres per year on average. That is the climatology of a monsoon coast versus the Thar margin, not a surprising discovery. The test documents the contrast with uncertainty.</w:t>
      </w:r>
    </w:p>
    <w:bookmarkEnd w:id="58"/>
    <w:bookmarkStart w:id="59" w:name="X5a6f0c50d68f0c70d281d2c5433d250e520ca91"/>
    <w:p>
      <w:pPr>
        <w:pStyle w:val="Heading2"/>
      </w:pPr>
      <w:r>
        <w:t xml:space="preserve">Paired</w:t>
      </w:r>
      <w:r>
        <w:t xml:space="preserve"> </w:t>
      </w:r>
      <m:oMath>
        <m:r>
          <m:t>t</m:t>
        </m:r>
      </m:oMath>
      <w:r>
        <w:t xml:space="preserve">-test (June–September versus October–December)</w:t>
      </w:r>
    </w:p>
    <w:p>
      <w:pPr>
        <w:pStyle w:val="FirstParagraph"/>
      </w:pPr>
      <w:r>
        <w:rPr>
          <w:b/>
          <w:bCs/>
        </w:rPr>
        <w:t xml:space="preserve">Question.</w:t>
      </w:r>
      <w:r>
        <w:t xml:space="preserve"> </w:t>
      </w:r>
      <w:r>
        <w:t xml:space="preserve">Within a year, does southwest-monsoon rainfall differ from post-monsoon rainfall?</w:t>
      </w:r>
    </w:p>
    <w:p>
      <w:pPr>
        <w:pStyle w:val="BodyText"/>
      </w:pPr>
      <w:r>
        <w:rPr>
          <w:b/>
          <w:bCs/>
        </w:rPr>
        <w:t xml:space="preserve">Hypotheses.</w:t>
      </w:r>
      <w:r>
        <w:t xml:space="preserve"> </w:t>
      </w:r>
      <m:oMath>
        <m:sSub>
          <m:e>
            <m:r>
              <m:t>H</m:t>
            </m:r>
          </m:e>
          <m:sub>
            <m:r>
              <m:t>0</m:t>
            </m:r>
          </m:sub>
        </m:sSub>
        <m:r>
          <m:rPr>
            <m:sty m:val="p"/>
          </m:rPr>
          <m:t>:</m:t>
        </m:r>
        <m:sSub>
          <m:e>
            <m:r>
              <m:t>μ</m:t>
            </m:r>
          </m:e>
          <m:sub>
            <m:r>
              <m:rPr>
                <m:sty m:val="p"/>
              </m:rPr>
              <m:t>J</m:t>
            </m:r>
            <m:r>
              <m:rPr>
                <m:sty m:val="p"/>
              </m:rPr>
              <m:t>J</m:t>
            </m:r>
            <m:r>
              <m:rPr>
                <m:sty m:val="p"/>
              </m:rPr>
              <m:t>A</m:t>
            </m:r>
            <m:r>
              <m:rPr>
                <m:sty m:val="p"/>
              </m:rPr>
              <m:t>S</m:t>
            </m:r>
            <m:r>
              <m:rPr>
                <m:sty m:val="p"/>
              </m:rPr>
              <m:t>−</m:t>
            </m:r>
            <m:r>
              <m:rPr>
                <m:sty m:val="p"/>
              </m:rPr>
              <m:t>O</m:t>
            </m:r>
            <m:r>
              <m:rPr>
                <m:sty m:val="p"/>
              </m:rPr>
              <m:t>N</m:t>
            </m:r>
            <m:r>
              <m:rPr>
                <m:sty m:val="p"/>
              </m:rPr>
              <m:t>D</m:t>
            </m:r>
          </m:sub>
        </m:sSub>
        <m:r>
          <m:rPr>
            <m:sty m:val="p"/>
          </m:rPr>
          <m:t>=</m:t>
        </m:r>
        <m:r>
          <m:t>0</m:t>
        </m:r>
      </m:oMath>
      <w:r>
        <w:t xml:space="preserve"> </w:t>
      </w:r>
      <w:r>
        <w:t xml:space="preserve">versus</w:t>
      </w:r>
      <w:r>
        <w:t xml:space="preserve"> </w:t>
      </w:r>
      <m:oMath>
        <m:sSub>
          <m:e>
            <m:r>
              <m:t>H</m:t>
            </m:r>
          </m:e>
          <m:sub>
            <m:r>
              <m:t>1</m:t>
            </m:r>
          </m:sub>
        </m:sSub>
        <m:r>
          <m:rPr>
            <m:sty m:val="p"/>
          </m:rPr>
          <m:t>≠</m:t>
        </m:r>
        <m:r>
          <m:t>0</m:t>
        </m:r>
      </m:oMath>
      <w:r>
        <w:t xml:space="preserve">.</w:t>
      </w:r>
    </w:p>
    <w:p>
      <w:pPr>
        <w:pStyle w:val="BodyText"/>
      </w:pPr>
      <w:r>
        <w:rPr>
          <w:b/>
          <w:bCs/>
        </w:rPr>
        <w:t xml:space="preserve">Design.</w:t>
      </w:r>
      <w:r>
        <w:t xml:space="preserve"> </w:t>
      </w:r>
      <w:r>
        <w:t xml:space="preserve">Pairing is required because both seasons belong to the same year.</w:t>
      </w:r>
    </w:p>
    <w:p>
      <w:pPr>
        <w:pStyle w:val="BodyText"/>
      </w:pPr>
      <w:r>
        <w:rPr>
          <w:b/>
          <w:bCs/>
        </w:rPr>
        <w:t xml:space="preserve">Assumptions.</w:t>
      </w:r>
      <w:r>
        <w:t xml:space="preserve"> </w:t>
      </w:r>
      <w:r>
        <w:t xml:space="preserve">Shapiro–Wilk on differences:</w:t>
      </w:r>
      <w:r>
        <w:t xml:space="preserve"> </w:t>
      </w:r>
      <m:oMath>
        <m:r>
          <m:t>W</m:t>
        </m:r>
        <m:r>
          <m:rPr>
            <m:sty m:val="p"/>
          </m:rPr>
          <m:t>=</m:t>
        </m:r>
        <m:r>
          <m:t>0.9856</m:t>
        </m:r>
      </m:oMath>
      <w:r>
        <w:t xml:space="preserve">,</w:t>
      </w:r>
      <w:r>
        <w:t xml:space="preserve"> </w:t>
      </w:r>
      <m:oMath>
        <m:r>
          <m:t>p</m:t>
        </m:r>
        <m:r>
          <m:rPr>
            <m:sty m:val="p"/>
          </m:rPr>
          <m:t>=</m:t>
        </m:r>
        <m:r>
          <m:t>0.2557</m:t>
        </m:r>
      </m:oMath>
      <w:r>
        <w:t xml:space="preserve">.</w:t>
      </w:r>
    </w:p>
    <w:p>
      <w:pPr>
        <w:pStyle w:val="BodyText"/>
      </w:pPr>
      <w:r>
        <w:rPr>
          <w:b/>
          <w:bCs/>
        </w:rPr>
        <w:t xml:space="preserve">Result.</w:t>
      </w:r>
      <w:r>
        <w:t xml:space="preserve"> </w:t>
      </w:r>
      <m:oMath>
        <m:r>
          <m:t>t</m:t>
        </m:r>
        <m:r>
          <m:rPr>
            <m:sty m:val="p"/>
          </m:rPr>
          <m:t>=</m:t>
        </m:r>
      </m:oMath>
      <w:r>
        <w:t xml:space="preserve"> </w:t>
      </w:r>
      <w:r>
        <w:t xml:space="preserve">96.377, df</w:t>
      </w:r>
      <w:r>
        <w:t xml:space="preserve"> </w:t>
      </w:r>
      <m:oMath>
        <m:r>
          <m:rPr>
            <m:sty m:val="p"/>
          </m:rPr>
          <m:t>=</m:t>
        </m:r>
        <m:r>
          <m:t>114</m:t>
        </m:r>
      </m:oMath>
      <w:r>
        <w:t xml:space="preserve">,</w:t>
      </w:r>
      <w:r>
        <w:t xml:space="preserve"> </w:t>
      </w:r>
      <m:oMath>
        <m:r>
          <m:t>p</m:t>
        </m:r>
        <m:r>
          <m:rPr>
            <m:sty m:val="p"/>
          </m:rPr>
          <m:t>&lt;</m:t>
        </m:r>
      </m:oMath>
      <w:r>
        <w:t xml:space="preserve"> </w:t>
      </w:r>
      <w:r>
        <w:t xml:space="preserve">0.0001, 95% CI 754.5 to 786.2 mm.</w:t>
      </w:r>
    </w:p>
    <w:p>
      <w:pPr>
        <w:pStyle w:val="BodyText"/>
      </w:pPr>
      <w:r>
        <w:rPr>
          <w:b/>
          <w:bCs/>
        </w:rPr>
        <w:t xml:space="preserve">Decision.</w:t>
      </w:r>
      <w:r>
        <w:t xml:space="preserve"> </w:t>
      </w:r>
      <w:r>
        <w:t xml:space="preserve">Reject</w:t>
      </w:r>
      <w:r>
        <w:t xml:space="preserve"> </w:t>
      </w:r>
      <m:oMath>
        <m:sSub>
          <m:e>
            <m:r>
              <m:t>H</m:t>
            </m:r>
          </m:e>
          <m:sub>
            <m:r>
              <m:t>0</m:t>
            </m:r>
          </m:sub>
        </m:sSub>
      </m:oMath>
      <w:r>
        <w:t xml:space="preserve">. Paired Wilcoxon</w:t>
      </w:r>
      <w:r>
        <w:t xml:space="preserve"> </w:t>
      </w:r>
      <m:oMath>
        <m:r>
          <m:t>p</m:t>
        </m:r>
        <m:r>
          <m:rPr>
            <m:sty m:val="p"/>
          </m:rPr>
          <m:t>&lt;</m:t>
        </m:r>
      </m:oMath>
      <w:r>
        <w:t xml:space="preserve"> </w:t>
      </w:r>
      <w:r>
        <w:t xml:space="preserve">0.0001.</w:t>
      </w:r>
    </w:p>
    <w:p>
      <w:pPr>
        <w:pStyle w:val="BodyText"/>
      </w:pPr>
      <w:r>
        <w:rPr>
          <w:b/>
          <w:bCs/>
        </w:rPr>
        <w:t xml:space="preserve">Interpretation.</w:t>
      </w:r>
      <w:r>
        <w:t xml:space="preserve"> </w:t>
      </w:r>
      <w:r>
        <w:t xml:space="preserve">The monsoon exceeds post-monsoon by roughly three-quarters of a metre in a typical year. This is the definition of a monsoon climate, confirmed statistically.</w:t>
      </w:r>
    </w:p>
    <w:bookmarkEnd w:id="59"/>
    <w:bookmarkStart w:id="60" w:name="X8f6f8f9074c7e35c6c81aa418523c6a07ad2a7f"/>
    <w:p>
      <w:pPr>
        <w:pStyle w:val="Heading2"/>
      </w:pPr>
      <w:r>
        <w:t xml:space="preserve">Chi-square goodness-of-fit (wettest season)</w:t>
      </w:r>
    </w:p>
    <w:p>
      <w:pPr>
        <w:pStyle w:val="FirstParagraph"/>
      </w:pPr>
      <w:r>
        <w:t xml:space="preserve">Raw millimetres were</w:t>
      </w:r>
      <w:r>
        <w:t xml:space="preserve"> </w:t>
      </w:r>
      <w:r>
        <w:rPr>
          <w:b/>
          <w:bCs/>
        </w:rPr>
        <w:t xml:space="preserve">not</w:t>
      </w:r>
      <w:r>
        <w:t xml:space="preserve"> </w:t>
      </w:r>
      <w:r>
        <w:t xml:space="preserve">put into a chi-square test. Each year was classified by which IMD season had the largest total. Under</w:t>
      </w:r>
      <w:r>
        <w:t xml:space="preserve"> </w:t>
      </w:r>
      <m:oMath>
        <m:sSub>
          <m:e>
            <m:r>
              <m:t>H</m:t>
            </m:r>
          </m:e>
          <m:sub>
            <m:r>
              <m:t>0</m:t>
            </m:r>
          </m:sub>
        </m:sSub>
      </m:oMath>
      <w:r>
        <w:t xml:space="preserve">, each season has probability</w:t>
      </w:r>
      <w:r>
        <w:t xml:space="preserve"> </w:t>
      </w:r>
      <m:oMath>
        <m:r>
          <m:t>1</m:t>
        </m:r>
        <m:r>
          <m:rPr>
            <m:sty m:val="p"/>
          </m:rPr>
          <m:t>/</m:t>
        </m:r>
        <m:r>
          <m:t>4</m:t>
        </m:r>
      </m:oMath>
      <w:r>
        <w:t xml:space="preserve">, so expected count</w:t>
      </w:r>
      <w:r>
        <w:t xml:space="preserve"> </w:t>
      </w:r>
      <m:oMath>
        <m:r>
          <m:rPr>
            <m:sty m:val="p"/>
          </m:rPr>
          <m:t>=</m:t>
        </m:r>
        <m:r>
          <m:t>115</m:t>
        </m:r>
        <m:r>
          <m:rPr>
            <m:sty m:val="p"/>
          </m:rPr>
          <m:t>/</m:t>
        </m:r>
        <m:r>
          <m:t>4</m:t>
        </m:r>
        <m:r>
          <m:rPr>
            <m:sty m:val="p"/>
          </m:rPr>
          <m:t>=</m:t>
        </m:r>
        <m:r>
          <m:t>28.75</m:t>
        </m:r>
      </m:oMath>
      <w:r>
        <w:t xml:space="preserve"> </w:t>
      </w:r>
      <w:r>
        <w:t xml:space="preserve">(all</w:t>
      </w:r>
      <w:r>
        <w:t xml:space="preserve"> </w:t>
      </w:r>
      <m:oMath>
        <m:r>
          <m:rPr>
            <m:sty m:val="p"/>
          </m:rPr>
          <m:t>&gt;</m:t>
        </m:r>
        <m:r>
          <m:t>5</m:t>
        </m:r>
      </m:oMath>
      <w:r>
        <w:t xml:space="preserve">).</w:t>
      </w:r>
    </w:p>
    <w:p>
      <w:pPr>
        <w:pStyle w:val="BodyText"/>
      </w:pPr>
      <w:r>
        <w:t xml:space="preserve">Observed counts: January–February 0, March–May 0, June–September 115, October–December 0.</w:t>
      </w:r>
      <w:r>
        <w:t xml:space="preserve"> </w:t>
      </w:r>
      <m:oMath>
        <m:sSup>
          <m:e>
            <m:r>
              <m:t>χ</m:t>
            </m:r>
          </m:e>
          <m:sup>
            <m:r>
              <m:t>2</m:t>
            </m:r>
          </m:sup>
        </m:sSup>
        <m:r>
          <m:rPr>
            <m:sty m:val="p"/>
          </m:rPr>
          <m:t>=</m:t>
        </m:r>
        <m:r>
          <m:t>345</m:t>
        </m:r>
      </m:oMath>
      <w:r>
        <w:t xml:space="preserve">, df</w:t>
      </w:r>
      <w:r>
        <w:t xml:space="preserve"> </w:t>
      </w:r>
      <m:oMath>
        <m:r>
          <m:rPr>
            <m:sty m:val="p"/>
          </m:rPr>
          <m:t>=</m:t>
        </m:r>
        <m:r>
          <m:t>3</m:t>
        </m:r>
      </m:oMath>
      <w:r>
        <w:t xml:space="preserve">,</w:t>
      </w:r>
      <w:r>
        <w:t xml:space="preserve"> </w:t>
      </w:r>
      <m:oMath>
        <m:r>
          <m:t>p</m:t>
        </m:r>
        <m:r>
          <m:rPr>
            <m:sty m:val="p"/>
          </m:rPr>
          <m:t>&lt;</m:t>
        </m:r>
      </m:oMath>
      <w:r>
        <w:t xml:space="preserve"> </w:t>
      </w:r>
      <w:r>
        <w:t xml:space="preserve">0.0001. Reject</w:t>
      </w:r>
      <w:r>
        <w:t xml:space="preserve"> </w:t>
      </w:r>
      <m:oMath>
        <m:sSub>
          <m:e>
            <m:r>
              <m:t>H</m:t>
            </m:r>
          </m:e>
          <m:sub>
            <m:r>
              <m:t>0</m:t>
            </m:r>
          </m:sub>
        </m:sSub>
      </m:oMath>
      <w:r>
        <w:t xml:space="preserve">. The southwest monsoon was the wettest season in every year of this national series.</w:t>
      </w:r>
    </w:p>
    <w:bookmarkEnd w:id="60"/>
    <w:bookmarkStart w:id="61" w:name="Xfd6929f917f8ea4478ae9e1bec259b0737f9e96"/>
    <w:p>
      <w:pPr>
        <w:pStyle w:val="Heading2"/>
      </w:pPr>
      <w:r>
        <w:t xml:space="preserve">Chi-square test of independence (period</w:t>
      </w:r>
      <w:r>
        <w:t xml:space="preserve"> </w:t>
      </w:r>
      <m:oMath>
        <m:r>
          <m:rPr>
            <m:sty m:val="p"/>
          </m:rPr>
          <m:t>×</m:t>
        </m:r>
      </m:oMath>
      <w:r>
        <w:t xml:space="preserve"> </w:t>
      </w:r>
      <w:r>
        <w:t xml:space="preserve">monsoon class)</w:t>
      </w:r>
    </w:p>
    <w:p>
      <w:pPr>
        <w:pStyle w:val="FirstParagraph"/>
      </w:pPr>
      <w:r>
        <w:t xml:space="preserve">Years were split at 1958. Monsoon class uses 90%/110% of the</w:t>
      </w:r>
      <w:r>
        <w:t xml:space="preserve"> </w:t>
      </w:r>
      <w:r>
        <w:rPr>
          <w:b/>
          <w:bCs/>
        </w:rPr>
        <w:t xml:space="preserve">full-series</w:t>
      </w:r>
      <w:r>
        <w:t xml:space="preserve"> </w:t>
      </w:r>
      <w:r>
        <w:t xml:space="preserve">June–September mean.</w:t>
      </w:r>
      <w:r>
        <w:t xml:space="preserve"> </w:t>
      </w:r>
      <m:oMath>
        <m:sSub>
          <m:e>
            <m:r>
              <m:t>H</m:t>
            </m:r>
          </m:e>
          <m:sub>
            <m:r>
              <m:t>0</m:t>
            </m:r>
          </m:sub>
        </m:sSub>
      </m:oMath>
      <w:r>
        <w:t xml:space="preserve">: period and class are independent.</w:t>
      </w:r>
    </w:p>
    <w:p>
      <w:pPr>
        <w:pStyle w:val="BodyText"/>
      </w:pPr>
      <w:r>
        <w:t xml:space="preserve">Counts: 1901–1957: 12 deficient, 38 normal, 7 excess; 1958–2015: 13, 36, 9.</w:t>
      </w:r>
      <w:r>
        <w:t xml:space="preserve"> </w:t>
      </w:r>
      <m:oMath>
        <m:sSup>
          <m:e>
            <m:r>
              <m:t>χ</m:t>
            </m:r>
          </m:e>
          <m:sup>
            <m:r>
              <m:t>2</m:t>
            </m:r>
          </m:sup>
        </m:sSup>
        <m:r>
          <m:rPr>
            <m:sty m:val="p"/>
          </m:rPr>
          <m:t>=</m:t>
        </m:r>
      </m:oMath>
      <w:r>
        <w:t xml:space="preserve"> </w:t>
      </w:r>
      <w:r>
        <w:t xml:space="preserve">0.34, df</w:t>
      </w:r>
      <w:r>
        <w:t xml:space="preserve"> </w:t>
      </w:r>
      <m:oMath>
        <m:r>
          <m:rPr>
            <m:sty m:val="p"/>
          </m:rPr>
          <m:t>=</m:t>
        </m:r>
        <m:r>
          <m:t>2</m:t>
        </m:r>
      </m:oMath>
      <w:r>
        <w:t xml:space="preserve">,</w:t>
      </w:r>
      <w:r>
        <w:t xml:space="preserve"> </w:t>
      </w:r>
      <m:oMath>
        <m:r>
          <m:t>p</m:t>
        </m:r>
        <m:r>
          <m:rPr>
            <m:sty m:val="p"/>
          </m:rPr>
          <m:t>=</m:t>
        </m:r>
      </m:oMath>
      <w:r>
        <w:t xml:space="preserve"> </w:t>
      </w:r>
      <w:r>
        <w:t xml:space="preserve">0.8456. Do not reject</w:t>
      </w:r>
      <w:r>
        <w:t xml:space="preserve"> </w:t>
      </w:r>
      <m:oMath>
        <m:sSub>
          <m:e>
            <m:r>
              <m:t>H</m:t>
            </m:r>
          </m:e>
          <m:sub>
            <m:r>
              <m:t>0</m:t>
            </m:r>
          </m:sub>
        </m:sSub>
      </m:oMath>
      <w:r>
        <w:t xml:space="preserve">. Adjacent years are dependent, so the nominal</w:t>
      </w:r>
      <w:r>
        <w:t xml:space="preserve"> </w:t>
      </w:r>
      <m:oMath>
        <m:r>
          <m:t>p</m:t>
        </m:r>
      </m:oMath>
      <w:r>
        <w:t xml:space="preserve">-value is approximate. This is</w:t>
      </w:r>
      <w:r>
        <w:t xml:space="preserve"> </w:t>
      </w:r>
      <w:r>
        <w:rPr>
          <w:b/>
          <w:bCs/>
        </w:rPr>
        <w:t xml:space="preserve">not</w:t>
      </w:r>
      <w:r>
        <w:t xml:space="preserve"> </w:t>
      </w:r>
      <w:r>
        <w:t xml:space="preserve">a test of climate change.</w:t>
      </w:r>
    </w:p>
    <w:bookmarkEnd w:id="61"/>
    <w:bookmarkEnd w:id="62"/>
    <w:bookmarkStart w:id="69" w:name="correlation-and-covariance"/>
    <w:p>
      <w:pPr>
        <w:pStyle w:val="Heading1"/>
      </w:pPr>
      <w:r>
        <w:t xml:space="preserve">Correlation and covariance</w:t>
      </w:r>
    </w:p>
    <w:p>
      <w:pPr>
        <w:pStyle w:val="FirstParagraph"/>
      </w:pPr>
      <w:r>
        <w:t xml:space="preserve">Pearson</w:t>
      </w:r>
      <w:r>
        <w:t xml:space="preserve"> </w:t>
      </w:r>
      <m:oMath>
        <m:r>
          <m:t>r</m:t>
        </m:r>
      </m:oMath>
      <w:r>
        <w:t xml:space="preserve"> </w:t>
      </w:r>
      <w:r>
        <w:t xml:space="preserve">measures linear association; Spearman</w:t>
      </w:r>
      <w:r>
        <w:t xml:space="preserve"> </w:t>
      </w:r>
      <m:oMath>
        <m:r>
          <m:t>ρ</m:t>
        </m:r>
      </m:oMath>
      <w:r>
        <w:t xml:space="preserve"> </w:t>
      </w:r>
      <w:r>
        <w:t xml:space="preserve">measures monotonic association. Neither is causation. June–September was</w:t>
      </w:r>
      <w:r>
        <w:t xml:space="preserve"> </w:t>
      </w:r>
      <w:r>
        <w:rPr>
          <w:b/>
          <w:bCs/>
        </w:rPr>
        <w:t xml:space="preserve">not</w:t>
      </w:r>
      <w:r>
        <w:t xml:space="preserve"> </w:t>
      </w:r>
      <w:r>
        <w:t xml:space="preserve">correlated with the annual total, because the monsoon is a large numerical part of the year (part–whole artefact).</w:t>
      </w:r>
    </w:p>
    <w:p>
      <w:pPr>
        <w:pStyle w:val="TableCaption"/>
      </w:pPr>
      <w:r>
        <w:t xml:space="preserve">Table 9. Pairwise season correlations, all-India, 1901–2015. Annual totals are omitted (part–whole).</w:t>
      </w:r>
    </w:p>
    <w:tbl>
      <w:tblPr>
        <w:tblStyle w:val="Table"/>
        <w:tblW w:type="pct" w:w="5000"/>
        <w:tblLayout w:type="fixed"/>
        <w:tblLook w:firstRow="1" w:lastRow="0" w:firstColumn="0" w:lastColumn="0" w:noHBand="0" w:noVBand="0" w:val="0020"/>
        <w:tblCaption w:val="Table 9. Pairwise season correlations, all-India, 1901–2015. Annual totals are omitted (part–whole)."/>
      </w:tblPr>
      <w:tblGrid>
        <w:gridCol w:w="577"/>
        <w:gridCol w:w="577"/>
        <w:gridCol w:w="825"/>
        <w:gridCol w:w="825"/>
        <w:gridCol w:w="1402"/>
        <w:gridCol w:w="1402"/>
        <w:gridCol w:w="1072"/>
        <w:gridCol w:w="907"/>
        <w:gridCol w:w="330"/>
      </w:tblGrid>
      <w:tr>
        <w:trPr>
          <w:tblHeader w:val="on"/>
        </w:trPr>
        <w:tc>
          <w:tcPr/>
          <w:p>
            <w:pPr>
              <w:pStyle w:val="Compact"/>
              <w:jc w:val="left"/>
            </w:pPr>
            <w:r>
              <w:t xml:space="preserve">var_x</w:t>
            </w:r>
          </w:p>
        </w:tc>
        <w:tc>
          <w:tcPr/>
          <w:p>
            <w:pPr>
              <w:pStyle w:val="Compact"/>
              <w:jc w:val="left"/>
            </w:pPr>
            <w:r>
              <w:t xml:space="preserve">var_y</w:t>
            </w:r>
          </w:p>
        </w:tc>
        <w:tc>
          <w:tcPr/>
          <w:p>
            <w:pPr>
              <w:pStyle w:val="Compact"/>
              <w:jc w:val="right"/>
            </w:pPr>
            <w:r>
              <w:t xml:space="preserve">pearson_r</w:t>
            </w:r>
          </w:p>
        </w:tc>
        <w:tc>
          <w:tcPr/>
          <w:p>
            <w:pPr>
              <w:pStyle w:val="Compact"/>
              <w:jc w:val="right"/>
            </w:pPr>
            <w:r>
              <w:t xml:space="preserve">pearson_p</w:t>
            </w:r>
          </w:p>
        </w:tc>
        <w:tc>
          <w:tcPr/>
          <w:p>
            <w:pPr>
              <w:pStyle w:val="Compact"/>
              <w:jc w:val="right"/>
            </w:pPr>
            <w:r>
              <w:t xml:space="preserve">pearson_ci_lower</w:t>
            </w:r>
          </w:p>
        </w:tc>
        <w:tc>
          <w:tcPr/>
          <w:p>
            <w:pPr>
              <w:pStyle w:val="Compact"/>
              <w:jc w:val="right"/>
            </w:pPr>
            <w:r>
              <w:t xml:space="preserve">pearson_ci_upper</w:t>
            </w:r>
          </w:p>
        </w:tc>
        <w:tc>
          <w:tcPr/>
          <w:p>
            <w:pPr>
              <w:pStyle w:val="Compact"/>
              <w:jc w:val="right"/>
            </w:pPr>
            <w:r>
              <w:t xml:space="preserve">spearman_rho</w:t>
            </w:r>
          </w:p>
        </w:tc>
        <w:tc>
          <w:tcPr/>
          <w:p>
            <w:pPr>
              <w:pStyle w:val="Compact"/>
              <w:jc w:val="right"/>
            </w:pPr>
            <w:r>
              <w:t xml:space="preserve">spearman_p</w:t>
            </w:r>
          </w:p>
        </w:tc>
        <w:tc>
          <w:tcPr/>
          <w:p>
            <w:pPr>
              <w:pStyle w:val="Compact"/>
              <w:jc w:val="right"/>
            </w:pPr>
            <w:r>
              <w:t xml:space="preserve">n</w:t>
            </w:r>
          </w:p>
        </w:tc>
      </w:tr>
      <w:tr>
        <w:tc>
          <w:tcPr/>
          <w:p>
            <w:pPr>
              <w:pStyle w:val="Compact"/>
              <w:jc w:val="left"/>
            </w:pPr>
            <w:r>
              <w:t xml:space="preserve">JanFeb</w:t>
            </w:r>
          </w:p>
        </w:tc>
        <w:tc>
          <w:tcPr/>
          <w:p>
            <w:pPr>
              <w:pStyle w:val="Compact"/>
              <w:jc w:val="left"/>
            </w:pPr>
            <w:r>
              <w:t xml:space="preserve">MarMay</w:t>
            </w:r>
          </w:p>
        </w:tc>
        <w:tc>
          <w:tcPr/>
          <w:p>
            <w:pPr>
              <w:pStyle w:val="Compact"/>
              <w:jc w:val="right"/>
            </w:pPr>
            <w:r>
              <w:t xml:space="preserve">0.003</w:t>
            </w:r>
          </w:p>
        </w:tc>
        <w:tc>
          <w:tcPr/>
          <w:p>
            <w:pPr>
              <w:pStyle w:val="Compact"/>
              <w:jc w:val="right"/>
            </w:pPr>
            <w:r>
              <w:t xml:space="preserve">0.9728</w:t>
            </w:r>
          </w:p>
        </w:tc>
        <w:tc>
          <w:tcPr/>
          <w:p>
            <w:pPr>
              <w:pStyle w:val="Compact"/>
              <w:jc w:val="right"/>
            </w:pPr>
            <w:r>
              <w:t xml:space="preserve">-0.180</w:t>
            </w:r>
          </w:p>
        </w:tc>
        <w:tc>
          <w:tcPr/>
          <w:p>
            <w:pPr>
              <w:pStyle w:val="Compact"/>
              <w:jc w:val="right"/>
            </w:pPr>
            <w:r>
              <w:t xml:space="preserve">0.186</w:t>
            </w:r>
          </w:p>
        </w:tc>
        <w:tc>
          <w:tcPr/>
          <w:p>
            <w:pPr>
              <w:pStyle w:val="Compact"/>
              <w:jc w:val="right"/>
            </w:pPr>
            <w:r>
              <w:t xml:space="preserve">0.014</w:t>
            </w:r>
          </w:p>
        </w:tc>
        <w:tc>
          <w:tcPr/>
          <w:p>
            <w:pPr>
              <w:pStyle w:val="Compact"/>
              <w:jc w:val="right"/>
            </w:pPr>
            <w:r>
              <w:t xml:space="preserve">0.8782</w:t>
            </w:r>
          </w:p>
        </w:tc>
        <w:tc>
          <w:tcPr/>
          <w:p>
            <w:pPr>
              <w:pStyle w:val="Compact"/>
              <w:jc w:val="right"/>
            </w:pPr>
            <w:r>
              <w:t xml:space="preserve">115</w:t>
            </w:r>
          </w:p>
        </w:tc>
      </w:tr>
      <w:tr>
        <w:tc>
          <w:tcPr/>
          <w:p>
            <w:pPr>
              <w:pStyle w:val="Compact"/>
              <w:jc w:val="left"/>
            </w:pPr>
            <w:r>
              <w:t xml:space="preserve">JanFeb</w:t>
            </w:r>
          </w:p>
        </w:tc>
        <w:tc>
          <w:tcPr/>
          <w:p>
            <w:pPr>
              <w:pStyle w:val="Compact"/>
              <w:jc w:val="left"/>
            </w:pPr>
            <w:r>
              <w:t xml:space="preserve">JunSep</w:t>
            </w:r>
          </w:p>
        </w:tc>
        <w:tc>
          <w:tcPr/>
          <w:p>
            <w:pPr>
              <w:pStyle w:val="Compact"/>
              <w:jc w:val="right"/>
            </w:pPr>
            <w:r>
              <w:t xml:space="preserve">0.143</w:t>
            </w:r>
          </w:p>
        </w:tc>
        <w:tc>
          <w:tcPr/>
          <w:p>
            <w:pPr>
              <w:pStyle w:val="Compact"/>
              <w:jc w:val="right"/>
            </w:pPr>
            <w:r>
              <w:t xml:space="preserve">0.1281</w:t>
            </w:r>
          </w:p>
        </w:tc>
        <w:tc>
          <w:tcPr/>
          <w:p>
            <w:pPr>
              <w:pStyle w:val="Compact"/>
              <w:jc w:val="right"/>
            </w:pPr>
            <w:r>
              <w:t xml:space="preserve">-0.041</w:t>
            </w:r>
          </w:p>
        </w:tc>
        <w:tc>
          <w:tcPr/>
          <w:p>
            <w:pPr>
              <w:pStyle w:val="Compact"/>
              <w:jc w:val="right"/>
            </w:pPr>
            <w:r>
              <w:t xml:space="preserve">0.318</w:t>
            </w:r>
          </w:p>
        </w:tc>
        <w:tc>
          <w:tcPr/>
          <w:p>
            <w:pPr>
              <w:pStyle w:val="Compact"/>
              <w:jc w:val="right"/>
            </w:pPr>
            <w:r>
              <w:t xml:space="preserve">0.130</w:t>
            </w:r>
          </w:p>
        </w:tc>
        <w:tc>
          <w:tcPr/>
          <w:p>
            <w:pPr>
              <w:pStyle w:val="Compact"/>
              <w:jc w:val="right"/>
            </w:pPr>
            <w:r>
              <w:t xml:space="preserve">0.1677</w:t>
            </w:r>
          </w:p>
        </w:tc>
        <w:tc>
          <w:tcPr/>
          <w:p>
            <w:pPr>
              <w:pStyle w:val="Compact"/>
              <w:jc w:val="right"/>
            </w:pPr>
            <w:r>
              <w:t xml:space="preserve">115</w:t>
            </w:r>
          </w:p>
        </w:tc>
      </w:tr>
      <w:tr>
        <w:tc>
          <w:tcPr/>
          <w:p>
            <w:pPr>
              <w:pStyle w:val="Compact"/>
              <w:jc w:val="left"/>
            </w:pPr>
            <w:r>
              <w:t xml:space="preserve">JanFeb</w:t>
            </w:r>
          </w:p>
        </w:tc>
        <w:tc>
          <w:tcPr/>
          <w:p>
            <w:pPr>
              <w:pStyle w:val="Compact"/>
              <w:jc w:val="left"/>
            </w:pPr>
            <w:r>
              <w:t xml:space="preserve">OctDec</w:t>
            </w:r>
          </w:p>
        </w:tc>
        <w:tc>
          <w:tcPr/>
          <w:p>
            <w:pPr>
              <w:pStyle w:val="Compact"/>
              <w:jc w:val="right"/>
            </w:pPr>
            <w:r>
              <w:t xml:space="preserve">-0.060</w:t>
            </w:r>
          </w:p>
        </w:tc>
        <w:tc>
          <w:tcPr/>
          <w:p>
            <w:pPr>
              <w:pStyle w:val="Compact"/>
              <w:jc w:val="right"/>
            </w:pPr>
            <w:r>
              <w:t xml:space="preserve">0.5261</w:t>
            </w:r>
          </w:p>
        </w:tc>
        <w:tc>
          <w:tcPr/>
          <w:p>
            <w:pPr>
              <w:pStyle w:val="Compact"/>
              <w:jc w:val="right"/>
            </w:pPr>
            <w:r>
              <w:t xml:space="preserve">-0.240</w:t>
            </w:r>
          </w:p>
        </w:tc>
        <w:tc>
          <w:tcPr/>
          <w:p>
            <w:pPr>
              <w:pStyle w:val="Compact"/>
              <w:jc w:val="right"/>
            </w:pPr>
            <w:r>
              <w:t xml:space="preserve">0.125</w:t>
            </w:r>
          </w:p>
        </w:tc>
        <w:tc>
          <w:tcPr/>
          <w:p>
            <w:pPr>
              <w:pStyle w:val="Compact"/>
              <w:jc w:val="right"/>
            </w:pPr>
            <w:r>
              <w:t xml:space="preserve">-0.055</w:t>
            </w:r>
          </w:p>
        </w:tc>
        <w:tc>
          <w:tcPr/>
          <w:p>
            <w:pPr>
              <w:pStyle w:val="Compact"/>
              <w:jc w:val="right"/>
            </w:pPr>
            <w:r>
              <w:t xml:space="preserve">0.5618</w:t>
            </w:r>
          </w:p>
        </w:tc>
        <w:tc>
          <w:tcPr/>
          <w:p>
            <w:pPr>
              <w:pStyle w:val="Compact"/>
              <w:jc w:val="right"/>
            </w:pPr>
            <w:r>
              <w:t xml:space="preserve">115</w:t>
            </w:r>
          </w:p>
        </w:tc>
      </w:tr>
      <w:tr>
        <w:tc>
          <w:tcPr/>
          <w:p>
            <w:pPr>
              <w:pStyle w:val="Compact"/>
              <w:jc w:val="left"/>
            </w:pPr>
            <w:r>
              <w:t xml:space="preserve">MarMay</w:t>
            </w:r>
          </w:p>
        </w:tc>
        <w:tc>
          <w:tcPr/>
          <w:p>
            <w:pPr>
              <w:pStyle w:val="Compact"/>
              <w:jc w:val="left"/>
            </w:pPr>
            <w:r>
              <w:t xml:space="preserve">JunSep</w:t>
            </w:r>
          </w:p>
        </w:tc>
        <w:tc>
          <w:tcPr/>
          <w:p>
            <w:pPr>
              <w:pStyle w:val="Compact"/>
              <w:jc w:val="right"/>
            </w:pPr>
            <w:r>
              <w:t xml:space="preserve">0.104</w:t>
            </w:r>
          </w:p>
        </w:tc>
        <w:tc>
          <w:tcPr/>
          <w:p>
            <w:pPr>
              <w:pStyle w:val="Compact"/>
              <w:jc w:val="right"/>
            </w:pPr>
            <w:r>
              <w:t xml:space="preserve">0.2671</w:t>
            </w:r>
          </w:p>
        </w:tc>
        <w:tc>
          <w:tcPr/>
          <w:p>
            <w:pPr>
              <w:pStyle w:val="Compact"/>
              <w:jc w:val="right"/>
            </w:pPr>
            <w:r>
              <w:t xml:space="preserve">-0.080</w:t>
            </w:r>
          </w:p>
        </w:tc>
        <w:tc>
          <w:tcPr/>
          <w:p>
            <w:pPr>
              <w:pStyle w:val="Compact"/>
              <w:jc w:val="right"/>
            </w:pPr>
            <w:r>
              <w:t xml:space="preserve">0.282</w:t>
            </w:r>
          </w:p>
        </w:tc>
        <w:tc>
          <w:tcPr/>
          <w:p>
            <w:pPr>
              <w:pStyle w:val="Compact"/>
              <w:jc w:val="right"/>
            </w:pPr>
            <w:r>
              <w:t xml:space="preserve">0.082</w:t>
            </w:r>
          </w:p>
        </w:tc>
        <w:tc>
          <w:tcPr/>
          <w:p>
            <w:pPr>
              <w:pStyle w:val="Compact"/>
              <w:jc w:val="right"/>
            </w:pPr>
            <w:r>
              <w:t xml:space="preserve">0.3829</w:t>
            </w:r>
          </w:p>
        </w:tc>
        <w:tc>
          <w:tcPr/>
          <w:p>
            <w:pPr>
              <w:pStyle w:val="Compact"/>
              <w:jc w:val="right"/>
            </w:pPr>
            <w:r>
              <w:t xml:space="preserve">115</w:t>
            </w:r>
          </w:p>
        </w:tc>
      </w:tr>
      <w:tr>
        <w:tc>
          <w:tcPr/>
          <w:p>
            <w:pPr>
              <w:pStyle w:val="Compact"/>
              <w:jc w:val="left"/>
            </w:pPr>
            <w:r>
              <w:t xml:space="preserve">MarMay</w:t>
            </w:r>
          </w:p>
        </w:tc>
        <w:tc>
          <w:tcPr/>
          <w:p>
            <w:pPr>
              <w:pStyle w:val="Compact"/>
              <w:jc w:val="left"/>
            </w:pPr>
            <w:r>
              <w:t xml:space="preserve">OctDec</w:t>
            </w:r>
          </w:p>
        </w:tc>
        <w:tc>
          <w:tcPr/>
          <w:p>
            <w:pPr>
              <w:pStyle w:val="Compact"/>
              <w:jc w:val="right"/>
            </w:pPr>
            <w:r>
              <w:t xml:space="preserve">0.074</w:t>
            </w:r>
          </w:p>
        </w:tc>
        <w:tc>
          <w:tcPr/>
          <w:p>
            <w:pPr>
              <w:pStyle w:val="Compact"/>
              <w:jc w:val="right"/>
            </w:pPr>
            <w:r>
              <w:t xml:space="preserve">0.4327</w:t>
            </w:r>
          </w:p>
        </w:tc>
        <w:tc>
          <w:tcPr/>
          <w:p>
            <w:pPr>
              <w:pStyle w:val="Compact"/>
              <w:jc w:val="right"/>
            </w:pPr>
            <w:r>
              <w:t xml:space="preserve">-0.111</w:t>
            </w:r>
          </w:p>
        </w:tc>
        <w:tc>
          <w:tcPr/>
          <w:p>
            <w:pPr>
              <w:pStyle w:val="Compact"/>
              <w:jc w:val="right"/>
            </w:pPr>
            <w:r>
              <w:t xml:space="preserve">0.254</w:t>
            </w:r>
          </w:p>
        </w:tc>
        <w:tc>
          <w:tcPr/>
          <w:p>
            <w:pPr>
              <w:pStyle w:val="Compact"/>
              <w:jc w:val="right"/>
            </w:pPr>
            <w:r>
              <w:t xml:space="preserve">0.068</w:t>
            </w:r>
          </w:p>
        </w:tc>
        <w:tc>
          <w:tcPr/>
          <w:p>
            <w:pPr>
              <w:pStyle w:val="Compact"/>
              <w:jc w:val="right"/>
            </w:pPr>
            <w:r>
              <w:t xml:space="preserve">0.4711</w:t>
            </w:r>
          </w:p>
        </w:tc>
        <w:tc>
          <w:tcPr/>
          <w:p>
            <w:pPr>
              <w:pStyle w:val="Compact"/>
              <w:jc w:val="right"/>
            </w:pPr>
            <w:r>
              <w:t xml:space="preserve">115</w:t>
            </w:r>
          </w:p>
        </w:tc>
      </w:tr>
      <w:tr>
        <w:tc>
          <w:tcPr/>
          <w:p>
            <w:pPr>
              <w:pStyle w:val="Compact"/>
              <w:jc w:val="left"/>
            </w:pPr>
            <w:r>
              <w:t xml:space="preserve">JunSep</w:t>
            </w:r>
          </w:p>
        </w:tc>
        <w:tc>
          <w:tcPr/>
          <w:p>
            <w:pPr>
              <w:pStyle w:val="Compact"/>
              <w:jc w:val="left"/>
            </w:pPr>
            <w:r>
              <w:t xml:space="preserve">OctDec</w:t>
            </w:r>
          </w:p>
        </w:tc>
        <w:tc>
          <w:tcPr/>
          <w:p>
            <w:pPr>
              <w:pStyle w:val="Compact"/>
              <w:jc w:val="right"/>
            </w:pPr>
            <w:r>
              <w:t xml:space="preserve">0.287</w:t>
            </w:r>
          </w:p>
        </w:tc>
        <w:tc>
          <w:tcPr/>
          <w:p>
            <w:pPr>
              <w:pStyle w:val="Compact"/>
              <w:jc w:val="right"/>
            </w:pPr>
            <w:r>
              <w:t xml:space="preserve">0.0019</w:t>
            </w:r>
          </w:p>
        </w:tc>
        <w:tc>
          <w:tcPr/>
          <w:p>
            <w:pPr>
              <w:pStyle w:val="Compact"/>
              <w:jc w:val="right"/>
            </w:pPr>
            <w:r>
              <w:t xml:space="preserve">0.109</w:t>
            </w:r>
          </w:p>
        </w:tc>
        <w:tc>
          <w:tcPr/>
          <w:p>
            <w:pPr>
              <w:pStyle w:val="Compact"/>
              <w:jc w:val="right"/>
            </w:pPr>
            <w:r>
              <w:t xml:space="preserve">0.446</w:t>
            </w:r>
          </w:p>
        </w:tc>
        <w:tc>
          <w:tcPr/>
          <w:p>
            <w:pPr>
              <w:pStyle w:val="Compact"/>
              <w:jc w:val="right"/>
            </w:pPr>
            <w:r>
              <w:t xml:space="preserve">0.224</w:t>
            </w:r>
          </w:p>
        </w:tc>
        <w:tc>
          <w:tcPr/>
          <w:p>
            <w:pPr>
              <w:pStyle w:val="Compact"/>
              <w:jc w:val="right"/>
            </w:pPr>
            <w:r>
              <w:t xml:space="preserve">0.0161</w:t>
            </w:r>
          </w:p>
        </w:tc>
        <w:tc>
          <w:tcPr/>
          <w:p>
            <w:pPr>
              <w:pStyle w:val="Compact"/>
              <w:jc w:val="right"/>
            </w:pPr>
            <w:r>
              <w:t xml:space="preserve">115</w:t>
            </w:r>
          </w:p>
        </w:tc>
      </w:tr>
    </w:tbl>
    <w:p>
      <w:pPr>
        <w:pStyle w:val="CaptionedFigure"/>
      </w:pPr>
      <w:r>
        <w:drawing>
          <wp:inline>
            <wp:extent cx="4907280" cy="3271520"/>
            <wp:effectExtent b="0" l="0" r="0" t="0"/>
            <wp:docPr descr="Figure 11. Pearson correlation heatmap of the four IMD seasonal totals, all-India, 1901–2015." title="" id="64" name="Picture"/>
            <a:graphic>
              <a:graphicData uri="http://schemas.openxmlformats.org/drawingml/2006/picture">
                <pic:pic>
                  <pic:nvPicPr>
                    <pic:cNvPr descr="../graphs/seasonal_correlation_heatmap.png" id="65" name="Picture"/>
                    <pic:cNvPicPr>
                      <a:picLocks noChangeArrowheads="1" noChangeAspect="1"/>
                    </pic:cNvPicPr>
                  </pic:nvPicPr>
                  <pic:blipFill>
                    <a:blip r:embed="rId63"/>
                    <a:stretch>
                      <a:fillRect/>
                    </a:stretch>
                  </pic:blipFill>
                  <pic:spPr bwMode="auto">
                    <a:xfrm>
                      <a:off x="0" y="0"/>
                      <a:ext cx="4907280" cy="3271520"/>
                    </a:xfrm>
                    <a:prstGeom prst="rect">
                      <a:avLst/>
                    </a:prstGeom>
                    <a:noFill/>
                    <a:ln w="9525">
                      <a:noFill/>
                      <a:headEnd/>
                      <a:tailEnd/>
                    </a:ln>
                  </pic:spPr>
                </pic:pic>
              </a:graphicData>
            </a:graphic>
          </wp:inline>
        </w:drawing>
      </w:r>
    </w:p>
    <w:p>
      <w:pPr>
        <w:pStyle w:val="ImageCaption"/>
      </w:pPr>
      <w:r>
        <w:t xml:space="preserve">Figure 11. Pearson correlation heatmap of the four IMD seasonal totals, all-India, 1901–2015.</w:t>
      </w:r>
    </w:p>
    <w:p>
      <w:pPr>
        <w:pStyle w:val="CaptionedFigure"/>
      </w:pPr>
      <w:r>
        <w:drawing>
          <wp:inline>
            <wp:extent cx="4907280" cy="3271520"/>
            <wp:effectExtent b="0" l="0" r="0" t="0"/>
            <wp:docPr descr="Figure 12. January–February versus June–September rainfall (mm). The line is a descriptive OLS fit, not a causal model." title="" id="67" name="Picture"/>
            <a:graphic>
              <a:graphicData uri="http://schemas.openxmlformats.org/drawingml/2006/picture">
                <pic:pic>
                  <pic:nvPicPr>
                    <pic:cNvPr descr="../graphs/scatter_winter_vs_monsoon.png" id="68" name="Picture"/>
                    <pic:cNvPicPr>
                      <a:picLocks noChangeArrowheads="1" noChangeAspect="1"/>
                    </pic:cNvPicPr>
                  </pic:nvPicPr>
                  <pic:blipFill>
                    <a:blip r:embed="rId66"/>
                    <a:stretch>
                      <a:fillRect/>
                    </a:stretch>
                  </pic:blipFill>
                  <pic:spPr bwMode="auto">
                    <a:xfrm>
                      <a:off x="0" y="0"/>
                      <a:ext cx="4907280" cy="3271520"/>
                    </a:xfrm>
                    <a:prstGeom prst="rect">
                      <a:avLst/>
                    </a:prstGeom>
                    <a:noFill/>
                    <a:ln w="9525">
                      <a:noFill/>
                      <a:headEnd/>
                      <a:tailEnd/>
                    </a:ln>
                  </pic:spPr>
                </pic:pic>
              </a:graphicData>
            </a:graphic>
          </wp:inline>
        </w:drawing>
      </w:r>
    </w:p>
    <w:p>
      <w:pPr>
        <w:pStyle w:val="ImageCaption"/>
      </w:pPr>
      <w:r>
        <w:t xml:space="preserve">Figure 12. January–February versus June–September rainfall (mm). The line is a descriptive OLS fit, not a causal model.</w:t>
      </w:r>
    </w:p>
    <w:p>
      <w:pPr>
        <w:pStyle w:val="BodyText"/>
      </w:pPr>
      <w:r>
        <w:t xml:space="preserve">Winter versus monsoon: Pearson</w:t>
      </w:r>
      <w:r>
        <w:t xml:space="preserve"> </w:t>
      </w:r>
      <m:oMath>
        <m:r>
          <m:t>r</m:t>
        </m:r>
        <m:r>
          <m:rPr>
            <m:sty m:val="p"/>
          </m:rPr>
          <m:t>=</m:t>
        </m:r>
      </m:oMath>
      <w:r>
        <w:t xml:space="preserve"> </w:t>
      </w:r>
      <w:r>
        <w:t xml:space="preserve">0.143,</w:t>
      </w:r>
      <w:r>
        <w:t xml:space="preserve"> </w:t>
      </w:r>
      <m:oMath>
        <m:r>
          <m:t>p</m:t>
        </m:r>
        <m:r>
          <m:rPr>
            <m:sty m:val="p"/>
          </m:rPr>
          <m:t>=</m:t>
        </m:r>
      </m:oMath>
      <w:r>
        <w:t xml:space="preserve"> </w:t>
      </w:r>
      <w:r>
        <w:t xml:space="preserve">0.1281, 95% CI</w:t>
      </w:r>
      <w:r>
        <w:t xml:space="preserve"> </w:t>
      </w:r>
      <m:oMath>
        <m:r>
          <m:rPr>
            <m:sty m:val="p"/>
          </m:rPr>
          <m:t>−</m:t>
        </m:r>
        <m:r>
          <m:t>0.041</m:t>
        </m:r>
      </m:oMath>
      <w:r>
        <w:t xml:space="preserve"> </w:t>
      </w:r>
      <w:r>
        <w:t xml:space="preserve">to</w:t>
      </w:r>
      <w:r>
        <w:t xml:space="preserve"> </w:t>
      </w:r>
      <m:oMath>
        <m:r>
          <m:t>0.318</m:t>
        </m:r>
      </m:oMath>
      <w:r>
        <w:t xml:space="preserve">. The interval includes 0; there is no significant linear association in this record. Spearman</w:t>
      </w:r>
      <w:r>
        <w:t xml:space="preserve"> </w:t>
      </w:r>
      <m:oMath>
        <m:r>
          <m:t>ρ</m:t>
        </m:r>
        <m:r>
          <m:rPr>
            <m:sty m:val="p"/>
          </m:rPr>
          <m:t>=</m:t>
        </m:r>
      </m:oMath>
      <w:r>
        <w:t xml:space="preserve"> </w:t>
      </w:r>
      <w:r>
        <w:t xml:space="preserve">0.130,</w:t>
      </w:r>
      <w:r>
        <w:t xml:space="preserve"> </w:t>
      </w:r>
      <m:oMath>
        <m:r>
          <m:t>p</m:t>
        </m:r>
        <m:r>
          <m:rPr>
            <m:sty m:val="p"/>
          </m:rPr>
          <m:t>=</m:t>
        </m:r>
      </m:oMath>
      <w:r>
        <w:t xml:space="preserve"> </w:t>
      </w:r>
      <w:r>
        <w:t xml:space="preserve">0.1677.</w:t>
      </w:r>
    </w:p>
    <w:p>
      <w:pPr>
        <w:pStyle w:val="BodyText"/>
      </w:pPr>
      <w:r>
        <w:t xml:space="preserve">The only clearly significant seasonal pair is June–September with October–December:</w:t>
      </w:r>
      <w:r>
        <w:t xml:space="preserve"> </w:t>
      </w:r>
      <m:oMath>
        <m:r>
          <m:t>r</m:t>
        </m:r>
        <m:r>
          <m:rPr>
            <m:sty m:val="p"/>
          </m:rPr>
          <m:t>=</m:t>
        </m:r>
      </m:oMath>
      <w:r>
        <w:t xml:space="preserve"> </w:t>
      </w:r>
      <w:r>
        <w:t xml:space="preserve">0.287,</w:t>
      </w:r>
      <w:r>
        <w:t xml:space="preserve"> </w:t>
      </w:r>
      <m:oMath>
        <m:r>
          <m:t>p</m:t>
        </m:r>
        <m:r>
          <m:rPr>
            <m:sty m:val="p"/>
          </m:rPr>
          <m:t>=</m:t>
        </m:r>
      </m:oMath>
      <w:r>
        <w:t xml:space="preserve"> </w:t>
      </w:r>
      <w:r>
        <w:t xml:space="preserve">0.0019. That is still association (wet years can be wet in both seasons), not a claim that the monsoon</w:t>
      </w:r>
      <w:r>
        <w:t xml:space="preserve"> </w:t>
      </w:r>
      <w:r>
        <w:rPr>
          <w:i/>
          <w:iCs/>
        </w:rPr>
        <w:t xml:space="preserve">causes</w:t>
      </w:r>
      <w:r>
        <w:t xml:space="preserve"> </w:t>
      </w:r>
      <w:r>
        <w:t xml:space="preserve">post-monsoon rain.</w:t>
      </w:r>
    </w:p>
    <w:p>
      <w:pPr>
        <w:pStyle w:val="BodyText"/>
      </w:pPr>
      <w:r>
        <w:t xml:space="preserve">Year versus annual rainfall:</w:t>
      </w:r>
      <w:r>
        <w:t xml:space="preserve"> </w:t>
      </w:r>
      <m:oMath>
        <m:r>
          <m:t>r</m:t>
        </m:r>
        <m:r>
          <m:rPr>
            <m:sty m:val="p"/>
          </m:rPr>
          <m:t>=</m:t>
        </m:r>
      </m:oMath>
      <w:r>
        <w:t xml:space="preserve"> </w:t>
      </w:r>
      <w:r>
        <w:t xml:space="preserve">-0.089,</w:t>
      </w:r>
      <w:r>
        <w:t xml:space="preserve"> </w:t>
      </w:r>
      <m:oMath>
        <m:r>
          <m:t>p</m:t>
        </m:r>
        <m:r>
          <m:rPr>
            <m:sty m:val="p"/>
          </m:rPr>
          <m:t>=</m:t>
        </m:r>
      </m:oMath>
      <w:r>
        <w:t xml:space="preserve"> </w:t>
      </w:r>
      <w:r>
        <w:t xml:space="preserve">0.3423. No significant linear time association; see Section 18.</w:t>
      </w:r>
    </w:p>
    <w:bookmarkEnd w:id="69"/>
    <w:bookmarkStart w:id="78" w:name="simple-and-multiple-regression"/>
    <w:p>
      <w:pPr>
        <w:pStyle w:val="Heading1"/>
      </w:pPr>
      <w:r>
        <w:t xml:space="preserve">Simple and multiple regression</w:t>
      </w:r>
    </w:p>
    <w:bookmarkStart w:id="76" w:name="model-1.-annual-rainfall-on-year"/>
    <w:p>
      <w:pPr>
        <w:pStyle w:val="Heading2"/>
      </w:pPr>
      <w:r>
        <w:t xml:space="preserve">Model 1. Annual rainfall on year</w:t>
      </w:r>
    </w:p>
    <w:p>
      <w:pPr>
        <w:pStyle w:val="FirstParagraph"/>
      </w:pPr>
      <m:oMathPara>
        <m:oMathParaPr>
          <m:jc m:val="center"/>
        </m:oMathParaPr>
        <m:oMath>
          <m:sSub>
            <m:e>
              <m:r>
                <m:rPr>
                  <m:sty m:val="p"/>
                </m:rPr>
                <m:t>A</m:t>
              </m:r>
              <m:r>
                <m:rPr>
                  <m:sty m:val="p"/>
                </m:rPr>
                <m:t>N</m:t>
              </m:r>
              <m:r>
                <m:rPr>
                  <m:sty m:val="p"/>
                </m:rPr>
                <m:t>N</m:t>
              </m:r>
              <m:r>
                <m:rPr>
                  <m:sty m:val="p"/>
                </m:rPr>
                <m:t>U</m:t>
              </m:r>
              <m:r>
                <m:rPr>
                  <m:sty m:val="p"/>
                </m:rPr>
                <m:t>A</m:t>
              </m:r>
              <m:r>
                <m:rPr>
                  <m:sty m:val="p"/>
                </m:rPr>
                <m:t>L</m:t>
              </m:r>
            </m:e>
            <m:sub>
              <m:r>
                <m:t>i</m:t>
              </m:r>
            </m:sub>
          </m:sSub>
          <m:r>
            <m:rPr>
              <m:sty m:val="p"/>
            </m:rPr>
            <m:t>=</m:t>
          </m:r>
          <m:sSub>
            <m:e>
              <m:r>
                <m:t>β</m:t>
              </m:r>
            </m:e>
            <m:sub>
              <m:r>
                <m:t>0</m:t>
              </m:r>
            </m:sub>
          </m:sSub>
          <m:r>
            <m:rPr>
              <m:sty m:val="p"/>
            </m:rPr>
            <m:t>+</m:t>
          </m:r>
          <m:sSub>
            <m:e>
              <m:r>
                <m:t>β</m:t>
              </m:r>
            </m:e>
            <m:sub>
              <m:r>
                <m:t>1</m:t>
              </m:r>
            </m:sub>
          </m:sSub>
          <m:r>
            <m:t> </m:t>
          </m:r>
          <m:sSub>
            <m:e>
              <m:r>
                <m:rPr>
                  <m:sty m:val="p"/>
                </m:rPr>
                <m:t>Y</m:t>
              </m:r>
              <m:r>
                <m:rPr>
                  <m:sty m:val="p"/>
                </m:rPr>
                <m:t>E</m:t>
              </m:r>
              <m:r>
                <m:rPr>
                  <m:sty m:val="p"/>
                </m:rPr>
                <m:t>A</m:t>
              </m:r>
              <m:r>
                <m:rPr>
                  <m:sty m:val="p"/>
                </m:rPr>
                <m:t>R</m:t>
              </m:r>
            </m:e>
            <m:sub>
              <m:r>
                <m:t>i</m:t>
              </m:r>
            </m:sub>
          </m:sSub>
          <m:r>
            <m:rPr>
              <m:sty m:val="p"/>
            </m:rPr>
            <m:t>+</m:t>
          </m:r>
          <m:sSub>
            <m:e>
              <m:r>
                <m:t>ε</m:t>
              </m:r>
            </m:e>
            <m:sub>
              <m:r>
                <m:t>i</m:t>
              </m:r>
            </m:sub>
          </m:sSub>
          <m:r>
            <m:rPr>
              <m:sty m:val="p"/>
            </m:rPr>
            <m:t>.</m:t>
          </m:r>
        </m:oMath>
      </m:oMathPara>
    </w:p>
    <w:p>
      <w:pPr>
        <w:pStyle w:val="FirstParagraph"/>
      </w:pPr>
      <w:r>
        <w:t xml:space="preserve">Fitted equation (OLS):</w:t>
      </w:r>
    </w:p>
    <w:p>
      <w:pPr>
        <w:pStyle w:val="BodyText"/>
      </w:pPr>
      <m:oMathPara>
        <m:oMathParaPr>
          <m:jc m:val="center"/>
        </m:oMathParaPr>
        <m:oMath>
          <m:acc>
            <m:accPr>
              <m:chr m:val="̂"/>
            </m:accPr>
            <m:e>
              <m:r>
                <m:rPr>
                  <m:sty m:val="p"/>
                </m:rPr>
                <m:t>A</m:t>
              </m:r>
              <m:r>
                <m:rPr>
                  <m:sty m:val="p"/>
                </m:rPr>
                <m:t>N</m:t>
              </m:r>
              <m:r>
                <m:rPr>
                  <m:sty m:val="p"/>
                </m:rPr>
                <m:t>N</m:t>
              </m:r>
              <m:r>
                <m:rPr>
                  <m:sty m:val="p"/>
                </m:rPr>
                <m:t>U</m:t>
              </m:r>
              <m:r>
                <m:rPr>
                  <m:sty m:val="p"/>
                </m:rPr>
                <m:t>A</m:t>
              </m:r>
              <m:r>
                <m:rPr>
                  <m:sty m:val="p"/>
                </m:rPr>
                <m:t>L</m:t>
              </m:r>
            </m:e>
          </m:acc>
          <m:r>
            <m:rPr>
              <m:sty m:val="p"/>
            </m:rPr>
            <m:t>=</m:t>
          </m:r>
          <m:r>
            <m:t>1762.9</m:t>
          </m:r>
          <m:r>
            <m:rPr>
              <m:sty m:val="p"/>
            </m:rPr>
            <m:t>−</m:t>
          </m:r>
          <m:r>
            <m:t>0.2967</m:t>
          </m:r>
          <m:r>
            <m:rPr>
              <m:sty m:val="p"/>
            </m:rPr>
            <m:t>×</m:t>
          </m:r>
          <m:r>
            <m:rPr>
              <m:sty m:val="p"/>
            </m:rPr>
            <m:t>Y</m:t>
          </m:r>
          <m:r>
            <m:rPr>
              <m:sty m:val="p"/>
            </m:rPr>
            <m:t>E</m:t>
          </m:r>
          <m:r>
            <m:rPr>
              <m:sty m:val="p"/>
            </m:rPr>
            <m:t>A</m:t>
          </m:r>
          <m:r>
            <m:rPr>
              <m:sty m:val="p"/>
            </m:rPr>
            <m:t>R</m:t>
          </m:r>
          <m:r>
            <m:rPr>
              <m:sty m:val="p"/>
            </m:rPr>
            <m:t>.</m:t>
          </m:r>
        </m:oMath>
      </m:oMathPara>
    </w:p>
    <w:p>
      <w:pPr>
        <w:pStyle w:val="FirstParagraph"/>
      </w:pPr>
      <w:r>
        <w:t xml:space="preserve">Slope</w:t>
      </w:r>
      <w:r>
        <w:t xml:space="preserve"> </w:t>
      </w:r>
      <m:oMath>
        <m:sSub>
          <m:e>
            <m:acc>
              <m:accPr>
                <m:chr m:val="̂"/>
              </m:accPr>
              <m:e>
                <m:r>
                  <m:t>β</m:t>
                </m:r>
              </m:e>
            </m:acc>
          </m:e>
          <m:sub>
            <m:r>
              <m:t>1</m:t>
            </m:r>
          </m:sub>
        </m:sSub>
        <m:r>
          <m:rPr>
            <m:sty m:val="p"/>
          </m:rPr>
          <m:t>=</m:t>
        </m:r>
      </m:oMath>
      <w:r>
        <w:t xml:space="preserve"> </w:t>
      </w:r>
      <w:r>
        <w:t xml:space="preserve">-0.2967 mm year</w:t>
      </w:r>
      <m:oMath>
        <m:sSup>
          <m:e>
            <m:r>
              <m:t>​</m:t>
            </m:r>
          </m:e>
          <m:sup>
            <m:r>
              <m:rPr>
                <m:sty m:val="p"/>
              </m:rPr>
              <m:t>−</m:t>
            </m:r>
            <m:r>
              <m:t>1</m:t>
            </m:r>
          </m:sup>
        </m:sSup>
      </m:oMath>
      <w:r>
        <w:t xml:space="preserve">, SE 0.3110,</w:t>
      </w:r>
      <w:r>
        <w:t xml:space="preserve"> </w:t>
      </w:r>
      <m:oMath>
        <m:r>
          <m:t>t</m:t>
        </m:r>
        <m:r>
          <m:rPr>
            <m:sty m:val="p"/>
          </m:rPr>
          <m:t>=</m:t>
        </m:r>
      </m:oMath>
      <w:r>
        <w:t xml:space="preserve"> </w:t>
      </w:r>
      <w:r>
        <w:t xml:space="preserve">-0.954,</w:t>
      </w:r>
      <w:r>
        <w:t xml:space="preserve"> </w:t>
      </w:r>
      <m:oMath>
        <m:r>
          <m:t>p</m:t>
        </m:r>
        <m:r>
          <m:rPr>
            <m:sty m:val="p"/>
          </m:rPr>
          <m:t>=</m:t>
        </m:r>
      </m:oMath>
      <w:r>
        <w:t xml:space="preserve"> </w:t>
      </w:r>
      <w:r>
        <w:t xml:space="preserve">0.3423, 95% CI -0.9129 to 0.3196 mm year</w:t>
      </w:r>
      <m:oMath>
        <m:sSup>
          <m:e>
            <m:r>
              <m:t>​</m:t>
            </m:r>
          </m:e>
          <m:sup>
            <m:r>
              <m:rPr>
                <m:sty m:val="p"/>
              </m:rPr>
              <m:t>−</m:t>
            </m:r>
            <m:r>
              <m:t>1</m:t>
            </m:r>
          </m:sup>
        </m:sSup>
      </m:oMath>
      <w:r>
        <w:t xml:space="preserve">.</w:t>
      </w:r>
    </w:p>
    <w:p>
      <w:pPr>
        <w:pStyle w:val="BodyText"/>
      </w:pPr>
      <m:oMath>
        <m:sSup>
          <m:e>
            <m:r>
              <m:t>R</m:t>
            </m:r>
          </m:e>
          <m:sup>
            <m:r>
              <m:t>2</m:t>
            </m:r>
          </m:sup>
        </m:sSup>
        <m:r>
          <m:rPr>
            <m:sty m:val="p"/>
          </m:rPr>
          <m:t>=</m:t>
        </m:r>
      </m:oMath>
      <w:r>
        <w:t xml:space="preserve"> </w:t>
      </w:r>
      <w:r>
        <w:t xml:space="preserve">0.0080 (adjusted</w:t>
      </w:r>
      <w:r>
        <w:t xml:space="preserve"> </w:t>
      </w:r>
      <m:oMath>
        <m:sSup>
          <m:e>
            <m:r>
              <m:t>R</m:t>
            </m:r>
          </m:e>
          <m:sup>
            <m:r>
              <m:t>2</m:t>
            </m:r>
          </m:sup>
        </m:sSup>
        <m:r>
          <m:rPr>
            <m:sty m:val="p"/>
          </m:rPr>
          <m:t>=</m:t>
        </m:r>
      </m:oMath>
      <w:r>
        <w:t xml:space="preserve"> </w:t>
      </w:r>
      <w:r>
        <w:t xml:space="preserve">-0.0008): year explains well under 1% of annual variance. Overall</w:t>
      </w:r>
      <w:r>
        <w:t xml:space="preserve"> </w:t>
      </w:r>
      <m:oMath>
        <m:r>
          <m:t>F</m:t>
        </m:r>
        <m:r>
          <m:rPr>
            <m:sty m:val="p"/>
          </m:rPr>
          <m:t>=</m:t>
        </m:r>
      </m:oMath>
      <w:r>
        <w:t xml:space="preserve"> </w:t>
      </w:r>
      <w:r>
        <w:t xml:space="preserve">0.910 on 1 and 113 df,</w:t>
      </w:r>
      <w:r>
        <w:t xml:space="preserve"> </w:t>
      </w:r>
      <m:oMath>
        <m:r>
          <m:t>p</m:t>
        </m:r>
        <m:r>
          <m:rPr>
            <m:sty m:val="p"/>
          </m:rPr>
          <m:t>=</m:t>
        </m:r>
      </m:oMath>
      <w:r>
        <w:t xml:space="preserve"> </w:t>
      </w:r>
      <w:r>
        <w:t xml:space="preserve">0.3423.</w:t>
      </w:r>
    </w:p>
    <w:p>
      <w:pPr>
        <w:pStyle w:val="BodyText"/>
      </w:pPr>
      <w:r>
        <w:rPr>
          <w:b/>
          <w:bCs/>
        </w:rPr>
        <w:t xml:space="preserve">Diagnostics.</w:t>
      </w:r>
      <w:r>
        <w:t xml:space="preserve"> </w:t>
      </w:r>
      <w:r>
        <w:t xml:space="preserve">Residual Shapiro–Wilk</w:t>
      </w:r>
      <w:r>
        <w:t xml:space="preserve"> </w:t>
      </w:r>
      <m:oMath>
        <m:r>
          <m:t>p</m:t>
        </m:r>
        <m:r>
          <m:rPr>
            <m:sty m:val="p"/>
          </m:rPr>
          <m:t>=</m:t>
        </m:r>
      </m:oMath>
      <w:r>
        <w:t xml:space="preserve"> </w:t>
      </w:r>
      <w:r>
        <w:t xml:space="preserve">0.8300; screen of</w:t>
      </w:r>
      <w:r>
        <w:t xml:space="preserve"> </w:t>
      </w:r>
      <m:oMath>
        <m:sSup>
          <m:e>
            <m:r>
              <m:t>e</m:t>
            </m:r>
          </m:e>
          <m:sup>
            <m:r>
              <m:t>2</m:t>
            </m:r>
          </m:sup>
        </m:sSup>
      </m:oMath>
      <w:r>
        <w:t xml:space="preserve"> </w:t>
      </w:r>
      <w:r>
        <w:t xml:space="preserve">on fitted values</w:t>
      </w:r>
      <w:r>
        <w:t xml:space="preserve"> </w:t>
      </w:r>
      <m:oMath>
        <m:r>
          <m:t>p</m:t>
        </m:r>
        <m:r>
          <m:rPr>
            <m:sty m:val="p"/>
          </m:rPr>
          <m:t>=</m:t>
        </m:r>
      </m:oMath>
      <w:r>
        <w:t xml:space="preserve"> </w:t>
      </w:r>
      <w:r>
        <w:t xml:space="preserve">0.2430; Durbin–Watson</w:t>
      </w:r>
      <w:r>
        <w:t xml:space="preserve"> </w:t>
      </w:r>
      <m:oMath>
        <m:r>
          <m:t>d</m:t>
        </m:r>
        <m:r>
          <m:rPr>
            <m:sty m:val="p"/>
          </m:rPr>
          <m:t>=</m:t>
        </m:r>
      </m:oMath>
      <w:r>
        <w:t xml:space="preserve"> </w:t>
      </w:r>
      <w:r>
        <w:t xml:space="preserve">1.742; lag-1 residual correlation</w:t>
      </w:r>
      <w:r>
        <w:t xml:space="preserve"> </w:t>
      </w:r>
      <m:oMath>
        <m:r>
          <m:t>p</m:t>
        </m:r>
        <m:r>
          <m:rPr>
            <m:sty m:val="p"/>
          </m:rPr>
          <m:t>=</m:t>
        </m:r>
      </m:oMath>
      <w:r>
        <w:t xml:space="preserve"> </w:t>
      </w:r>
      <w:r>
        <w:t xml:space="preserve">0.2098. Cook’s distance exceeds</w:t>
      </w:r>
      <w:r>
        <w:t xml:space="preserve"> </w:t>
      </w:r>
      <m:oMath>
        <m:r>
          <m:t>4</m:t>
        </m:r>
        <m:r>
          <m:rPr>
            <m:sty m:val="p"/>
          </m:rPr>
          <m:t>/</m:t>
        </m:r>
        <m:r>
          <m:t>n</m:t>
        </m:r>
      </m:oMath>
      <w:r>
        <w:t xml:space="preserve"> </w:t>
      </w:r>
      <w:r>
        <w:t xml:space="preserve">in 8 years; those years were</w:t>
      </w:r>
      <w:r>
        <w:t xml:space="preserve"> </w:t>
      </w:r>
      <w:r>
        <w:rPr>
          <w:b/>
          <w:bCs/>
        </w:rPr>
        <w:t xml:space="preserve">not</w:t>
      </w:r>
      <w:r>
        <w:t xml:space="preserve"> </w:t>
      </w:r>
      <w:r>
        <w:t xml:space="preserve">deleted. Residual lag-1 is not significant, but the ACF of the</w:t>
      </w:r>
      <w:r>
        <w:t xml:space="preserve"> </w:t>
      </w:r>
      <w:r>
        <w:rPr>
          <w:i/>
          <w:iCs/>
        </w:rPr>
        <w:t xml:space="preserve">series</w:t>
      </w:r>
      <w:r>
        <w:t xml:space="preserve"> </w:t>
      </w:r>
      <w:r>
        <w:t xml:space="preserve">(Section 18) still shows lag-2 structure, so OLS inference remains an approximation.</w:t>
      </w:r>
    </w:p>
    <w:p>
      <w:pPr>
        <w:pStyle w:val="CaptionedFigure"/>
      </w:pPr>
      <w:r>
        <w:drawing>
          <wp:inline>
            <wp:extent cx="4907280" cy="3271520"/>
            <wp:effectExtent b="0" l="0" r="0" t="0"/>
            <wp:docPr descr="Figure 13. All-India annual rainfall (mm) versus year with the OLS line. The line is a weak descriptive summary; R-squared is 0.008." title="" id="71" name="Picture"/>
            <a:graphic>
              <a:graphicData uri="http://schemas.openxmlformats.org/drawingml/2006/picture">
                <pic:pic>
                  <pic:nvPicPr>
                    <pic:cNvPr descr="../graphs/regression_annual_vs_year.png" id="72" name="Picture"/>
                    <pic:cNvPicPr>
                      <a:picLocks noChangeArrowheads="1" noChangeAspect="1"/>
                    </pic:cNvPicPr>
                  </pic:nvPicPr>
                  <pic:blipFill>
                    <a:blip r:embed="rId70"/>
                    <a:stretch>
                      <a:fillRect/>
                    </a:stretch>
                  </pic:blipFill>
                  <pic:spPr bwMode="auto">
                    <a:xfrm>
                      <a:off x="0" y="0"/>
                      <a:ext cx="4907280" cy="3271520"/>
                    </a:xfrm>
                    <a:prstGeom prst="rect">
                      <a:avLst/>
                    </a:prstGeom>
                    <a:noFill/>
                    <a:ln w="9525">
                      <a:noFill/>
                      <a:headEnd/>
                      <a:tailEnd/>
                    </a:ln>
                  </pic:spPr>
                </pic:pic>
              </a:graphicData>
            </a:graphic>
          </wp:inline>
        </w:drawing>
      </w:r>
    </w:p>
    <w:p>
      <w:pPr>
        <w:pStyle w:val="ImageCaption"/>
      </w:pPr>
      <w:r>
        <w:t xml:space="preserve">Figure 13. All-India annual rainfall (mm) versus year with the OLS line. The line is a weak descriptive summary; R-squared is 0.008.</w:t>
      </w:r>
    </w:p>
    <w:p>
      <w:pPr>
        <w:pStyle w:val="CaptionedFigure"/>
      </w:pPr>
      <w:r>
        <w:drawing>
          <wp:inline>
            <wp:extent cx="4907280" cy="3271520"/>
            <wp:effectExtent b="0" l="0" r="0" t="0"/>
            <wp:docPr descr="Figure 14. OLS residual diagnostics for annual rainfall on year: residuals versus fitted, normal Q–Q, residuals versus year, and Cook’s distance." title="" id="74" name="Picture"/>
            <a:graphic>
              <a:graphicData uri="http://schemas.openxmlformats.org/drawingml/2006/picture">
                <pic:pic>
                  <pic:nvPicPr>
                    <pic:cNvPr descr="../graphs/regression_residual_diagnostics.png" id="75" name="Picture"/>
                    <pic:cNvPicPr>
                      <a:picLocks noChangeArrowheads="1" noChangeAspect="1"/>
                    </pic:cNvPicPr>
                  </pic:nvPicPr>
                  <pic:blipFill>
                    <a:blip r:embed="rId73"/>
                    <a:stretch>
                      <a:fillRect/>
                    </a:stretch>
                  </pic:blipFill>
                  <pic:spPr bwMode="auto">
                    <a:xfrm>
                      <a:off x="0" y="0"/>
                      <a:ext cx="4907280" cy="3271520"/>
                    </a:xfrm>
                    <a:prstGeom prst="rect">
                      <a:avLst/>
                    </a:prstGeom>
                    <a:noFill/>
                    <a:ln w="9525">
                      <a:noFill/>
                      <a:headEnd/>
                      <a:tailEnd/>
                    </a:ln>
                  </pic:spPr>
                </pic:pic>
              </a:graphicData>
            </a:graphic>
          </wp:inline>
        </w:drawing>
      </w:r>
    </w:p>
    <w:p>
      <w:pPr>
        <w:pStyle w:val="ImageCaption"/>
      </w:pPr>
      <w:r>
        <w:t xml:space="preserve">Figure 14. OLS residual diagnostics for annual rainfall on year: residuals versus fitted, normal Q–Q, residuals versus year, and Cook’s distance.</w:t>
      </w:r>
    </w:p>
    <w:p>
      <w:pPr>
        <w:pStyle w:val="BodyText"/>
      </w:pPr>
      <w:r>
        <w:rPr>
          <w:b/>
          <w:bCs/>
        </w:rPr>
        <w:t xml:space="preserve">Interpretation.</w:t>
      </w:r>
      <w:r>
        <w:t xml:space="preserve"> </w:t>
      </w:r>
      <w:r>
        <w:t xml:space="preserve">There is no statistically significant linear decline or rise in all-India annual rainfall in this OLS model. The fitted slope of about</w:t>
      </w:r>
      <w:r>
        <w:t xml:space="preserve"> </w:t>
      </w:r>
      <m:oMath>
        <m:r>
          <m:rPr>
            <m:sty m:val="p"/>
          </m:rPr>
          <m:t>−</m:t>
        </m:r>
        <m:r>
          <m:t>0.30</m:t>
        </m:r>
      </m:oMath>
      <w:r>
        <w:t xml:space="preserve"> </w:t>
      </w:r>
      <w:r>
        <w:t xml:space="preserve">mm year</w:t>
      </w:r>
      <m:oMath>
        <m:sSup>
          <m:e>
            <m:r>
              <m:t>​</m:t>
            </m:r>
          </m:e>
          <m:sup>
            <m:r>
              <m:rPr>
                <m:sty m:val="p"/>
              </m:rPr>
              <m:t>−</m:t>
            </m:r>
            <m:r>
              <m:t>1</m:t>
            </m:r>
          </m:sup>
        </m:sSup>
      </m:oMath>
      <w:r>
        <w:t xml:space="preserve"> </w:t>
      </w:r>
      <w:r>
        <w:t xml:space="preserve">would be only about</w:t>
      </w:r>
      <w:r>
        <w:t xml:space="preserve"> </w:t>
      </w:r>
      <m:oMath>
        <m:r>
          <m:rPr>
            <m:sty m:val="p"/>
          </m:rPr>
          <m:t>−</m:t>
        </m:r>
        <m:r>
          <m:t>34</m:t>
        </m:r>
      </m:oMath>
      <w:r>
        <w:t xml:space="preserve"> </w:t>
      </w:r>
      <w:r>
        <w:t xml:space="preserve">mm over 115 years, well within year-to-year noise of SD 110.69 mm. This is</w:t>
      </w:r>
      <w:r>
        <w:t xml:space="preserve"> </w:t>
      </w:r>
      <w:r>
        <w:rPr>
          <w:b/>
          <w:bCs/>
        </w:rPr>
        <w:t xml:space="preserve">not</w:t>
      </w:r>
      <w:r>
        <w:t xml:space="preserve"> </w:t>
      </w:r>
      <w:r>
        <w:t xml:space="preserve">a climate-change attribution.</w:t>
      </w:r>
    </w:p>
    <w:bookmarkEnd w:id="76"/>
    <w:bookmarkStart w:id="77" w:name="model-2.-monsoon-on-year-and-winter"/>
    <w:p>
      <w:pPr>
        <w:pStyle w:val="Heading2"/>
      </w:pPr>
      <w:r>
        <w:t xml:space="preserve">Model 2. Monsoon on year and winter</w:t>
      </w:r>
    </w:p>
    <w:p>
      <w:pPr>
        <w:pStyle w:val="FirstParagraph"/>
      </w:pPr>
      <m:oMathPara>
        <m:oMathParaPr>
          <m:jc m:val="center"/>
        </m:oMathParaPr>
        <m:oMath>
          <m:sSub>
            <m:e>
              <m:r>
                <m:rPr>
                  <m:sty m:val="p"/>
                </m:rPr>
                <m:t>J</m:t>
              </m:r>
              <m:r>
                <m:rPr>
                  <m:sty m:val="p"/>
                </m:rPr>
                <m:t>u</m:t>
              </m:r>
              <m:r>
                <m:rPr>
                  <m:sty m:val="p"/>
                </m:rPr>
                <m:t>n</m:t>
              </m:r>
              <m:r>
                <m:rPr>
                  <m:sty m:val="p"/>
                </m:rPr>
                <m:t>S</m:t>
              </m:r>
              <m:r>
                <m:rPr>
                  <m:sty m:val="p"/>
                </m:rPr>
                <m:t>e</m:t>
              </m:r>
              <m:r>
                <m:rPr>
                  <m:sty m:val="p"/>
                </m:rPr>
                <m:t>p</m:t>
              </m:r>
            </m:e>
            <m:sub>
              <m:r>
                <m:t>i</m:t>
              </m:r>
            </m:sub>
          </m:sSub>
          <m:r>
            <m:rPr>
              <m:sty m:val="p"/>
            </m:rPr>
            <m:t>=</m:t>
          </m:r>
          <m:sSub>
            <m:e>
              <m:r>
                <m:t>β</m:t>
              </m:r>
            </m:e>
            <m:sub>
              <m:r>
                <m:t>0</m:t>
              </m:r>
            </m:sub>
          </m:sSub>
          <m:r>
            <m:rPr>
              <m:sty m:val="p"/>
            </m:rPr>
            <m:t>+</m:t>
          </m:r>
          <m:sSub>
            <m:e>
              <m:r>
                <m:t>β</m:t>
              </m:r>
            </m:e>
            <m:sub>
              <m:r>
                <m:t>1</m:t>
              </m:r>
            </m:sub>
          </m:sSub>
          <m:r>
            <m:t> </m:t>
          </m:r>
          <m:sSub>
            <m:e>
              <m:r>
                <m:rPr>
                  <m:sty m:val="p"/>
                </m:rPr>
                <m:t>Y</m:t>
              </m:r>
              <m:r>
                <m:rPr>
                  <m:sty m:val="p"/>
                </m:rPr>
                <m:t>E</m:t>
              </m:r>
              <m:r>
                <m:rPr>
                  <m:sty m:val="p"/>
                </m:rPr>
                <m:t>A</m:t>
              </m:r>
              <m:r>
                <m:rPr>
                  <m:sty m:val="p"/>
                </m:rPr>
                <m:t>R</m:t>
              </m:r>
            </m:e>
            <m:sub>
              <m:r>
                <m:t>i</m:t>
              </m:r>
            </m:sub>
          </m:sSub>
          <m:r>
            <m:rPr>
              <m:sty m:val="p"/>
            </m:rPr>
            <m:t>+</m:t>
          </m:r>
          <m:sSub>
            <m:e>
              <m:r>
                <m:t>β</m:t>
              </m:r>
            </m:e>
            <m:sub>
              <m:r>
                <m:t>2</m:t>
              </m:r>
            </m:sub>
          </m:sSub>
          <m:r>
            <m:t> </m:t>
          </m:r>
          <m:sSub>
            <m:e>
              <m:r>
                <m:rPr>
                  <m:sty m:val="p"/>
                </m:rPr>
                <m:t>J</m:t>
              </m:r>
              <m:r>
                <m:rPr>
                  <m:sty m:val="p"/>
                </m:rPr>
                <m:t>a</m:t>
              </m:r>
              <m:r>
                <m:rPr>
                  <m:sty m:val="p"/>
                </m:rPr>
                <m:t>n</m:t>
              </m:r>
              <m:r>
                <m:rPr>
                  <m:sty m:val="p"/>
                </m:rPr>
                <m:t>F</m:t>
              </m:r>
              <m:r>
                <m:rPr>
                  <m:sty m:val="p"/>
                </m:rPr>
                <m:t>e</m:t>
              </m:r>
              <m:r>
                <m:rPr>
                  <m:sty m:val="p"/>
                </m:rPr>
                <m:t>b</m:t>
              </m:r>
            </m:e>
            <m:sub>
              <m:r>
                <m:t>i</m:t>
              </m:r>
            </m:sub>
          </m:sSub>
          <m:r>
            <m:rPr>
              <m:sty m:val="p"/>
            </m:rPr>
            <m:t>+</m:t>
          </m:r>
          <m:sSub>
            <m:e>
              <m:r>
                <m:t>ε</m:t>
              </m:r>
            </m:e>
            <m:sub>
              <m:r>
                <m:t>i</m:t>
              </m:r>
            </m:sub>
          </m:sSub>
          <m:r>
            <m:rPr>
              <m:sty m:val="p"/>
            </m:rPr>
            <m:t>.</m:t>
          </m:r>
        </m:oMath>
      </m:oMathPara>
    </w:p>
    <w:p>
      <w:pPr>
        <w:pStyle w:val="FirstParagraph"/>
      </w:pPr>
      <w:r>
        <w:t xml:space="preserve">Winter is a</w:t>
      </w:r>
      <w:r>
        <w:t xml:space="preserve"> </w:t>
      </w:r>
      <w:r>
        <w:rPr>
          <w:b/>
          <w:bCs/>
        </w:rPr>
        <w:t xml:space="preserve">different season</w:t>
      </w:r>
      <w:r>
        <w:t xml:space="preserve">, not a subset of June–September. No extra predictors were added to inflate</w:t>
      </w:r>
      <w:r>
        <w:t xml:space="preserve"> </w:t>
      </w:r>
      <m:oMath>
        <m:sSup>
          <m:e>
            <m:r>
              <m:t>R</m:t>
            </m:r>
          </m:e>
          <m:sup>
            <m:r>
              <m:t>2</m:t>
            </m:r>
          </m:sup>
        </m:sSup>
      </m:oMath>
      <w:r>
        <w:t xml:space="preserve">.</w:t>
      </w:r>
    </w:p>
    <w:p>
      <w:pPr>
        <w:pStyle w:val="BodyText"/>
      </w:pPr>
      <m:oMath>
        <m:sSup>
          <m:e>
            <m:r>
              <m:t>R</m:t>
            </m:r>
          </m:e>
          <m:sup>
            <m:r>
              <m:t>2</m:t>
            </m:r>
          </m:sup>
        </m:sSup>
        <m:r>
          <m:rPr>
            <m:sty m:val="p"/>
          </m:rPr>
          <m:t>=</m:t>
        </m:r>
      </m:oMath>
      <w:r>
        <w:t xml:space="preserve"> </w:t>
      </w:r>
      <w:r>
        <w:t xml:space="preserve">0.0242, adjusted</w:t>
      </w:r>
      <w:r>
        <w:t xml:space="preserve"> </w:t>
      </w:r>
      <m:oMath>
        <m:sSup>
          <m:e>
            <m:r>
              <m:t>R</m:t>
            </m:r>
          </m:e>
          <m:sup>
            <m:r>
              <m:t>2</m:t>
            </m:r>
          </m:sup>
        </m:sSup>
        <m:r>
          <m:rPr>
            <m:sty m:val="p"/>
          </m:rPr>
          <m:t>=</m:t>
        </m:r>
      </m:oMath>
      <w:r>
        <w:t xml:space="preserve"> </w:t>
      </w:r>
      <w:r>
        <w:t xml:space="preserve">0.0068,</w:t>
      </w:r>
      <w:r>
        <w:t xml:space="preserve"> </w:t>
      </w:r>
      <m:oMath>
        <m:r>
          <m:t>F</m:t>
        </m:r>
        <m:r>
          <m:rPr>
            <m:sty m:val="p"/>
          </m:rPr>
          <m:t>=</m:t>
        </m:r>
      </m:oMath>
      <w:r>
        <w:t xml:space="preserve"> </w:t>
      </w:r>
      <w:r>
        <w:t xml:space="preserve">1.390 (</w:t>
      </w:r>
      <m:oMath>
        <m:r>
          <m:t>p</m:t>
        </m:r>
        <m:r>
          <m:rPr>
            <m:sty m:val="p"/>
          </m:rPr>
          <m:t>=</m:t>
        </m:r>
      </m:oMath>
      <w:r>
        <w:t xml:space="preserve"> </w:t>
      </w:r>
      <w:r>
        <w:t xml:space="preserve">0.2534). Year coefficient</w:t>
      </w:r>
      <w:r>
        <w:t xml:space="preserve"> </w:t>
      </w:r>
      <m:oMath>
        <m:r>
          <m:t>p</m:t>
        </m:r>
        <m:r>
          <m:rPr>
            <m:sty m:val="p"/>
          </m:rPr>
          <m:t>=</m:t>
        </m:r>
      </m:oMath>
      <w:r>
        <w:t xml:space="preserve"> </w:t>
      </w:r>
      <w:r>
        <w:t xml:space="preserve">0.5079; January–February coefficient</w:t>
      </w:r>
      <w:r>
        <w:t xml:space="preserve"> </w:t>
      </w:r>
      <m:oMath>
        <m:sSub>
          <m:e>
            <m:acc>
              <m:accPr>
                <m:chr m:val="̂"/>
              </m:accPr>
              <m:e>
                <m:r>
                  <m:t>β</m:t>
                </m:r>
              </m:e>
            </m:acc>
          </m:e>
          <m:sub>
            <m:r>
              <m:t>2</m:t>
            </m:r>
          </m:sub>
        </m:sSub>
        <m:r>
          <m:rPr>
            <m:sty m:val="p"/>
          </m:rPr>
          <m:t>=</m:t>
        </m:r>
      </m:oMath>
      <w:r>
        <w:t xml:space="preserve"> </w:t>
      </w:r>
      <w:r>
        <w:t xml:space="preserve">0.816 (SE 0.583,</w:t>
      </w:r>
      <w:r>
        <w:t xml:space="preserve"> </w:t>
      </w:r>
      <m:oMath>
        <m:r>
          <m:t>p</m:t>
        </m:r>
        <m:r>
          <m:rPr>
            <m:sty m:val="p"/>
          </m:rPr>
          <m:t>=</m:t>
        </m:r>
      </m:oMath>
      <w:r>
        <w:t xml:space="preserve"> </w:t>
      </w:r>
      <w:r>
        <w:t xml:space="preserve">0.1643). Durbin–Watson</w:t>
      </w:r>
      <w:r>
        <w:t xml:space="preserve"> </w:t>
      </w:r>
      <m:oMath>
        <m:r>
          <m:t>d</m:t>
        </m:r>
        <m:r>
          <m:rPr>
            <m:sty m:val="p"/>
          </m:rPr>
          <m:t>=</m:t>
        </m:r>
      </m:oMath>
      <w:r>
        <w:t xml:space="preserve"> </w:t>
      </w:r>
      <w:r>
        <w:t xml:space="preserve">1.865.</w:t>
      </w:r>
    </w:p>
    <w:p>
      <w:pPr>
        <w:pStyle w:val="BodyText"/>
      </w:pPr>
      <w:r>
        <w:t xml:space="preserve">The multiple regression does not detect a useful linear link from winter rain or year to all-India monsoon totals in this sample.</w:t>
      </w:r>
    </w:p>
    <w:bookmarkEnd w:id="77"/>
    <w:bookmarkEnd w:id="78"/>
    <w:bookmarkStart w:id="88" w:name="anova-and-regional-comparison"/>
    <w:p>
      <w:pPr>
        <w:pStyle w:val="Heading1"/>
      </w:pPr>
      <w:r>
        <w:t xml:space="preserve">ANOVA and regional comparison</w:t>
      </w:r>
    </w:p>
    <w:p>
      <w:pPr>
        <w:pStyle w:val="FirstParagraph"/>
      </w:pPr>
      <w:r>
        <w:t xml:space="preserve">Regional means use complete-month years in 1901–2015. Equal-weighted averages of subdivisions are</w:t>
      </w:r>
      <w:r>
        <w:t xml:space="preserve"> </w:t>
      </w:r>
      <w:r>
        <w:rPr>
          <w:b/>
          <w:bCs/>
        </w:rPr>
        <w:t xml:space="preserve">not</w:t>
      </w:r>
      <w:r>
        <w:t xml:space="preserve"> </w:t>
      </w:r>
      <w:r>
        <w:t xml:space="preserve">the national area-weighted series. Different climates are expected: a significant ANOVA is largely a confirmation of geography.</w:t>
      </w:r>
    </w:p>
    <w:p>
      <w:pPr>
        <w:pStyle w:val="BodyText"/>
      </w:pPr>
      <w:r>
        <w:t xml:space="preserve">Six subdivisions were compared on a balanced window of 114 common years: Kerala, Coastal Karnataka, Gangetic West Bengal, Tamil Nadu, Punjab and West Rajasthan.</w:t>
      </w:r>
    </w:p>
    <w:p>
      <w:pPr>
        <w:pStyle w:val="TableCaption"/>
      </w:pPr>
      <w:r>
        <w:t xml:space="preserve">Table 10. Tests of equal mean annual rainfall among six subdivisions (balanced common years).</w:t>
      </w:r>
    </w:p>
    <w:tbl>
      <w:tblPr>
        <w:tblStyle w:val="Table"/>
        <w:tblW w:type="pct" w:w="5000"/>
        <w:tblLayout w:type="fixed"/>
        <w:tblLook w:firstRow="1" w:lastRow="0" w:firstColumn="0" w:lastColumn="0" w:noHBand="0" w:noVBand="0" w:val="0020"/>
        <w:tblCaption w:val="Table 10. Tests of equal mean annual rainfall among six subdivisions (balanced common years)."/>
      </w:tblPr>
      <w:tblGrid>
        <w:gridCol w:w="2640"/>
        <w:gridCol w:w="942"/>
        <w:gridCol w:w="377"/>
        <w:gridCol w:w="660"/>
        <w:gridCol w:w="754"/>
        <w:gridCol w:w="1602"/>
        <w:gridCol w:w="942"/>
      </w:tblGrid>
      <w:tr>
        <w:trPr>
          <w:tblHeader w:val="on"/>
        </w:trPr>
        <w:tc>
          <w:tcPr/>
          <w:p>
            <w:pPr>
              <w:pStyle w:val="Compact"/>
              <w:jc w:val="left"/>
            </w:pPr>
            <w:r>
              <w:t xml:space="preserve">test</w:t>
            </w:r>
          </w:p>
        </w:tc>
        <w:tc>
          <w:tcPr/>
          <w:p>
            <w:pPr>
              <w:pStyle w:val="Compact"/>
              <w:jc w:val="right"/>
            </w:pPr>
            <w:r>
              <w:t xml:space="preserve">statistic</w:t>
            </w:r>
          </w:p>
        </w:tc>
        <w:tc>
          <w:tcPr/>
          <w:p>
            <w:pPr>
              <w:pStyle w:val="Compact"/>
              <w:jc w:val="right"/>
            </w:pPr>
            <w:r>
              <w:t xml:space="preserve">df1</w:t>
            </w:r>
          </w:p>
        </w:tc>
        <w:tc>
          <w:tcPr/>
          <w:p>
            <w:pPr>
              <w:pStyle w:val="Compact"/>
              <w:jc w:val="right"/>
            </w:pPr>
            <w:r>
              <w:t xml:space="preserve">df2</w:t>
            </w:r>
          </w:p>
        </w:tc>
        <w:tc>
          <w:tcPr/>
          <w:p>
            <w:pPr>
              <w:pStyle w:val="Compact"/>
              <w:jc w:val="right"/>
            </w:pPr>
            <w:r>
              <w:t xml:space="preserve">p_value</w:t>
            </w:r>
          </w:p>
        </w:tc>
        <w:tc>
          <w:tcPr/>
          <w:p>
            <w:pPr>
              <w:pStyle w:val="Compact"/>
              <w:jc w:val="right"/>
            </w:pPr>
            <w:r>
              <w:t xml:space="preserve">n_years_balanced</w:t>
            </w:r>
          </w:p>
        </w:tc>
        <w:tc>
          <w:tcPr/>
          <w:p>
            <w:pPr>
              <w:pStyle w:val="Compact"/>
              <w:jc w:val="right"/>
            </w:pPr>
            <w:r>
              <w:t xml:space="preserve">n_regions</w:t>
            </w:r>
          </w:p>
        </w:tc>
      </w:tr>
      <w:tr>
        <w:tc>
          <w:tcPr/>
          <w:p>
            <w:pPr>
              <w:pStyle w:val="Compact"/>
              <w:jc w:val="left"/>
            </w:pPr>
            <w:r>
              <w:t xml:space="preserve">Classical one-way ANOVA</w:t>
            </w:r>
          </w:p>
        </w:tc>
        <w:tc>
          <w:tcPr/>
          <w:p>
            <w:pPr>
              <w:pStyle w:val="Compact"/>
              <w:jc w:val="right"/>
            </w:pPr>
            <w:r>
              <w:t xml:space="preserve">2134.70</w:t>
            </w:r>
          </w:p>
        </w:tc>
        <w:tc>
          <w:tcPr/>
          <w:p>
            <w:pPr>
              <w:pStyle w:val="Compact"/>
              <w:jc w:val="right"/>
            </w:pPr>
            <w:r>
              <w:t xml:space="preserve">5</w:t>
            </w:r>
          </w:p>
        </w:tc>
        <w:tc>
          <w:tcPr/>
          <w:p>
            <w:pPr>
              <w:pStyle w:val="Compact"/>
              <w:jc w:val="right"/>
            </w:pPr>
            <w:r>
              <w:t xml:space="preserve">678.00</w:t>
            </w:r>
          </w:p>
        </w:tc>
        <w:tc>
          <w:tcPr/>
          <w:p>
            <w:pPr>
              <w:pStyle w:val="Compact"/>
              <w:jc w:val="right"/>
            </w:pPr>
            <w:r>
              <w:t xml:space="preserve">0</w:t>
            </w:r>
          </w:p>
        </w:tc>
        <w:tc>
          <w:tcPr/>
          <w:p>
            <w:pPr>
              <w:pStyle w:val="Compact"/>
              <w:jc w:val="right"/>
            </w:pPr>
            <w:r>
              <w:t xml:space="preserve">114</w:t>
            </w:r>
          </w:p>
        </w:tc>
        <w:tc>
          <w:tcPr/>
          <w:p>
            <w:pPr>
              <w:pStyle w:val="Compact"/>
              <w:jc w:val="right"/>
            </w:pPr>
            <w:r>
              <w:t xml:space="preserve">6</w:t>
            </w:r>
          </w:p>
        </w:tc>
      </w:tr>
      <w:tr>
        <w:tc>
          <w:tcPr/>
          <w:p>
            <w:pPr>
              <w:pStyle w:val="Compact"/>
              <w:jc w:val="left"/>
            </w:pPr>
            <w:r>
              <w:t xml:space="preserve">Welch one-way ANOVA</w:t>
            </w:r>
          </w:p>
        </w:tc>
        <w:tc>
          <w:tcPr/>
          <w:p>
            <w:pPr>
              <w:pStyle w:val="Compact"/>
              <w:jc w:val="right"/>
            </w:pPr>
            <w:r>
              <w:t xml:space="preserve">1988.47</w:t>
            </w:r>
          </w:p>
        </w:tc>
        <w:tc>
          <w:tcPr/>
          <w:p>
            <w:pPr>
              <w:pStyle w:val="Compact"/>
              <w:jc w:val="right"/>
            </w:pPr>
            <w:r>
              <w:t xml:space="preserve">5</w:t>
            </w:r>
          </w:p>
        </w:tc>
        <w:tc>
          <w:tcPr/>
          <w:p>
            <w:pPr>
              <w:pStyle w:val="Compact"/>
              <w:jc w:val="right"/>
            </w:pPr>
            <w:r>
              <w:t xml:space="preserve">307.23</w:t>
            </w:r>
          </w:p>
        </w:tc>
        <w:tc>
          <w:tcPr/>
          <w:p>
            <w:pPr>
              <w:pStyle w:val="Compact"/>
              <w:jc w:val="right"/>
            </w:pPr>
            <w:r>
              <w:t xml:space="preserve">0</w:t>
            </w:r>
          </w:p>
        </w:tc>
        <w:tc>
          <w:tcPr/>
          <w:p>
            <w:pPr>
              <w:pStyle w:val="Compact"/>
              <w:jc w:val="right"/>
            </w:pPr>
            <w:r>
              <w:t xml:space="preserve">114</w:t>
            </w:r>
          </w:p>
        </w:tc>
        <w:tc>
          <w:tcPr/>
          <w:p>
            <w:pPr>
              <w:pStyle w:val="Compact"/>
              <w:jc w:val="right"/>
            </w:pPr>
            <w:r>
              <w:t xml:space="preserve">6</w:t>
            </w:r>
          </w:p>
        </w:tc>
      </w:tr>
      <w:tr>
        <w:tc>
          <w:tcPr/>
          <w:p>
            <w:pPr>
              <w:pStyle w:val="Compact"/>
              <w:jc w:val="left"/>
            </w:pPr>
            <w:r>
              <w:t xml:space="preserve">Kruskal-Wallis</w:t>
            </w:r>
          </w:p>
        </w:tc>
        <w:tc>
          <w:tcPr/>
          <w:p>
            <w:pPr>
              <w:pStyle w:val="Compact"/>
              <w:jc w:val="right"/>
            </w:pPr>
            <w:r>
              <w:t xml:space="preserve">639.91</w:t>
            </w:r>
          </w:p>
        </w:tc>
        <w:tc>
          <w:tcPr/>
          <w:p>
            <w:pPr>
              <w:pStyle w:val="Compact"/>
              <w:jc w:val="right"/>
            </w:pPr>
            <w:r>
              <w:t xml:space="preserve">NA</w:t>
            </w:r>
          </w:p>
        </w:tc>
        <w:tc>
          <w:tcPr/>
          <w:p>
            <w:pPr>
              <w:pStyle w:val="Compact"/>
              <w:jc w:val="right"/>
            </w:pPr>
            <w:r>
              <w:t xml:space="preserve">5.00</w:t>
            </w:r>
          </w:p>
        </w:tc>
        <w:tc>
          <w:tcPr/>
          <w:p>
            <w:pPr>
              <w:pStyle w:val="Compact"/>
              <w:jc w:val="right"/>
            </w:pPr>
            <w:r>
              <w:t xml:space="preserve">0</w:t>
            </w:r>
          </w:p>
        </w:tc>
        <w:tc>
          <w:tcPr/>
          <w:p>
            <w:pPr>
              <w:pStyle w:val="Compact"/>
              <w:jc w:val="right"/>
            </w:pPr>
            <w:r>
              <w:t xml:space="preserve">114</w:t>
            </w:r>
          </w:p>
        </w:tc>
        <w:tc>
          <w:tcPr/>
          <w:p>
            <w:pPr>
              <w:pStyle w:val="Compact"/>
              <w:jc w:val="right"/>
            </w:pPr>
            <w:r>
              <w:t xml:space="preserve">6</w:t>
            </w:r>
          </w:p>
        </w:tc>
      </w:tr>
      <w:tr>
        <w:tc>
          <w:tcPr/>
          <w:p>
            <w:pPr>
              <w:pStyle w:val="Compact"/>
              <w:jc w:val="left"/>
            </w:pPr>
            <w:r>
              <w:t xml:space="preserve">Fligner-Killeen (variances)</w:t>
            </w:r>
          </w:p>
        </w:tc>
        <w:tc>
          <w:tcPr/>
          <w:p>
            <w:pPr>
              <w:pStyle w:val="Compact"/>
              <w:jc w:val="right"/>
            </w:pPr>
            <w:r>
              <w:t xml:space="preserve">202.21</w:t>
            </w:r>
          </w:p>
        </w:tc>
        <w:tc>
          <w:tcPr/>
          <w:p>
            <w:pPr>
              <w:pStyle w:val="Compact"/>
              <w:jc w:val="right"/>
            </w:pPr>
            <w:r>
              <w:t xml:space="preserve">5</w:t>
            </w:r>
          </w:p>
        </w:tc>
        <w:tc>
          <w:tcPr/>
          <w:p>
            <w:pPr>
              <w:pStyle w:val="Compact"/>
              <w:jc w:val="right"/>
            </w:pPr>
            <w:r>
              <w:t xml:space="preserve">NA</w:t>
            </w:r>
          </w:p>
        </w:tc>
        <w:tc>
          <w:tcPr/>
          <w:p>
            <w:pPr>
              <w:pStyle w:val="Compact"/>
              <w:jc w:val="right"/>
            </w:pPr>
            <w:r>
              <w:t xml:space="preserve">0</w:t>
            </w:r>
          </w:p>
        </w:tc>
        <w:tc>
          <w:tcPr/>
          <w:p>
            <w:pPr>
              <w:pStyle w:val="Compact"/>
              <w:jc w:val="right"/>
            </w:pPr>
            <w:r>
              <w:t xml:space="preserve">114</w:t>
            </w:r>
          </w:p>
        </w:tc>
        <w:tc>
          <w:tcPr/>
          <w:p>
            <w:pPr>
              <w:pStyle w:val="Compact"/>
              <w:jc w:val="right"/>
            </w:pPr>
            <w:r>
              <w:t xml:space="preserve">6</w:t>
            </w:r>
          </w:p>
        </w:tc>
      </w:tr>
    </w:tbl>
    <w:p>
      <w:pPr>
        <w:pStyle w:val="BodyText"/>
      </w:pPr>
      <w:r>
        <w:t xml:space="preserve">Fligner–Killeen rejects equal variances (</w:t>
      </w:r>
      <m:oMath>
        <m:sSup>
          <m:e>
            <m:r>
              <m:t>χ</m:t>
            </m:r>
          </m:e>
          <m:sup>
            <m:r>
              <m:t>2</m:t>
            </m:r>
          </m:sup>
        </m:sSup>
        <m:r>
          <m:rPr>
            <m:sty m:val="p"/>
          </m:rPr>
          <m:t>=</m:t>
        </m:r>
      </m:oMath>
      <w:r>
        <w:t xml:space="preserve"> </w:t>
      </w:r>
      <w:r>
        <w:t xml:space="preserve">202.2,</w:t>
      </w:r>
      <w:r>
        <w:t xml:space="preserve"> </w:t>
      </w:r>
      <m:oMath>
        <m:r>
          <m:t>p</m:t>
        </m:r>
        <m:r>
          <m:rPr>
            <m:sty m:val="p"/>
          </m:rPr>
          <m:t>&lt;</m:t>
        </m:r>
      </m:oMath>
      <w:r>
        <w:t xml:space="preserve"> </w:t>
      </w:r>
      <w:r>
        <w:t xml:space="preserve">0.0001). Classical ANOVA</w:t>
      </w:r>
      <w:r>
        <w:t xml:space="preserve"> </w:t>
      </w:r>
      <m:oMath>
        <m:r>
          <m:t>F</m:t>
        </m:r>
        <m:r>
          <m:rPr>
            <m:sty m:val="p"/>
          </m:rPr>
          <m:t>=</m:t>
        </m:r>
      </m:oMath>
      <w:r>
        <w:t xml:space="preserve"> </w:t>
      </w:r>
      <w:r>
        <w:t xml:space="preserve">2134.7 is therefore not the primary result.</w:t>
      </w:r>
      <w:r>
        <w:t xml:space="preserve"> </w:t>
      </w:r>
      <w:r>
        <w:rPr>
          <w:b/>
          <w:bCs/>
        </w:rPr>
        <w:t xml:space="preserve">Welch ANOVA</w:t>
      </w:r>
      <w:r>
        <w:t xml:space="preserve"> </w:t>
      </w:r>
      <m:oMath>
        <m:r>
          <m:t>F</m:t>
        </m:r>
        <m:r>
          <m:rPr>
            <m:sty m:val="p"/>
          </m:rPr>
          <m:t>=</m:t>
        </m:r>
      </m:oMath>
      <w:r>
        <w:t xml:space="preserve"> </w:t>
      </w:r>
      <w:r>
        <w:t xml:space="preserve">1988.5,</w:t>
      </w:r>
      <w:r>
        <w:t xml:space="preserve"> </w:t>
      </w:r>
      <m:oMath>
        <m:r>
          <m:t>p</m:t>
        </m:r>
        <m:r>
          <m:rPr>
            <m:sty m:val="p"/>
          </m:rPr>
          <m:t>&lt;</m:t>
        </m:r>
      </m:oMath>
      <w:r>
        <w:t xml:space="preserve"> </w:t>
      </w:r>
      <w:r>
        <w:t xml:space="preserve">0.0001. Kruskal–Wallis</w:t>
      </w:r>
      <w:r>
        <w:t xml:space="preserve"> </w:t>
      </w:r>
      <m:oMath>
        <m:sSup>
          <m:e>
            <m:r>
              <m:t>χ</m:t>
            </m:r>
          </m:e>
          <m:sup>
            <m:r>
              <m:t>2</m:t>
            </m:r>
          </m:sup>
        </m:sSup>
        <m:r>
          <m:rPr>
            <m:sty m:val="p"/>
          </m:rPr>
          <m:t>=</m:t>
        </m:r>
      </m:oMath>
      <w:r>
        <w:t xml:space="preserve"> </w:t>
      </w:r>
      <w:r>
        <w:t xml:space="preserve">639.9, df</w:t>
      </w:r>
      <w:r>
        <w:t xml:space="preserve"> </w:t>
      </w:r>
      <m:oMath>
        <m:r>
          <m:rPr>
            <m:sty m:val="p"/>
          </m:rPr>
          <m:t>=</m:t>
        </m:r>
        <m:r>
          <m:t>5</m:t>
        </m:r>
      </m:oMath>
      <w:r>
        <w:t xml:space="preserve">,</w:t>
      </w:r>
      <w:r>
        <w:t xml:space="preserve"> </w:t>
      </w:r>
      <m:oMath>
        <m:r>
          <m:t>p</m:t>
        </m:r>
        <m:r>
          <m:rPr>
            <m:sty m:val="p"/>
          </m:rPr>
          <m:t>&lt;</m:t>
        </m:r>
      </m:oMath>
      <w:r>
        <w:t xml:space="preserve"> </w:t>
      </w:r>
      <w:r>
        <w:t xml:space="preserve">0.0001. Reject equal regional means.</w:t>
      </w:r>
    </w:p>
    <w:p>
      <w:pPr>
        <w:pStyle w:val="BodyText"/>
      </w:pPr>
      <w:r>
        <w:t xml:space="preserve">Bonferroni-adjusted pairwise Welch tests reject every pair among the six regions at</w:t>
      </w:r>
      <w:r>
        <w:t xml:space="preserve"> </w:t>
      </w:r>
      <m:oMath>
        <m:r>
          <m:t>α</m:t>
        </m:r>
        <m:r>
          <m:rPr>
            <m:sty m:val="p"/>
          </m:rPr>
          <m:t>=</m:t>
        </m:r>
        <m:r>
          <m:t>0.05</m:t>
        </m:r>
      </m:oMath>
      <w:r>
        <w:t xml:space="preserve"> </w:t>
      </w:r>
      <w:r>
        <w:t xml:space="preserve">(all adjusted</w:t>
      </w:r>
      <w:r>
        <w:t xml:space="preserve"> </w:t>
      </w:r>
      <m:oMath>
        <m:r>
          <m:t>p</m:t>
        </m:r>
        <m:r>
          <m:rPr>
            <m:sty m:val="p"/>
          </m:rPr>
          <m:t>&lt;</m:t>
        </m:r>
      </m:oMath>
      <w:r>
        <w:t xml:space="preserve"> </w:t>
      </w:r>
      <w:r>
        <w:t xml:space="preserve">0.0001; see</w:t>
      </w:r>
      <w:r>
        <w:t xml:space="preserve"> </w:t>
      </w:r>
      <w:r>
        <w:rPr>
          <w:rStyle w:val="VerbatimChar"/>
        </w:rPr>
        <w:t xml:space="preserve">anova_pairwise_welch_bonferroni.csv</w:t>
      </w:r>
      <w:r>
        <w:t xml:space="preserve">). Tukey HSD, which assumes equal variances, is saved but should be treated cautiously given Fligner’s result. Wilcoxon pairwise tests agree on the same qualitative separations.</w:t>
      </w:r>
    </w:p>
    <w:p>
      <w:pPr>
        <w:pStyle w:val="CaptionedFigure"/>
      </w:pPr>
      <w:r>
        <w:drawing>
          <wp:inline>
            <wp:extent cx="4907280" cy="3271520"/>
            <wp:effectExtent b="0" l="0" r="0" t="0"/>
            <wp:docPr descr="Figure 15. Mean annual rainfall (mm) by IMD subdivision, complete years 1901–2015." title="" id="80" name="Picture"/>
            <a:graphic>
              <a:graphicData uri="http://schemas.openxmlformats.org/drawingml/2006/picture">
                <pic:pic>
                  <pic:nvPicPr>
                    <pic:cNvPr descr="../graphs/regional_mean_annual_rainfall.png" id="81" name="Picture"/>
                    <pic:cNvPicPr>
                      <a:picLocks noChangeArrowheads="1" noChangeAspect="1"/>
                    </pic:cNvPicPr>
                  </pic:nvPicPr>
                  <pic:blipFill>
                    <a:blip r:embed="rId79"/>
                    <a:stretch>
                      <a:fillRect/>
                    </a:stretch>
                  </pic:blipFill>
                  <pic:spPr bwMode="auto">
                    <a:xfrm>
                      <a:off x="0" y="0"/>
                      <a:ext cx="4907280" cy="3271520"/>
                    </a:xfrm>
                    <a:prstGeom prst="rect">
                      <a:avLst/>
                    </a:prstGeom>
                    <a:noFill/>
                    <a:ln w="9525">
                      <a:noFill/>
                      <a:headEnd/>
                      <a:tailEnd/>
                    </a:ln>
                  </pic:spPr>
                </pic:pic>
              </a:graphicData>
            </a:graphic>
          </wp:inline>
        </w:drawing>
      </w:r>
    </w:p>
    <w:p>
      <w:pPr>
        <w:pStyle w:val="ImageCaption"/>
      </w:pPr>
      <w:r>
        <w:t xml:space="preserve">Figure 15. Mean annual rainfall (mm) by IMD subdivision, complete years 1901–2015.</w:t>
      </w:r>
    </w:p>
    <w:p>
      <w:pPr>
        <w:pStyle w:val="CaptionedFigure"/>
      </w:pPr>
      <w:r>
        <w:drawing>
          <wp:inline>
            <wp:extent cx="4907280" cy="3271520"/>
            <wp:effectExtent b="0" l="0" r="0" t="0"/>
            <wp:docPr descr="Figure 16. Coefficient of variation (%) of annual rainfall by subdivision, 1901–2015. Arid subdivisions are more variable relative to their mean." title="" id="83" name="Picture"/>
            <a:graphic>
              <a:graphicData uri="http://schemas.openxmlformats.org/drawingml/2006/picture">
                <pic:pic>
                  <pic:nvPicPr>
                    <pic:cNvPr descr="../graphs/regional_cv_annual_rainfall.png" id="84" name="Picture"/>
                    <pic:cNvPicPr>
                      <a:picLocks noChangeArrowheads="1" noChangeAspect="1"/>
                    </pic:cNvPicPr>
                  </pic:nvPicPr>
                  <pic:blipFill>
                    <a:blip r:embed="rId82"/>
                    <a:stretch>
                      <a:fillRect/>
                    </a:stretch>
                  </pic:blipFill>
                  <pic:spPr bwMode="auto">
                    <a:xfrm>
                      <a:off x="0" y="0"/>
                      <a:ext cx="4907280" cy="3271520"/>
                    </a:xfrm>
                    <a:prstGeom prst="rect">
                      <a:avLst/>
                    </a:prstGeom>
                    <a:noFill/>
                    <a:ln w="9525">
                      <a:noFill/>
                      <a:headEnd/>
                      <a:tailEnd/>
                    </a:ln>
                  </pic:spPr>
                </pic:pic>
              </a:graphicData>
            </a:graphic>
          </wp:inline>
        </w:drawing>
      </w:r>
    </w:p>
    <w:p>
      <w:pPr>
        <w:pStyle w:val="ImageCaption"/>
      </w:pPr>
      <w:r>
        <w:t xml:space="preserve">Figure 16. Coefficient of variation (%) of annual rainfall by subdivision, 1901–2015. Arid subdivisions are more variable relative to their mean.</w:t>
      </w:r>
    </w:p>
    <w:p>
      <w:pPr>
        <w:pStyle w:val="CaptionedFigure"/>
      </w:pPr>
      <w:r>
        <w:drawing>
          <wp:inline>
            <wp:extent cx="4907280" cy="3271520"/>
            <wp:effectExtent b="0" l="0" r="0" t="0"/>
            <wp:docPr descr="Figure 17. Annual rainfall (mm) in six selected subdivisions over common years. Spreads differ; Welch methods are appropriate." title="" id="86" name="Picture"/>
            <a:graphic>
              <a:graphicData uri="http://schemas.openxmlformats.org/drawingml/2006/picture">
                <pic:pic>
                  <pic:nvPicPr>
                    <pic:cNvPr descr="../graphs/selected_regions_annual_boxplots.png" id="87" name="Picture"/>
                    <pic:cNvPicPr>
                      <a:picLocks noChangeArrowheads="1" noChangeAspect="1"/>
                    </pic:cNvPicPr>
                  </pic:nvPicPr>
                  <pic:blipFill>
                    <a:blip r:embed="rId85"/>
                    <a:stretch>
                      <a:fillRect/>
                    </a:stretch>
                  </pic:blipFill>
                  <pic:spPr bwMode="auto">
                    <a:xfrm>
                      <a:off x="0" y="0"/>
                      <a:ext cx="4907280" cy="3271520"/>
                    </a:xfrm>
                    <a:prstGeom prst="rect">
                      <a:avLst/>
                    </a:prstGeom>
                    <a:noFill/>
                    <a:ln w="9525">
                      <a:noFill/>
                      <a:headEnd/>
                      <a:tailEnd/>
                    </a:ln>
                  </pic:spPr>
                </pic:pic>
              </a:graphicData>
            </a:graphic>
          </wp:inline>
        </w:drawing>
      </w:r>
    </w:p>
    <w:p>
      <w:pPr>
        <w:pStyle w:val="ImageCaption"/>
      </w:pPr>
      <w:r>
        <w:t xml:space="preserve">Figure 17. Annual rainfall (mm) in six selected subdivisions over common years. Spreads differ; Welch methods are appropriate.</w:t>
      </w:r>
    </w:p>
    <w:p>
      <w:pPr>
        <w:pStyle w:val="BodyText"/>
      </w:pPr>
      <w:r>
        <w:t xml:space="preserve">Figures 15–17 show both the mean gradient (Western Ghats and north-east versus north-west India) and the CV gradient. West Rajasthan’s high CV (37.19%) versus Kerala’s (14.43%) is why a single national CV of 9.36% cannot describe every region.</w:t>
      </w:r>
    </w:p>
    <w:bookmarkEnd w:id="88"/>
    <w:bookmarkStart w:id="98" w:name="time-series-and-trend-analysis"/>
    <w:p>
      <w:pPr>
        <w:pStyle w:val="Heading1"/>
      </w:pPr>
      <w:r>
        <w:t xml:space="preserve">Time-series and trend analysis</w:t>
      </w:r>
    </w:p>
    <w:p>
      <w:pPr>
        <w:pStyle w:val="CaptionedFigure"/>
      </w:pPr>
      <w:r>
        <w:drawing>
          <wp:inline>
            <wp:extent cx="4907280" cy="3271520"/>
            <wp:effectExtent b="0" l="0" r="0" t="0"/>
            <wp:docPr descr="Figure 18. All-India annual rainfall (mm), 1901–2015, with an 11-year moving average and the OLS line. The smoother is descriptive; end years are missing because the window is incomplete." title="" id="90" name="Picture"/>
            <a:graphic>
              <a:graphicData uri="http://schemas.openxmlformats.org/drawingml/2006/picture">
                <pic:pic>
                  <pic:nvPicPr>
                    <pic:cNvPr descr="../graphs/india_annual_timeseries.png" id="91" name="Picture"/>
                    <pic:cNvPicPr>
                      <a:picLocks noChangeArrowheads="1" noChangeAspect="1"/>
                    </pic:cNvPicPr>
                  </pic:nvPicPr>
                  <pic:blipFill>
                    <a:blip r:embed="rId89"/>
                    <a:stretch>
                      <a:fillRect/>
                    </a:stretch>
                  </pic:blipFill>
                  <pic:spPr bwMode="auto">
                    <a:xfrm>
                      <a:off x="0" y="0"/>
                      <a:ext cx="4907280" cy="3271520"/>
                    </a:xfrm>
                    <a:prstGeom prst="rect">
                      <a:avLst/>
                    </a:prstGeom>
                    <a:noFill/>
                    <a:ln w="9525">
                      <a:noFill/>
                      <a:headEnd/>
                      <a:tailEnd/>
                    </a:ln>
                  </pic:spPr>
                </pic:pic>
              </a:graphicData>
            </a:graphic>
          </wp:inline>
        </w:drawing>
      </w:r>
    </w:p>
    <w:p>
      <w:pPr>
        <w:pStyle w:val="ImageCaption"/>
      </w:pPr>
      <w:r>
        <w:t xml:space="preserve">Figure 18. All-India annual rainfall (mm), 1901–2015, with an 11-year moving average and the OLS line. The smoother is descriptive; end years are missing because the window is incomplete.</w:t>
      </w:r>
    </w:p>
    <w:p>
      <w:pPr>
        <w:pStyle w:val="CaptionedFigure"/>
      </w:pPr>
      <w:r>
        <w:drawing>
          <wp:inline>
            <wp:extent cx="4907280" cy="3271520"/>
            <wp:effectExtent b="0" l="0" r="0" t="0"/>
            <wp:docPr descr="Figure 19. All-India June–September rainfall (mm) and 11-year moving average, 1901–2015." title="" id="93" name="Picture"/>
            <a:graphic>
              <a:graphicData uri="http://schemas.openxmlformats.org/drawingml/2006/picture">
                <pic:pic>
                  <pic:nvPicPr>
                    <pic:cNvPr descr="../graphs/india_jjas_timeseries.png" id="94" name="Picture"/>
                    <pic:cNvPicPr>
                      <a:picLocks noChangeArrowheads="1" noChangeAspect="1"/>
                    </pic:cNvPicPr>
                  </pic:nvPicPr>
                  <pic:blipFill>
                    <a:blip r:embed="rId92"/>
                    <a:stretch>
                      <a:fillRect/>
                    </a:stretch>
                  </pic:blipFill>
                  <pic:spPr bwMode="auto">
                    <a:xfrm>
                      <a:off x="0" y="0"/>
                      <a:ext cx="4907280" cy="3271520"/>
                    </a:xfrm>
                    <a:prstGeom prst="rect">
                      <a:avLst/>
                    </a:prstGeom>
                    <a:noFill/>
                    <a:ln w="9525">
                      <a:noFill/>
                      <a:headEnd/>
                      <a:tailEnd/>
                    </a:ln>
                  </pic:spPr>
                </pic:pic>
              </a:graphicData>
            </a:graphic>
          </wp:inline>
        </w:drawing>
      </w:r>
    </w:p>
    <w:p>
      <w:pPr>
        <w:pStyle w:val="ImageCaption"/>
      </w:pPr>
      <w:r>
        <w:t xml:space="preserve">Figure 19. All-India June–September rainfall (mm) and 11-year moving average, 1901–2015.</w:t>
      </w:r>
    </w:p>
    <w:p>
      <w:pPr>
        <w:pStyle w:val="CaptionedFigure"/>
      </w:pPr>
      <w:r>
        <w:drawing>
          <wp:inline>
            <wp:extent cx="4907280" cy="3271520"/>
            <wp:effectExtent b="0" l="0" r="0" t="0"/>
            <wp:docPr descr="Figure 20. Sample ACF and PACF of all-India annual rainfall. The lag-2 autocorrelation exceeds the approximate white-noise bound." title="" id="96" name="Picture"/>
            <a:graphic>
              <a:graphicData uri="http://schemas.openxmlformats.org/drawingml/2006/picture">
                <pic:pic>
                  <pic:nvPicPr>
                    <pic:cNvPr descr="../graphs/india_annual_acf.png" id="97" name="Picture"/>
                    <pic:cNvPicPr>
                      <a:picLocks noChangeArrowheads="1" noChangeAspect="1"/>
                    </pic:cNvPicPr>
                  </pic:nvPicPr>
                  <pic:blipFill>
                    <a:blip r:embed="rId95"/>
                    <a:stretch>
                      <a:fillRect/>
                    </a:stretch>
                  </pic:blipFill>
                  <pic:spPr bwMode="auto">
                    <a:xfrm>
                      <a:off x="0" y="0"/>
                      <a:ext cx="4907280" cy="3271520"/>
                    </a:xfrm>
                    <a:prstGeom prst="rect">
                      <a:avLst/>
                    </a:prstGeom>
                    <a:noFill/>
                    <a:ln w="9525">
                      <a:noFill/>
                      <a:headEnd/>
                      <a:tailEnd/>
                    </a:ln>
                  </pic:spPr>
                </pic:pic>
              </a:graphicData>
            </a:graphic>
          </wp:inline>
        </w:drawing>
      </w:r>
    </w:p>
    <w:p>
      <w:pPr>
        <w:pStyle w:val="ImageCaption"/>
      </w:pPr>
      <w:r>
        <w:t xml:space="preserve">Figure 20. Sample ACF and PACF of all-India annual rainfall. The lag-2 autocorrelation exceeds the approximate white-noise bound.</w:t>
      </w:r>
    </w:p>
    <w:p>
      <w:pPr>
        <w:pStyle w:val="BodyText"/>
      </w:pPr>
      <w:r>
        <w:t xml:space="preserve">The 11-year moving average is a smoother, not a test. Lag-1 sample ACF of annual rainfall is 0.125 (inside the approximate</w:t>
      </w:r>
      <w:r>
        <w:t xml:space="preserve"> </w:t>
      </w:r>
      <m:oMath>
        <m:r>
          <m:t>1.96</m:t>
        </m:r>
        <m:r>
          <m:rPr>
            <m:sty m:val="p"/>
          </m:rPr>
          <m:t>/</m:t>
        </m:r>
        <m:rad>
          <m:radPr>
            <m:degHide m:val="on"/>
          </m:radPr>
          <m:deg/>
          <m:e>
            <m:r>
              <m:t>n</m:t>
            </m:r>
          </m:e>
        </m:rad>
        <m:r>
          <m:rPr>
            <m:sty m:val="p"/>
          </m:rPr>
          <m:t>≈</m:t>
        </m:r>
        <m:r>
          <m:t>0.183</m:t>
        </m:r>
      </m:oMath>
      <w:r>
        <w:t xml:space="preserve"> </w:t>
      </w:r>
      <w:r>
        <w:t xml:space="preserve">bound). Lag-2 ACF is 0.308,</w:t>
      </w:r>
      <w:r>
        <w:t xml:space="preserve"> </w:t>
      </w:r>
      <w:r>
        <w:rPr>
          <w:b/>
          <w:bCs/>
        </w:rPr>
        <w:t xml:space="preserve">outside</w:t>
      </w:r>
      <w:r>
        <w:t xml:space="preserve"> </w:t>
      </w:r>
      <w:r>
        <w:t xml:space="preserve">that bound, so years are not a pure white-noise series. Mann–Kendall’s simple variance formula is therefore an approximation; a borderline</w:t>
      </w:r>
      <w:r>
        <w:t xml:space="preserve"> </w:t>
      </w:r>
      <m:oMath>
        <m:r>
          <m:t>p</m:t>
        </m:r>
      </m:oMath>
      <w:r>
        <w:t xml:space="preserve">-value would not be treated as decisive.</w:t>
      </w:r>
    </w:p>
    <w:p>
      <w:pPr>
        <w:pStyle w:val="TableCaption"/>
      </w:pPr>
      <w:r>
        <w:t xml:space="preserve">Table 11. National trend summaries. Mann–Kendall and Sen’s slope are the preferred inferential summaries when OLS assumptions are doubtful.</w:t>
      </w:r>
    </w:p>
    <w:tbl>
      <w:tblPr>
        <w:tblStyle w:val="Table"/>
        <w:tblW w:type="pct" w:w="5000"/>
        <w:tblLayout w:type="fixed"/>
        <w:tblLook w:firstRow="1" w:lastRow="0" w:firstColumn="0" w:lastColumn="0" w:noHBand="0" w:noVBand="0" w:val="0020"/>
        <w:tblCaption w:val="Table 11. National trend summaries. Mann–Kendall and Sen’s slope are the preferred inferential summaries when OLS assumptions are doubtful."/>
      </w:tblPr>
      <w:tblGrid>
        <w:gridCol w:w="589"/>
        <w:gridCol w:w="168"/>
        <w:gridCol w:w="926"/>
        <w:gridCol w:w="505"/>
        <w:gridCol w:w="842"/>
        <w:gridCol w:w="631"/>
        <w:gridCol w:w="631"/>
        <w:gridCol w:w="716"/>
        <w:gridCol w:w="631"/>
        <w:gridCol w:w="926"/>
        <w:gridCol w:w="589"/>
        <w:gridCol w:w="758"/>
      </w:tblGrid>
      <w:tr>
        <w:trPr>
          <w:tblHeader w:val="on"/>
        </w:trPr>
        <w:tc>
          <w:tcPr/>
          <w:p>
            <w:pPr>
              <w:pStyle w:val="Compact"/>
              <w:jc w:val="left"/>
            </w:pPr>
            <w:r>
              <w:t xml:space="preserve">series</w:t>
            </w:r>
          </w:p>
        </w:tc>
        <w:tc>
          <w:tcPr/>
          <w:p>
            <w:pPr>
              <w:pStyle w:val="Compact"/>
              <w:jc w:val="right"/>
            </w:pPr>
            <w:r>
              <w:t xml:space="preserve">n</w:t>
            </w:r>
          </w:p>
        </w:tc>
        <w:tc>
          <w:tcPr/>
          <w:p>
            <w:pPr>
              <w:pStyle w:val="Compact"/>
              <w:jc w:val="right"/>
            </w:pPr>
            <w:r>
              <w:t xml:space="preserve">ols_slope_mm_per_year</w:t>
            </w:r>
          </w:p>
        </w:tc>
        <w:tc>
          <w:tcPr/>
          <w:p>
            <w:pPr>
              <w:pStyle w:val="Compact"/>
              <w:jc w:val="right"/>
            </w:pPr>
            <w:r>
              <w:t xml:space="preserve">ols_slope_p</w:t>
            </w:r>
          </w:p>
        </w:tc>
        <w:tc>
          <w:tcPr/>
          <w:p>
            <w:pPr>
              <w:pStyle w:val="Compact"/>
              <w:jc w:val="right"/>
            </w:pPr>
            <w:r>
              <w:t xml:space="preserve">pearson_r_with_year</w:t>
            </w:r>
          </w:p>
        </w:tc>
        <w:tc>
          <w:tcPr/>
          <w:p>
            <w:pPr>
              <w:pStyle w:val="Compact"/>
              <w:jc w:val="right"/>
            </w:pPr>
            <w:r>
              <w:t xml:space="preserve">mann_kendall_S</w:t>
            </w:r>
          </w:p>
        </w:tc>
        <w:tc>
          <w:tcPr/>
          <w:p>
            <w:pPr>
              <w:pStyle w:val="Compact"/>
              <w:jc w:val="right"/>
            </w:pPr>
            <w:r>
              <w:t xml:space="preserve">mann_kendall_Z</w:t>
            </w:r>
          </w:p>
        </w:tc>
        <w:tc>
          <w:tcPr/>
          <w:p>
            <w:pPr>
              <w:pStyle w:val="Compact"/>
              <w:jc w:val="right"/>
            </w:pPr>
            <w:r>
              <w:t xml:space="preserve">mann_kendall_tau</w:t>
            </w:r>
          </w:p>
        </w:tc>
        <w:tc>
          <w:tcPr/>
          <w:p>
            <w:pPr>
              <w:pStyle w:val="Compact"/>
              <w:jc w:val="right"/>
            </w:pPr>
            <w:r>
              <w:t xml:space="preserve">mann_kendall_p</w:t>
            </w:r>
          </w:p>
        </w:tc>
        <w:tc>
          <w:tcPr/>
          <w:p>
            <w:pPr>
              <w:pStyle w:val="Compact"/>
              <w:jc w:val="right"/>
            </w:pPr>
            <w:r>
              <w:t xml:space="preserve">sen_slope_mm_per_year</w:t>
            </w:r>
          </w:p>
        </w:tc>
        <w:tc>
          <w:tcPr/>
          <w:p>
            <w:pPr>
              <w:pStyle w:val="Compact"/>
              <w:jc w:val="right"/>
            </w:pPr>
            <w:r>
              <w:t xml:space="preserve">sen_intercept</w:t>
            </w:r>
          </w:p>
        </w:tc>
        <w:tc>
          <w:tcPr/>
          <w:p>
            <w:pPr>
              <w:pStyle w:val="Compact"/>
              <w:jc w:val="right"/>
            </w:pPr>
            <w:r>
              <w:t xml:space="preserve">durbin_watson_ols</w:t>
            </w:r>
          </w:p>
        </w:tc>
      </w:tr>
      <w:tr>
        <w:tc>
          <w:tcPr/>
          <w:p>
            <w:pPr>
              <w:pStyle w:val="Compact"/>
              <w:jc w:val="left"/>
            </w:pPr>
            <w:r>
              <w:t xml:space="preserve">India annual</w:t>
            </w:r>
          </w:p>
        </w:tc>
        <w:tc>
          <w:tcPr/>
          <w:p>
            <w:pPr>
              <w:pStyle w:val="Compact"/>
              <w:jc w:val="right"/>
            </w:pPr>
            <w:r>
              <w:t xml:space="preserve">115</w:t>
            </w:r>
          </w:p>
        </w:tc>
        <w:tc>
          <w:tcPr/>
          <w:p>
            <w:pPr>
              <w:pStyle w:val="Compact"/>
              <w:jc w:val="right"/>
            </w:pPr>
            <w:r>
              <w:t xml:space="preserve">-0.2967</w:t>
            </w:r>
          </w:p>
        </w:tc>
        <w:tc>
          <w:tcPr/>
          <w:p>
            <w:pPr>
              <w:pStyle w:val="Compact"/>
              <w:jc w:val="right"/>
            </w:pPr>
            <w:r>
              <w:t xml:space="preserve">0.3423</w:t>
            </w:r>
          </w:p>
        </w:tc>
        <w:tc>
          <w:tcPr/>
          <w:p>
            <w:pPr>
              <w:pStyle w:val="Compact"/>
              <w:jc w:val="right"/>
            </w:pPr>
            <w:r>
              <w:t xml:space="preserve">-0.089</w:t>
            </w:r>
          </w:p>
        </w:tc>
        <w:tc>
          <w:tcPr/>
          <w:p>
            <w:pPr>
              <w:pStyle w:val="Compact"/>
              <w:jc w:val="right"/>
            </w:pPr>
            <w:r>
              <w:t xml:space="preserve">-357</w:t>
            </w:r>
          </w:p>
        </w:tc>
        <w:tc>
          <w:tcPr/>
          <w:p>
            <w:pPr>
              <w:pStyle w:val="Compact"/>
              <w:jc w:val="right"/>
            </w:pPr>
            <w:r>
              <w:t xml:space="preserve">-0.861</w:t>
            </w:r>
          </w:p>
        </w:tc>
        <w:tc>
          <w:tcPr/>
          <w:p>
            <w:pPr>
              <w:pStyle w:val="Compact"/>
              <w:jc w:val="right"/>
            </w:pPr>
            <w:r>
              <w:t xml:space="preserve">-0.054</w:t>
            </w:r>
          </w:p>
        </w:tc>
        <w:tc>
          <w:tcPr/>
          <w:p>
            <w:pPr>
              <w:pStyle w:val="Compact"/>
              <w:jc w:val="right"/>
            </w:pPr>
            <w:r>
              <w:t xml:space="preserve">0.3895</w:t>
            </w:r>
          </w:p>
        </w:tc>
        <w:tc>
          <w:tcPr/>
          <w:p>
            <w:pPr>
              <w:pStyle w:val="Compact"/>
              <w:jc w:val="right"/>
            </w:pPr>
            <w:r>
              <w:t xml:space="preserve">-0.2722</w:t>
            </w:r>
          </w:p>
        </w:tc>
        <w:tc>
          <w:tcPr/>
          <w:p>
            <w:pPr>
              <w:pStyle w:val="Compact"/>
              <w:jc w:val="right"/>
            </w:pPr>
            <w:r>
              <w:t xml:space="preserve">1725.2</w:t>
            </w:r>
          </w:p>
        </w:tc>
        <w:tc>
          <w:tcPr/>
          <w:p>
            <w:pPr>
              <w:pStyle w:val="Compact"/>
              <w:jc w:val="right"/>
            </w:pPr>
            <w:r>
              <w:t xml:space="preserve">1.742</w:t>
            </w:r>
          </w:p>
        </w:tc>
      </w:tr>
      <w:tr>
        <w:tc>
          <w:tcPr/>
          <w:p>
            <w:pPr>
              <w:pStyle w:val="Compact"/>
              <w:jc w:val="left"/>
            </w:pPr>
            <w:r>
              <w:t xml:space="preserve">India Jun-Sep</w:t>
            </w:r>
          </w:p>
        </w:tc>
        <w:tc>
          <w:tcPr/>
          <w:p>
            <w:pPr>
              <w:pStyle w:val="Compact"/>
              <w:jc w:val="right"/>
            </w:pPr>
            <w:r>
              <w:t xml:space="preserve">115</w:t>
            </w:r>
          </w:p>
        </w:tc>
        <w:tc>
          <w:tcPr/>
          <w:p>
            <w:pPr>
              <w:pStyle w:val="Compact"/>
              <w:jc w:val="right"/>
            </w:pPr>
            <w:r>
              <w:t xml:space="preserve">-0.2261</w:t>
            </w:r>
          </w:p>
        </w:tc>
        <w:tc>
          <w:tcPr/>
          <w:p>
            <w:pPr>
              <w:pStyle w:val="Compact"/>
              <w:jc w:val="right"/>
            </w:pPr>
            <w:r>
              <w:t xml:space="preserve">0.3692</w:t>
            </w:r>
          </w:p>
        </w:tc>
        <w:tc>
          <w:tcPr/>
          <w:p>
            <w:pPr>
              <w:pStyle w:val="Compact"/>
              <w:jc w:val="right"/>
            </w:pPr>
            <w:r>
              <w:t xml:space="preserve">-0.085</w:t>
            </w:r>
          </w:p>
        </w:tc>
        <w:tc>
          <w:tcPr/>
          <w:p>
            <w:pPr>
              <w:pStyle w:val="Compact"/>
              <w:jc w:val="right"/>
            </w:pPr>
            <w:r>
              <w:t xml:space="preserve">-418</w:t>
            </w:r>
          </w:p>
        </w:tc>
        <w:tc>
          <w:tcPr/>
          <w:p>
            <w:pPr>
              <w:pStyle w:val="Compact"/>
              <w:jc w:val="right"/>
            </w:pPr>
            <w:r>
              <w:t xml:space="preserve">-1.008</w:t>
            </w:r>
          </w:p>
        </w:tc>
        <w:tc>
          <w:tcPr/>
          <w:p>
            <w:pPr>
              <w:pStyle w:val="Compact"/>
              <w:jc w:val="right"/>
            </w:pPr>
            <w:r>
              <w:t xml:space="preserve">-0.064</w:t>
            </w:r>
          </w:p>
        </w:tc>
        <w:tc>
          <w:tcPr/>
          <w:p>
            <w:pPr>
              <w:pStyle w:val="Compact"/>
              <w:jc w:val="right"/>
            </w:pPr>
            <w:r>
              <w:t xml:space="preserve">0.3135</w:t>
            </w:r>
          </w:p>
        </w:tc>
        <w:tc>
          <w:tcPr/>
          <w:p>
            <w:pPr>
              <w:pStyle w:val="Compact"/>
              <w:jc w:val="right"/>
            </w:pPr>
            <w:r>
              <w:t xml:space="preserve">-0.2536</w:t>
            </w:r>
          </w:p>
        </w:tc>
        <w:tc>
          <w:tcPr/>
          <w:p>
            <w:pPr>
              <w:pStyle w:val="Compact"/>
              <w:jc w:val="right"/>
            </w:pPr>
            <w:r>
              <w:t xml:space="preserve">1398.7</w:t>
            </w:r>
          </w:p>
        </w:tc>
        <w:tc>
          <w:tcPr/>
          <w:p>
            <w:pPr>
              <w:pStyle w:val="Compact"/>
              <w:jc w:val="right"/>
            </w:pPr>
            <w:r>
              <w:t xml:space="preserve">1.875</w:t>
            </w:r>
          </w:p>
        </w:tc>
      </w:tr>
    </w:tbl>
    <w:p>
      <w:pPr>
        <w:pStyle w:val="BodyText"/>
      </w:pPr>
      <w:r>
        <w:rPr>
          <w:b/>
          <w:bCs/>
        </w:rPr>
        <w:t xml:space="preserve">All-India annual.</w:t>
      </w:r>
      <w:r>
        <w:t xml:space="preserve"> </w:t>
      </w:r>
      <w:r>
        <w:t xml:space="preserve">OLS slope -0.2967 mm year</w:t>
      </w:r>
      <m:oMath>
        <m:sSup>
          <m:e>
            <m:r>
              <m:t>​</m:t>
            </m:r>
          </m:e>
          <m:sup>
            <m:r>
              <m:rPr>
                <m:sty m:val="p"/>
              </m:rPr>
              <m:t>−</m:t>
            </m:r>
            <m:r>
              <m:t>1</m:t>
            </m:r>
          </m:sup>
        </m:sSup>
      </m:oMath>
      <w:r>
        <w:t xml:space="preserve">,</w:t>
      </w:r>
      <w:r>
        <w:t xml:space="preserve"> </w:t>
      </w:r>
      <m:oMath>
        <m:r>
          <m:t>p</m:t>
        </m:r>
        <m:r>
          <m:rPr>
            <m:sty m:val="p"/>
          </m:rPr>
          <m:t>=</m:t>
        </m:r>
      </m:oMath>
      <w:r>
        <w:t xml:space="preserve"> </w:t>
      </w:r>
      <w:r>
        <w:t xml:space="preserve">0.3423. Mann–Kendall</w:t>
      </w:r>
      <w:r>
        <w:t xml:space="preserve"> </w:t>
      </w:r>
      <m:oMath>
        <m:r>
          <m:t>S</m:t>
        </m:r>
        <m:r>
          <m:rPr>
            <m:sty m:val="p"/>
          </m:rPr>
          <m:t>=</m:t>
        </m:r>
      </m:oMath>
      <w:r>
        <w:t xml:space="preserve"> </w:t>
      </w:r>
      <w:r>
        <w:t xml:space="preserve">-357,</w:t>
      </w:r>
      <w:r>
        <w:t xml:space="preserve"> </w:t>
      </w:r>
      <m:oMath>
        <m:r>
          <m:t>τ</m:t>
        </m:r>
        <m:r>
          <m:rPr>
            <m:sty m:val="p"/>
          </m:rPr>
          <m:t>=</m:t>
        </m:r>
      </m:oMath>
      <w:r>
        <w:t xml:space="preserve"> </w:t>
      </w:r>
      <w:r>
        <w:t xml:space="preserve">-0.054,</w:t>
      </w:r>
      <w:r>
        <w:t xml:space="preserve"> </w:t>
      </w:r>
      <m:oMath>
        <m:r>
          <m:t>Z</m:t>
        </m:r>
        <m:r>
          <m:rPr>
            <m:sty m:val="p"/>
          </m:rPr>
          <m:t>=</m:t>
        </m:r>
      </m:oMath>
      <w:r>
        <w:t xml:space="preserve"> </w:t>
      </w:r>
      <w:r>
        <w:t xml:space="preserve">-0.861,</w:t>
      </w:r>
      <w:r>
        <w:t xml:space="preserve"> </w:t>
      </w:r>
      <m:oMath>
        <m:r>
          <m:t>p</m:t>
        </m:r>
        <m:r>
          <m:rPr>
            <m:sty m:val="p"/>
          </m:rPr>
          <m:t>=</m:t>
        </m:r>
      </m:oMath>
      <w:r>
        <w:t xml:space="preserve"> </w:t>
      </w:r>
      <w:r>
        <w:t xml:space="preserve">0.3895. Sen’s slope -0.2722 mm year</w:t>
      </w:r>
      <m:oMath>
        <m:sSup>
          <m:e>
            <m:r>
              <m:t>​</m:t>
            </m:r>
          </m:e>
          <m:sup>
            <m:r>
              <m:rPr>
                <m:sty m:val="p"/>
              </m:rPr>
              <m:t>−</m:t>
            </m:r>
            <m:r>
              <m:t>1</m:t>
            </m:r>
          </m:sup>
        </m:sSup>
      </m:oMath>
      <w:r>
        <w:t xml:space="preserve">.</w:t>
      </w:r>
      <w:r>
        <w:t xml:space="preserve"> </w:t>
      </w:r>
      <w:r>
        <w:rPr>
          <w:b/>
          <w:bCs/>
        </w:rPr>
        <w:t xml:space="preserve">Do not reject</w:t>
      </w:r>
      <w:r>
        <w:t xml:space="preserve"> </w:t>
      </w:r>
      <w:r>
        <w:t xml:space="preserve">“no monotonic trend” at 5%.</w:t>
      </w:r>
    </w:p>
    <w:p>
      <w:pPr>
        <w:pStyle w:val="BodyText"/>
      </w:pPr>
      <w:r>
        <w:rPr>
          <w:b/>
          <w:bCs/>
        </w:rPr>
        <w:t xml:space="preserve">June–September.</w:t>
      </w:r>
      <w:r>
        <w:t xml:space="preserve"> </w:t>
      </w:r>
      <w:r>
        <w:t xml:space="preserve">Mann–Kendall</w:t>
      </w:r>
      <w:r>
        <w:t xml:space="preserve"> </w:t>
      </w:r>
      <m:oMath>
        <m:r>
          <m:t>p</m:t>
        </m:r>
        <m:r>
          <m:rPr>
            <m:sty m:val="p"/>
          </m:rPr>
          <m:t>=</m:t>
        </m:r>
      </m:oMath>
      <w:r>
        <w:t xml:space="preserve"> </w:t>
      </w:r>
      <w:r>
        <w:t xml:space="preserve">0.3135; Sen slope -0.2536 mm year</w:t>
      </w:r>
      <m:oMath>
        <m:sSup>
          <m:e>
            <m:r>
              <m:t>​</m:t>
            </m:r>
          </m:e>
          <m:sup>
            <m:r>
              <m:rPr>
                <m:sty m:val="p"/>
              </m:rPr>
              <m:t>−</m:t>
            </m:r>
            <m:r>
              <m:t>1</m:t>
            </m:r>
          </m:sup>
        </m:sSup>
      </m:oMath>
      <w:r>
        <w:t xml:space="preserve">. Same decision.</w:t>
      </w:r>
    </w:p>
    <w:p>
      <w:pPr>
        <w:pStyle w:val="BodyText"/>
      </w:pPr>
      <w:r>
        <w:t xml:space="preserve">Selected regional Mann–Kendall tests (complete years) do</w:t>
      </w:r>
      <w:r>
        <w:t xml:space="preserve"> </w:t>
      </w:r>
      <w:r>
        <w:rPr>
          <w:b/>
          <w:bCs/>
        </w:rPr>
        <w:t xml:space="preserve">not</w:t>
      </w:r>
      <w:r>
        <w:t xml:space="preserve"> </w:t>
      </w:r>
      <w:r>
        <w:t xml:space="preserve">all point the same way: Kerala</w:t>
      </w:r>
      <w:r>
        <w:t xml:space="preserve"> </w:t>
      </w:r>
      <m:oMath>
        <m:r>
          <m:t>τ</m:t>
        </m:r>
        <m:r>
          <m:rPr>
            <m:sty m:val="p"/>
          </m:rPr>
          <m:t>=</m:t>
        </m:r>
      </m:oMath>
      <w:r>
        <w:t xml:space="preserve"> </w:t>
      </w:r>
      <w:r>
        <w:t xml:space="preserve">-0.135,</w:t>
      </w:r>
      <w:r>
        <w:t xml:space="preserve"> </w:t>
      </w:r>
      <m:oMath>
        <m:r>
          <m:t>p</m:t>
        </m:r>
        <m:r>
          <m:rPr>
            <m:sty m:val="p"/>
          </m:rPr>
          <m:t>=</m:t>
        </m:r>
      </m:oMath>
      <w:r>
        <w:t xml:space="preserve"> </w:t>
      </w:r>
      <w:r>
        <w:t xml:space="preserve">0.0326 (negative Sen slope); Coastal Karnataka</w:t>
      </w:r>
      <w:r>
        <w:t xml:space="preserve"> </w:t>
      </w:r>
      <m:oMath>
        <m:r>
          <m:t>p</m:t>
        </m:r>
        <m:r>
          <m:rPr>
            <m:sty m:val="p"/>
          </m:rPr>
          <m:t>=</m:t>
        </m:r>
      </m:oMath>
      <w:r>
        <w:t xml:space="preserve"> </w:t>
      </w:r>
      <w:r>
        <w:t xml:space="preserve">0.0027 (positive); Gangetic West Bengal</w:t>
      </w:r>
      <w:r>
        <w:t xml:space="preserve"> </w:t>
      </w:r>
      <m:oMath>
        <m:r>
          <m:t>p</m:t>
        </m:r>
        <m:r>
          <m:rPr>
            <m:sty m:val="p"/>
          </m:rPr>
          <m:t>=</m:t>
        </m:r>
      </m:oMath>
      <w:r>
        <w:t xml:space="preserve"> </w:t>
      </w:r>
      <w:r>
        <w:t xml:space="preserve">0.0234 (positive); Tamil Nadu, Punjab and West Rajasthan are not significant at 5%. Mixed regional signs, plus multiple testing, forbid a single “India is drying/wetting” slogan. None of these tests identifies a cause.</w:t>
      </w:r>
    </w:p>
    <w:bookmarkEnd w:id="98"/>
    <w:bookmarkStart w:id="99" w:name="results-and-discussion"/>
    <w:p>
      <w:pPr>
        <w:pStyle w:val="Heading1"/>
      </w:pPr>
      <w:r>
        <w:t xml:space="preserve">Results and discussion</w:t>
      </w:r>
    </w:p>
    <w:p>
      <w:pPr>
        <w:pStyle w:val="FirstParagraph"/>
      </w:pPr>
      <w:r>
        <w:t xml:space="preserve">Putting the pieces together:</w:t>
      </w:r>
    </w:p>
    <w:p>
      <w:pPr>
        <w:pStyle w:val="Compact"/>
        <w:numPr>
          <w:ilvl w:val="0"/>
          <w:numId w:val="1005"/>
        </w:numPr>
      </w:pPr>
      <w:r>
        <w:rPr>
          <w:b/>
          <w:bCs/>
        </w:rPr>
        <w:t xml:space="preserve">Monsoon dominance is quantitative, not rhetorical.</w:t>
      </w:r>
      <w:r>
        <w:t xml:space="preserve"> </w:t>
      </w:r>
      <w:r>
        <w:t xml:space="preserve">June–September is about 75.3% of mean annual rainfall and was the wettest IMD season in all 115 years.</w:t>
      </w:r>
    </w:p>
    <w:p>
      <w:pPr>
        <w:pStyle w:val="Compact"/>
        <w:numPr>
          <w:ilvl w:val="0"/>
          <w:numId w:val="1005"/>
        </w:numPr>
      </w:pPr>
      <w:r>
        <w:rPr>
          <w:b/>
          <w:bCs/>
        </w:rPr>
        <w:t xml:space="preserve">All-India annual rainfall is relatively stable year to year</w:t>
      </w:r>
      <w:r>
        <w:t xml:space="preserve"> </w:t>
      </w:r>
      <w:r>
        <w:t xml:space="preserve">(CV 9.36%) and surprisingly close to a normal (and to a large-shape gamma) model. Local December rainfall in West Rajasthan is not: more than one-third of those months are dry zeros.</w:t>
      </w:r>
    </w:p>
    <w:p>
      <w:pPr>
        <w:pStyle w:val="Compact"/>
        <w:numPr>
          <w:ilvl w:val="0"/>
          <w:numId w:val="1005"/>
        </w:numPr>
      </w:pPr>
      <w:r>
        <w:rPr>
          <w:b/>
          <w:bCs/>
        </w:rPr>
        <w:t xml:space="preserve">Textbook 1180 mm</w:t>
      </w:r>
      <w:r>
        <w:t xml:space="preserve"> </w:t>
      </w:r>
      <w:r>
        <w:t xml:space="preserve">is compatible with this series mean (1182.03 mm; 95% CI 1161.59–1202.48 mm).</w:t>
      </w:r>
    </w:p>
    <w:p>
      <w:pPr>
        <w:pStyle w:val="Compact"/>
        <w:numPr>
          <w:ilvl w:val="0"/>
          <w:numId w:val="1005"/>
        </w:numPr>
      </w:pPr>
      <w:r>
        <w:rPr>
          <w:b/>
          <w:bCs/>
        </w:rPr>
        <w:t xml:space="preserve">Regions are not interchangeable.</w:t>
      </w:r>
      <w:r>
        <w:t xml:space="preserve"> </w:t>
      </w:r>
      <w:r>
        <w:t xml:space="preserve">Kerala minus West Rajasthan is about 2630 mm in mean annual rainfall; Welch and rank tests reject equality by an enormous margin. Relative variability is larger in arid subdivisions.</w:t>
      </w:r>
    </w:p>
    <w:p>
      <w:pPr>
        <w:pStyle w:val="Compact"/>
        <w:numPr>
          <w:ilvl w:val="0"/>
          <w:numId w:val="1005"/>
        </w:numPr>
      </w:pPr>
      <w:r>
        <w:rPr>
          <w:b/>
          <w:bCs/>
        </w:rPr>
        <w:t xml:space="preserve">Seasons of the same year are not independent groups</w:t>
      </w:r>
      <w:r>
        <w:t xml:space="preserve">; pairing was used for monsoon versus post-monsoon. Winter and monsoon totals are only weakly and non-significantly correlated nationally.</w:t>
      </w:r>
    </w:p>
    <w:p>
      <w:pPr>
        <w:pStyle w:val="Compact"/>
        <w:numPr>
          <w:ilvl w:val="0"/>
          <w:numId w:val="1005"/>
        </w:numPr>
      </w:pPr>
      <w:r>
        <w:rPr>
          <w:b/>
          <w:bCs/>
        </w:rPr>
        <w:t xml:space="preserve">Deficient-monsoon years</w:t>
      </w:r>
      <w:r>
        <w:t xml:space="preserve"> </w:t>
      </w:r>
      <w:r>
        <w:t xml:space="preserve">are about 22% of this record under a 90%-of-sample-mean rule. Early versus late period is not associated with that classification in a chi-square test (</w:t>
      </w:r>
      <m:oMath>
        <m:r>
          <m:t>p</m:t>
        </m:r>
        <m:r>
          <m:rPr>
            <m:sty m:val="p"/>
          </m:rPr>
          <m:t>=</m:t>
        </m:r>
      </m:oMath>
      <w:r>
        <w:t xml:space="preserve"> </w:t>
      </w:r>
      <w:r>
        <w:t xml:space="preserve">0.8456).</w:t>
      </w:r>
    </w:p>
    <w:p>
      <w:pPr>
        <w:pStyle w:val="Compact"/>
        <w:numPr>
          <w:ilvl w:val="0"/>
          <w:numId w:val="1005"/>
        </w:numPr>
      </w:pPr>
      <w:r>
        <w:rPr>
          <w:b/>
          <w:bCs/>
        </w:rPr>
        <w:t xml:space="preserve">National trend tests are negative at 5%.</w:t>
      </w:r>
      <w:r>
        <w:t xml:space="preserve"> </w:t>
      </w:r>
      <w:r>
        <w:t xml:space="preserve">OLS</w:t>
      </w:r>
      <w:r>
        <w:t xml:space="preserve"> </w:t>
      </w:r>
      <m:oMath>
        <m:sSup>
          <m:e>
            <m:r>
              <m:t>R</m:t>
            </m:r>
          </m:e>
          <m:sup>
            <m:r>
              <m:t>2</m:t>
            </m:r>
          </m:sup>
        </m:sSup>
        <m:r>
          <m:rPr>
            <m:sty m:val="p"/>
          </m:rPr>
          <m:t>≈</m:t>
        </m:r>
        <m:r>
          <m:t>0.008</m:t>
        </m:r>
      </m:oMath>
      <w:r>
        <w:t xml:space="preserve">; Mann–Kendall</w:t>
      </w:r>
      <w:r>
        <w:t xml:space="preserve"> </w:t>
      </w:r>
      <m:oMath>
        <m:r>
          <m:t>p</m:t>
        </m:r>
        <m:r>
          <m:rPr>
            <m:sty m:val="p"/>
          </m:rPr>
          <m:t>=</m:t>
        </m:r>
      </m:oMath>
      <w:r>
        <w:t xml:space="preserve"> </w:t>
      </w:r>
      <w:r>
        <w:t xml:space="preserve">0.3895. Some subdivisions show their own slopes; they do not add up to an attributed national climate signal.</w:t>
      </w:r>
    </w:p>
    <w:p>
      <w:pPr>
        <w:pStyle w:val="FirstParagraph"/>
      </w:pPr>
      <w:r>
        <w:t xml:space="preserve">These findings are about</w:t>
      </w:r>
      <w:r>
        <w:t xml:space="preserve"> </w:t>
      </w:r>
      <w:r>
        <w:rPr>
          <w:b/>
          <w:bCs/>
        </w:rPr>
        <w:t xml:space="preserve">this IMD record</w:t>
      </w:r>
      <w:r>
        <w:t xml:space="preserve">, under the assumptions stated. They are suitable for a viva if the student can explain why pairing, Welch, bootstrap KS, and Mann–Kendall were chosen.</w:t>
      </w:r>
    </w:p>
    <w:bookmarkEnd w:id="99"/>
    <w:bookmarkStart w:id="100" w:name="limitations"/>
    <w:p>
      <w:pPr>
        <w:pStyle w:val="Heading1"/>
      </w:pPr>
      <w:r>
        <w:t xml:space="preserve">Limitations</w:t>
      </w:r>
    </w:p>
    <w:p>
      <w:pPr>
        <w:pStyle w:val="Compact"/>
        <w:numPr>
          <w:ilvl w:val="0"/>
          <w:numId w:val="1006"/>
        </w:numPr>
      </w:pPr>
      <w:r>
        <w:rPr>
          <w:b/>
          <w:bCs/>
        </w:rPr>
        <w:t xml:space="preserve">One climate path.</w:t>
      </w:r>
      <w:r>
        <w:t xml:space="preserve"> </w:t>
      </w:r>
      <w:r>
        <w:t xml:space="preserve">The 115 years are not a simple random sample of hypothetical years.</w:t>
      </w:r>
    </w:p>
    <w:p>
      <w:pPr>
        <w:pStyle w:val="Compact"/>
        <w:numPr>
          <w:ilvl w:val="0"/>
          <w:numId w:val="1006"/>
        </w:numPr>
      </w:pPr>
      <w:r>
        <w:rPr>
          <w:b/>
          <w:bCs/>
        </w:rPr>
        <w:t xml:space="preserve">Temporal dependence.</w:t>
      </w:r>
      <w:r>
        <w:t xml:space="preserve"> </w:t>
      </w:r>
      <w:r>
        <w:t xml:space="preserve">Lag-2 autocorrelation of annual totals violates strict iid assumptions behind SEs,</w:t>
      </w:r>
      <w:r>
        <w:t xml:space="preserve"> </w:t>
      </w:r>
      <m:oMath>
        <m:r>
          <m:t>t</m:t>
        </m:r>
      </m:oMath>
      <w:r>
        <w:t xml:space="preserve"> </w:t>
      </w:r>
      <w:r>
        <w:t xml:space="preserve">intervals, OLS</w:t>
      </w:r>
      <w:r>
        <w:t xml:space="preserve"> </w:t>
      </w:r>
      <m:oMath>
        <m:r>
          <m:t>p</m:t>
        </m:r>
      </m:oMath>
      <w:r>
        <w:t xml:space="preserve">-values and unmodified Mann–Kendall variance.</w:t>
      </w:r>
    </w:p>
    <w:p>
      <w:pPr>
        <w:pStyle w:val="Compact"/>
        <w:numPr>
          <w:ilvl w:val="0"/>
          <w:numId w:val="1006"/>
        </w:numPr>
      </w:pPr>
      <w:r>
        <w:rPr>
          <w:b/>
          <w:bCs/>
        </w:rPr>
        <w:t xml:space="preserve">LPA analogue.</w:t>
      </w:r>
      <w:r>
        <w:t xml:space="preserve"> </w:t>
      </w:r>
      <w:r>
        <w:t xml:space="preserve">Deficient/excess classes use this sample mean, not the official IMD LPA window.</w:t>
      </w:r>
    </w:p>
    <w:p>
      <w:pPr>
        <w:pStyle w:val="Compact"/>
        <w:numPr>
          <w:ilvl w:val="0"/>
          <w:numId w:val="1006"/>
        </w:numPr>
      </w:pPr>
      <w:r>
        <w:rPr>
          <w:b/>
          <w:bCs/>
        </w:rPr>
        <w:t xml:space="preserve">Unbalanced regional panel.</w:t>
      </w:r>
      <w:r>
        <w:t xml:space="preserve"> </w:t>
      </w:r>
      <w:r>
        <w:t xml:space="preserve">Missing years were not invented; ANOVA used a common complete-year window.</w:t>
      </w:r>
    </w:p>
    <w:p>
      <w:pPr>
        <w:pStyle w:val="Compact"/>
        <w:numPr>
          <w:ilvl w:val="0"/>
          <w:numId w:val="1006"/>
        </w:numPr>
      </w:pPr>
      <w:r>
        <w:rPr>
          <w:b/>
          <w:bCs/>
        </w:rPr>
        <w:t xml:space="preserve">National versus regional support.</w:t>
      </w:r>
      <w:r>
        <w:t xml:space="preserve"> </w:t>
      </w:r>
      <w:r>
        <w:t xml:space="preserve">Area-weighted India</w:t>
      </w:r>
      <w:r>
        <w:t xml:space="preserve"> </w:t>
      </w:r>
      <m:oMath>
        <m:r>
          <m:rPr>
            <m:sty m:val="p"/>
          </m:rPr>
          <m:t>≠</m:t>
        </m:r>
      </m:oMath>
      <w:r>
        <w:t xml:space="preserve"> </w:t>
      </w:r>
      <w:r>
        <w:t xml:space="preserve">mean of 36 boxes.</w:t>
      </w:r>
    </w:p>
    <w:p>
      <w:pPr>
        <w:pStyle w:val="Compact"/>
        <w:numPr>
          <w:ilvl w:val="0"/>
          <w:numId w:val="1006"/>
        </w:numPr>
      </w:pPr>
      <w:r>
        <w:rPr>
          <w:b/>
          <w:bCs/>
        </w:rPr>
        <w:t xml:space="preserve">No daily data.</w:t>
      </w:r>
      <w:r>
        <w:t xml:space="preserve"> </w:t>
      </w:r>
      <w:r>
        <w:t xml:space="preserve">Spell lengths, intensity and true waiting-time exponential models cannot be studied.</w:t>
      </w:r>
    </w:p>
    <w:p>
      <w:pPr>
        <w:pStyle w:val="Compact"/>
        <w:numPr>
          <w:ilvl w:val="0"/>
          <w:numId w:val="1006"/>
        </w:numPr>
      </w:pPr>
      <w:r>
        <w:rPr>
          <w:b/>
          <w:bCs/>
        </w:rPr>
        <w:t xml:space="preserve">IQR outlier flags.</w:t>
      </w:r>
      <w:r>
        <w:t xml:space="preserve"> </w:t>
      </w:r>
      <w:r>
        <w:t xml:space="preserve">Monthly rainfall is skewed, so many subdivision months are flagged; flags are not deletions.</w:t>
      </w:r>
    </w:p>
    <w:p>
      <w:pPr>
        <w:pStyle w:val="Compact"/>
        <w:numPr>
          <w:ilvl w:val="0"/>
          <w:numId w:val="1006"/>
        </w:numPr>
      </w:pPr>
      <w:r>
        <w:rPr>
          <w:b/>
          <w:bCs/>
        </w:rPr>
        <w:t xml:space="preserve">Multiple regional tests.</w:t>
      </w:r>
      <w:r>
        <w:t xml:space="preserve"> </w:t>
      </w:r>
      <w:r>
        <w:t xml:space="preserve">Six Mann–Kendall tests were not family-wise error controlled; significant regional slopes are exploratory.</w:t>
      </w:r>
    </w:p>
    <w:p>
      <w:pPr>
        <w:pStyle w:val="Compact"/>
        <w:numPr>
          <w:ilvl w:val="0"/>
          <w:numId w:val="1006"/>
        </w:numPr>
      </w:pPr>
      <w:r>
        <w:rPr>
          <w:b/>
          <w:bCs/>
        </w:rPr>
        <w:t xml:space="preserve">No causation.</w:t>
      </w:r>
      <w:r>
        <w:t xml:space="preserve"> </w:t>
      </w:r>
      <w:r>
        <w:t xml:space="preserve">Correlation, regression on year, and period</w:t>
      </w:r>
      <w:r>
        <w:t xml:space="preserve"> </w:t>
      </w:r>
      <m:oMath>
        <m:r>
          <m:rPr>
            <m:sty m:val="p"/>
          </m:rPr>
          <m:t>×</m:t>
        </m:r>
      </m:oMath>
      <w:r>
        <w:t xml:space="preserve"> </w:t>
      </w:r>
      <w:r>
        <w:t xml:space="preserve">category tables do not identify physical drivers.</w:t>
      </w:r>
    </w:p>
    <w:p>
      <w:pPr>
        <w:pStyle w:val="Compact"/>
        <w:numPr>
          <w:ilvl w:val="0"/>
          <w:numId w:val="1006"/>
        </w:numPr>
      </w:pPr>
      <w:r>
        <w:rPr>
          <w:b/>
          <w:bCs/>
        </w:rPr>
        <w:t xml:space="preserve">Exponential model</w:t>
      </w:r>
      <w:r>
        <w:t xml:space="preserve"> </w:t>
      </w:r>
      <w:r>
        <w:t xml:space="preserve">was never a serious candidate for annual totals; it is a teaching counter-example.</w:t>
      </w:r>
    </w:p>
    <w:p>
      <w:pPr>
        <w:pStyle w:val="Compact"/>
        <w:numPr>
          <w:ilvl w:val="0"/>
          <w:numId w:val="1006"/>
        </w:numPr>
      </w:pPr>
      <w:r>
        <w:rPr>
          <w:b/>
          <w:bCs/>
        </w:rPr>
        <w:t xml:space="preserve">Chi-square GOF</w:t>
      </w:r>
      <w:r>
        <w:t xml:space="preserve"> </w:t>
      </w:r>
      <w:r>
        <w:t xml:space="preserve">for wettest season has expected counts</w:t>
      </w:r>
      <w:r>
        <w:t xml:space="preserve"> </w:t>
      </w:r>
      <m:oMath>
        <m:r>
          <m:rPr>
            <m:sty m:val="p"/>
          </m:rPr>
          <m:t>&gt;</m:t>
        </m:r>
        <m:r>
          <m:t>5</m:t>
        </m:r>
      </m:oMath>
      <w:r>
        <w:t xml:space="preserve"> </w:t>
      </w:r>
      <w:r>
        <w:t xml:space="preserve">but observed zeros in three cells; the rejection is still obvious from the 115–0–0–0 table.</w:t>
      </w:r>
    </w:p>
    <w:p>
      <w:pPr>
        <w:pStyle w:val="FirstParagraph"/>
      </w:pPr>
      <w:r>
        <w:t xml:space="preserve">Analyses that were</w:t>
      </w:r>
      <w:r>
        <w:t xml:space="preserve"> </w:t>
      </w:r>
      <w:r>
        <w:rPr>
          <w:b/>
          <w:bCs/>
        </w:rPr>
        <w:t xml:space="preserve">not</w:t>
      </w:r>
      <w:r>
        <w:t xml:space="preserve"> </w:t>
      </w:r>
      <w:r>
        <w:t xml:space="preserve">done, because they would not be justified: chi-square tests on raw millimetres; independent</w:t>
      </w:r>
      <w:r>
        <w:t xml:space="preserve"> </w:t>
      </w:r>
      <m:oMath>
        <m:r>
          <m:t>t</m:t>
        </m:r>
      </m:oMath>
      <w:r>
        <w:t xml:space="preserve">-tests of two seasons from the same year; correlating annual totals with June–September; deleting extremes to “clean” monsoon; imputing missing monthly rain; claiming proof of climate change.</w:t>
      </w:r>
    </w:p>
    <w:bookmarkEnd w:id="100"/>
    <w:bookmarkStart w:id="101" w:name="conclusion"/>
    <w:p>
      <w:pPr>
        <w:pStyle w:val="Heading1"/>
      </w:pPr>
      <w:r>
        <w:t xml:space="preserve">Conclusion</w:t>
      </w:r>
    </w:p>
    <w:p>
      <w:pPr>
        <w:pStyle w:val="FirstParagraph"/>
      </w:pPr>
      <w:r>
        <w:t xml:space="preserve">Official IMD millimetre records, cleaned without fabrication, show an all-India climate whose annual total averages about 1182.03 mm, is dominated by June–September, and is compatible with a 1180 mm benchmark. Probability models that respect positivity (gamma) and models that do not (normal) both describe the</w:t>
      </w:r>
      <w:r>
        <w:t xml:space="preserve"> </w:t>
      </w:r>
      <w:r>
        <w:rPr>
          <w:i/>
          <w:iCs/>
        </w:rPr>
        <w:t xml:space="preserve">national annual</w:t>
      </w:r>
      <w:r>
        <w:t xml:space="preserve"> </w:t>
      </w:r>
      <w:r>
        <w:t xml:space="preserve">series reasonably; exponential does not. Regional India is another story: means and CVs differ by an order of magnitude, and Welch ANOVA rejects a common mean among six representative subdivisions. National linear and Mann–Kendall trends over 1901–2015 are not significant at 5%. The honest statistical conclusion is descriptive and comparative, not causal.</w:t>
      </w:r>
    </w:p>
    <w:bookmarkEnd w:id="101"/>
    <w:bookmarkStart w:id="102" w:name="references"/>
    <w:p>
      <w:pPr>
        <w:pStyle w:val="Heading1"/>
      </w:pPr>
      <w:r>
        <w:t xml:space="preserve">References</w:t>
      </w:r>
    </w:p>
    <w:p>
      <w:pPr>
        <w:pStyle w:val="Compact"/>
        <w:numPr>
          <w:ilvl w:val="0"/>
          <w:numId w:val="1007"/>
        </w:numPr>
      </w:pPr>
      <w:r>
        <w:t xml:space="preserve">India Meteorological Department (IMD), Ministry of Earth Sciences, Government of India. Area-weighted monthly, seasonal and annual rainfall series for India, 1901–2015. Data file:</w:t>
      </w:r>
      <w:r>
        <w:t xml:space="preserve"> </w:t>
      </w:r>
      <w:r>
        <w:rPr>
          <w:rStyle w:val="VerbatimChar"/>
        </w:rPr>
        <w:t xml:space="preserve">rainfall_area-wt_India_1901-2015.csv</w:t>
      </w:r>
      <w:r>
        <w:t xml:space="preserve">.</w:t>
      </w:r>
    </w:p>
    <w:p>
      <w:pPr>
        <w:pStyle w:val="Compact"/>
        <w:numPr>
          <w:ilvl w:val="0"/>
          <w:numId w:val="1007"/>
        </w:numPr>
      </w:pPr>
      <w:r>
        <w:t xml:space="preserve">India Meteorological Department (IMD), Ministry of Earth Sciences, Government of India. Rainfall for meteorological sub-divisions of India, records through 2017. Data file:</w:t>
      </w:r>
      <w:r>
        <w:t xml:space="preserve"> </w:t>
      </w:r>
      <w:r>
        <w:rPr>
          <w:rStyle w:val="VerbatimChar"/>
        </w:rPr>
        <w:t xml:space="preserve">Sub_Division_IMD_2017.csv</w:t>
      </w:r>
      <w:r>
        <w:t xml:space="preserve">.</w:t>
      </w:r>
    </w:p>
    <w:p>
      <w:pPr>
        <w:pStyle w:val="Compact"/>
        <w:numPr>
          <w:ilvl w:val="0"/>
          <w:numId w:val="1007"/>
        </w:numPr>
      </w:pPr>
      <w:r>
        <w:t xml:space="preserve">India Meteorological Department. Operational practice of classifying southwest monsoon seasonal rainfall as deficient, normal or excess relative to a long-period average (LPA). This project uses 90% and 110% of the</w:t>
      </w:r>
      <w:r>
        <w:t xml:space="preserve"> </w:t>
      </w:r>
      <w:r>
        <w:rPr>
          <w:i/>
          <w:iCs/>
        </w:rPr>
        <w:t xml:space="preserve">sample</w:t>
      </w:r>
      <w:r>
        <w:t xml:space="preserve"> </w:t>
      </w:r>
      <w:r>
        <w:t xml:space="preserve">mean as an analogue, not a substitute for the official LPA.</w:t>
      </w:r>
    </w:p>
    <w:p>
      <w:pPr>
        <w:pStyle w:val="Compact"/>
        <w:numPr>
          <w:ilvl w:val="0"/>
          <w:numId w:val="1007"/>
        </w:numPr>
      </w:pPr>
      <w:r>
        <w:t xml:space="preserve">Wilcoxon, F. (1945). Individual comparisons by ranking methods.</w:t>
      </w:r>
      <w:r>
        <w:t xml:space="preserve"> </w:t>
      </w:r>
      <w:r>
        <w:rPr>
          <w:i/>
          <w:iCs/>
        </w:rPr>
        <w:t xml:space="preserve">Biometrics Bulletin</w:t>
      </w:r>
      <w:r>
        <w:t xml:space="preserve">, 1(6), 80–83.</w:t>
      </w:r>
    </w:p>
    <w:p>
      <w:pPr>
        <w:pStyle w:val="Compact"/>
        <w:numPr>
          <w:ilvl w:val="0"/>
          <w:numId w:val="1007"/>
        </w:numPr>
      </w:pPr>
      <w:r>
        <w:t xml:space="preserve">Mann, H. B. (1945). Nonparametric tests against trend.</w:t>
      </w:r>
      <w:r>
        <w:t xml:space="preserve"> </w:t>
      </w:r>
      <w:r>
        <w:rPr>
          <w:i/>
          <w:iCs/>
        </w:rPr>
        <w:t xml:space="preserve">Econometrica</w:t>
      </w:r>
      <w:r>
        <w:t xml:space="preserve">, 13(3), 245–259.</w:t>
      </w:r>
    </w:p>
    <w:p>
      <w:pPr>
        <w:pStyle w:val="Compact"/>
        <w:numPr>
          <w:ilvl w:val="0"/>
          <w:numId w:val="1007"/>
        </w:numPr>
      </w:pPr>
      <w:r>
        <w:t xml:space="preserve">Kendall, M. G. (1975).</w:t>
      </w:r>
      <w:r>
        <w:t xml:space="preserve"> </w:t>
      </w:r>
      <w:r>
        <w:rPr>
          <w:i/>
          <w:iCs/>
        </w:rPr>
        <w:t xml:space="preserve">Rank Correlation Methods</w:t>
      </w:r>
      <w:r>
        <w:t xml:space="preserve">. Charles Griffin.</w:t>
      </w:r>
    </w:p>
    <w:p>
      <w:pPr>
        <w:pStyle w:val="Compact"/>
        <w:numPr>
          <w:ilvl w:val="0"/>
          <w:numId w:val="1007"/>
        </w:numPr>
      </w:pPr>
      <w:r>
        <w:t xml:space="preserve">Sen, P. K. (1968). Estimates of the regression coefficient based on Kendall’s tau.</w:t>
      </w:r>
      <w:r>
        <w:t xml:space="preserve"> </w:t>
      </w:r>
      <w:r>
        <w:rPr>
          <w:i/>
          <w:iCs/>
        </w:rPr>
        <w:t xml:space="preserve">Journal of the American Statistical Association</w:t>
      </w:r>
      <w:r>
        <w:t xml:space="preserve">, 63(324), 1379–1389.</w:t>
      </w:r>
    </w:p>
    <w:p>
      <w:pPr>
        <w:pStyle w:val="Compact"/>
        <w:numPr>
          <w:ilvl w:val="0"/>
          <w:numId w:val="1007"/>
        </w:numPr>
      </w:pPr>
      <w:r>
        <w:t xml:space="preserve">Shapiro, S. S., and Wilk, M. B. (1965). An analysis of variance test for normality.</w:t>
      </w:r>
      <w:r>
        <w:t xml:space="preserve"> </w:t>
      </w:r>
      <w:r>
        <w:rPr>
          <w:i/>
          <w:iCs/>
        </w:rPr>
        <w:t xml:space="preserve">Biometrika</w:t>
      </w:r>
      <w:r>
        <w:t xml:space="preserve">, 52(3–4), 591–611.</w:t>
      </w:r>
    </w:p>
    <w:p>
      <w:pPr>
        <w:pStyle w:val="Compact"/>
        <w:numPr>
          <w:ilvl w:val="0"/>
          <w:numId w:val="1007"/>
        </w:numPr>
      </w:pPr>
      <w:r>
        <w:t xml:space="preserve">Lilliefors, H. W. (1967). On the Kolmogorov–Smirnov test for normality with mean and variance unknown.</w:t>
      </w:r>
      <w:r>
        <w:t xml:space="preserve"> </w:t>
      </w:r>
      <w:r>
        <w:rPr>
          <w:i/>
          <w:iCs/>
        </w:rPr>
        <w:t xml:space="preserve">Journal of the American Statistical Association</w:t>
      </w:r>
      <w:r>
        <w:t xml:space="preserve">, 62(318), 399–402.</w:t>
      </w:r>
    </w:p>
    <w:p>
      <w:pPr>
        <w:pStyle w:val="Compact"/>
        <w:numPr>
          <w:ilvl w:val="0"/>
          <w:numId w:val="1007"/>
        </w:numPr>
      </w:pPr>
      <w:r>
        <w:t xml:space="preserve">Welch, B. L. (1947). The generalization of ‘Student’s’ problem when several different population variances are involved.</w:t>
      </w:r>
      <w:r>
        <w:t xml:space="preserve"> </w:t>
      </w:r>
      <w:r>
        <w:rPr>
          <w:i/>
          <w:iCs/>
        </w:rPr>
        <w:t xml:space="preserve">Biometrika</w:t>
      </w:r>
      <w:r>
        <w:t xml:space="preserve">, 34(1–2), 28–35.</w:t>
      </w:r>
    </w:p>
    <w:p>
      <w:pPr>
        <w:pStyle w:val="Compact"/>
        <w:numPr>
          <w:ilvl w:val="0"/>
          <w:numId w:val="1007"/>
        </w:numPr>
      </w:pPr>
      <w:r>
        <w:t xml:space="preserve">Durbin, J., and Watson, G. S. (1950). Testing for serial correlation in least squares regression. I.</w:t>
      </w:r>
      <w:r>
        <w:t xml:space="preserve"> </w:t>
      </w:r>
      <w:r>
        <w:rPr>
          <w:i/>
          <w:iCs/>
        </w:rPr>
        <w:t xml:space="preserve">Biometrika</w:t>
      </w:r>
      <w:r>
        <w:t xml:space="preserve">, 37(3–4), 409–428.</w:t>
      </w:r>
    </w:p>
    <w:p>
      <w:pPr>
        <w:pStyle w:val="Compact"/>
        <w:numPr>
          <w:ilvl w:val="0"/>
          <w:numId w:val="1007"/>
        </w:numPr>
      </w:pPr>
      <w:r>
        <w:t xml:space="preserve">Cook, R. D. (1977). Detection of influential observation in linear regression.</w:t>
      </w:r>
      <w:r>
        <w:t xml:space="preserve"> </w:t>
      </w:r>
      <w:r>
        <w:rPr>
          <w:i/>
          <w:iCs/>
        </w:rPr>
        <w:t xml:space="preserve">Technometrics</w:t>
      </w:r>
      <w:r>
        <w:t xml:space="preserve">, 19(1), 15–18.</w:t>
      </w:r>
    </w:p>
    <w:p>
      <w:pPr>
        <w:pStyle w:val="Compact"/>
        <w:numPr>
          <w:ilvl w:val="0"/>
          <w:numId w:val="1007"/>
        </w:numPr>
      </w:pPr>
      <w:r>
        <w:t xml:space="preserve">Wilks, D. S. (2011).</w:t>
      </w:r>
      <w:r>
        <w:t xml:space="preserve"> </w:t>
      </w:r>
      <w:r>
        <w:rPr>
          <w:i/>
          <w:iCs/>
        </w:rPr>
        <w:t xml:space="preserve">Statistical Methods in the Atmospheric Sciences</w:t>
      </w:r>
      <w:r>
        <w:t xml:space="preserve"> </w:t>
      </w:r>
      <w:r>
        <w:t xml:space="preserve">(3rd ed.). Academic Press.</w:t>
      </w:r>
    </w:p>
    <w:p>
      <w:pPr>
        <w:pStyle w:val="Compact"/>
        <w:numPr>
          <w:ilvl w:val="0"/>
          <w:numId w:val="1007"/>
        </w:numPr>
      </w:pPr>
      <w:r>
        <w:t xml:space="preserve">Helsel, D. R., and Hirsch, R. M. (2002).</w:t>
      </w:r>
      <w:r>
        <w:t xml:space="preserve"> </w:t>
      </w:r>
      <w:r>
        <w:rPr>
          <w:i/>
          <w:iCs/>
        </w:rPr>
        <w:t xml:space="preserve">Statistical Methods in Water Resources</w:t>
      </w:r>
      <w:r>
        <w:t xml:space="preserve">. U.S. Geological Survey.</w:t>
      </w:r>
    </w:p>
    <w:p>
      <w:pPr>
        <w:pStyle w:val="Compact"/>
        <w:numPr>
          <w:ilvl w:val="0"/>
          <w:numId w:val="1007"/>
        </w:numPr>
      </w:pPr>
      <w:r>
        <w:t xml:space="preserve">R Core Team (2026).</w:t>
      </w:r>
      <w:r>
        <w:t xml:space="preserve"> </w:t>
      </w:r>
      <w:r>
        <w:rPr>
          <w:i/>
          <w:iCs/>
        </w:rPr>
        <w:t xml:space="preserve">R: A Language and Environment for Statistical Computing</w:t>
      </w:r>
      <w:r>
        <w:t xml:space="preserve">. R Foundation, Vienna. Version 4.6.1.</w:t>
      </w:r>
    </w:p>
    <w:bookmarkEnd w:id="102"/>
    <w:bookmarkStart w:id="107" w:name="appendix"/>
    <w:p>
      <w:pPr>
        <w:pStyle w:val="Heading1"/>
      </w:pPr>
      <w:r>
        <w:t xml:space="preserve">Appendix</w:t>
      </w:r>
    </w:p>
    <w:bookmarkStart w:id="103" w:name="a.-project-layout-and-how-to-rerun"/>
    <w:p>
      <w:pPr>
        <w:pStyle w:val="Heading2"/>
      </w:pPr>
      <w:r>
        <w:t xml:space="preserve">A. Project layout and how to rerun</w:t>
      </w:r>
    </w:p>
    <w:p>
      <w:pPr>
        <w:pStyle w:val="FirstParagraph"/>
      </w:pPr>
      <w:r>
        <w:t xml:space="preserve">From the folder that contains</w:t>
      </w:r>
      <w:r>
        <w:t xml:space="preserve"> </w:t>
      </w:r>
      <w:r>
        <w:rPr>
          <w:rStyle w:val="VerbatimChar"/>
        </w:rPr>
        <w:t xml:space="preserve">data/</w:t>
      </w:r>
      <w:r>
        <w:t xml:space="preserve"> </w:t>
      </w:r>
      <w:r>
        <w:t xml:space="preserve">and</w:t>
      </w:r>
      <w:r>
        <w:t xml:space="preserve"> </w:t>
      </w:r>
      <w:r>
        <w:rPr>
          <w:rStyle w:val="VerbatimChar"/>
        </w:rPr>
        <w:t xml:space="preserve">R_code/</w:t>
      </w:r>
      <w:r>
        <w:t xml:space="preserve">, in RStudio:</w:t>
      </w:r>
    </w:p>
    <w:p>
      <w:pPr>
        <w:pStyle w:val="SourceCode"/>
      </w:pPr>
      <w:r>
        <w:rPr>
          <w:rStyle w:val="FunctionTok"/>
        </w:rPr>
        <w:t xml:space="preserve">source</w:t>
      </w:r>
      <w:r>
        <w:rPr>
          <w:rStyle w:val="NormalTok"/>
        </w:rPr>
        <w:t xml:space="preserve">(</w:t>
      </w:r>
      <w:r>
        <w:rPr>
          <w:rStyle w:val="StringTok"/>
        </w:rPr>
        <w:t xml:space="preserve">"R_code/01_data_inspection.R"</w:t>
      </w:r>
      <w:r>
        <w:rPr>
          <w:rStyle w:val="NormalTok"/>
        </w:rPr>
        <w:t xml:space="preserve">)</w:t>
      </w:r>
      <w:r>
        <w:br/>
      </w:r>
      <w:r>
        <w:rPr>
          <w:rStyle w:val="FunctionTok"/>
        </w:rPr>
        <w:t xml:space="preserve">source</w:t>
      </w:r>
      <w:r>
        <w:rPr>
          <w:rStyle w:val="NormalTok"/>
        </w:rPr>
        <w:t xml:space="preserve">(</w:t>
      </w:r>
      <w:r>
        <w:rPr>
          <w:rStyle w:val="StringTok"/>
        </w:rPr>
        <w:t xml:space="preserve">"R_code/02_data_cleaning.R"</w:t>
      </w:r>
      <w:r>
        <w:rPr>
          <w:rStyle w:val="NormalTok"/>
        </w:rPr>
        <w:t xml:space="preserve">)</w:t>
      </w:r>
      <w:r>
        <w:br/>
      </w:r>
      <w:r>
        <w:rPr>
          <w:rStyle w:val="FunctionTok"/>
        </w:rPr>
        <w:t xml:space="preserve">source</w:t>
      </w:r>
      <w:r>
        <w:rPr>
          <w:rStyle w:val="NormalTok"/>
        </w:rPr>
        <w:t xml:space="preserve">(</w:t>
      </w:r>
      <w:r>
        <w:rPr>
          <w:rStyle w:val="StringTok"/>
        </w:rPr>
        <w:t xml:space="preserve">"R_code/10_run_phase2.R"</w:t>
      </w:r>
      <w:r>
        <w:rPr>
          <w:rStyle w:val="NormalTok"/>
        </w:rPr>
        <w:t xml:space="preserve">)</w:t>
      </w:r>
      <w:r>
        <w:br/>
      </w:r>
      <w:r>
        <w:rPr>
          <w:rStyle w:val="FunctionTok"/>
        </w:rPr>
        <w:t xml:space="preserve">source</w:t>
      </w:r>
      <w:r>
        <w:rPr>
          <w:rStyle w:val="NormalTok"/>
        </w:rPr>
        <w:t xml:space="preserve">(</w:t>
      </w:r>
      <w:r>
        <w:rPr>
          <w:rStyle w:val="StringTok"/>
        </w:rPr>
        <w:t xml:space="preserve">"R_code/11_render_report.R"</w:t>
      </w:r>
      <w:r>
        <w:rPr>
          <w:rStyle w:val="NormalTok"/>
        </w:rPr>
        <w:t xml:space="preserve">)</w:t>
      </w:r>
    </w:p>
    <w:p>
      <w:pPr>
        <w:pStyle w:val="FirstParagraph"/>
      </w:pPr>
      <w:r>
        <w:t xml:space="preserve">Scripts</w:t>
      </w:r>
      <w:r>
        <w:t xml:space="preserve"> </w:t>
      </w:r>
      <w:r>
        <w:rPr>
          <w:rStyle w:val="VerbatimChar"/>
        </w:rPr>
        <w:t xml:space="preserve">03</w:t>
      </w:r>
      <w:r>
        <w:t xml:space="preserve">–</w:t>
      </w:r>
      <w:r>
        <w:rPr>
          <w:rStyle w:val="VerbatimChar"/>
        </w:rPr>
        <w:t xml:space="preserve">09</w:t>
      </w:r>
      <w:r>
        <w:t xml:space="preserve"> </w:t>
      </w:r>
      <w:r>
        <w:t xml:space="preserve">produce tables and figures;</w:t>
      </w:r>
      <w:r>
        <w:t xml:space="preserve"> </w:t>
      </w:r>
      <w:r>
        <w:rPr>
          <w:rStyle w:val="VerbatimChar"/>
        </w:rPr>
        <w:t xml:space="preserve">11</w:t>
      </w:r>
      <w:r>
        <w:t xml:space="preserve"> </w:t>
      </w:r>
      <w:r>
        <w:t xml:space="preserve">knits this file to Word (and PDF if LaTeX is installed). Relative paths are used throughout.</w:t>
      </w:r>
    </w:p>
    <w:bookmarkEnd w:id="103"/>
    <w:bookmarkStart w:id="104" w:name="b.-concept-coverage"/>
    <w:p>
      <w:pPr>
        <w:pStyle w:val="Heading2"/>
      </w:pPr>
      <w:r>
        <w:t xml:space="preserve">B. Concept coverage</w:t>
      </w:r>
    </w:p>
    <w:p>
      <w:pPr>
        <w:pStyle w:val="FirstParagraph"/>
      </w:pPr>
      <w:r>
        <w:t xml:space="preserve">See</w:t>
      </w:r>
      <w:r>
        <w:t xml:space="preserve"> </w:t>
      </w:r>
      <w:r>
        <w:rPr>
          <w:rStyle w:val="VerbatimChar"/>
        </w:rPr>
        <w:t xml:space="preserve">results/tables/concept_coverage_matrix.csv</w:t>
      </w:r>
      <w:r>
        <w:t xml:space="preserve"> </w:t>
      </w:r>
      <w:r>
        <w:t xml:space="preserve">for the mapping from statistical technique to script, table, figure and report section.</w:t>
      </w:r>
    </w:p>
    <w:bookmarkEnd w:id="104"/>
    <w:bookmarkStart w:id="105" w:name="c.-selected-implementation-notes"/>
    <w:p>
      <w:pPr>
        <w:pStyle w:val="Heading2"/>
      </w:pPr>
      <w:r>
        <w:t xml:space="preserve">C. Selected implementation notes</w:t>
      </w:r>
    </w:p>
    <w:p>
      <w:pPr>
        <w:pStyle w:val="Compact"/>
        <w:numPr>
          <w:ilvl w:val="0"/>
          <w:numId w:val="1008"/>
        </w:numPr>
      </w:pPr>
      <w:r>
        <w:t xml:space="preserve">Gamma MLE uses</w:t>
      </w:r>
      <w:r>
        <w:t xml:space="preserve"> </w:t>
      </w:r>
      <w:r>
        <w:rPr>
          <w:rStyle w:val="VerbatimChar"/>
        </w:rPr>
        <w:t xml:space="preserve">nlm</w:t>
      </w:r>
      <w:r>
        <w:t xml:space="preserve"> </w:t>
      </w:r>
      <w:r>
        <w:t xml:space="preserve">on the negative log-likelihood, started at method-of-moments estimates.</w:t>
      </w:r>
    </w:p>
    <w:p>
      <w:pPr>
        <w:pStyle w:val="Compact"/>
        <w:numPr>
          <w:ilvl w:val="0"/>
          <w:numId w:val="1008"/>
        </w:numPr>
      </w:pPr>
      <w:r>
        <w:t xml:space="preserve">Bootstrap KS re-fits the candidate law on each simulated sample of size</w:t>
      </w:r>
      <w:r>
        <w:t xml:space="preserve"> </w:t>
      </w:r>
      <m:oMath>
        <m:r>
          <m:t>n</m:t>
        </m:r>
      </m:oMath>
      <w:r>
        <w:t xml:space="preserve"> </w:t>
      </w:r>
      <w:r>
        <w:t xml:space="preserve">and compares the KS statistic to the observed statistic.</w:t>
      </w:r>
    </w:p>
    <w:p>
      <w:pPr>
        <w:pStyle w:val="Compact"/>
        <w:numPr>
          <w:ilvl w:val="0"/>
          <w:numId w:val="1008"/>
        </w:numPr>
      </w:pPr>
      <w:r>
        <w:t xml:space="preserve">Mann–Kendall and Sen’s slope are implemented in</w:t>
      </w:r>
      <w:r>
        <w:t xml:space="preserve"> </w:t>
      </w:r>
      <w:r>
        <w:rPr>
          <w:rStyle w:val="VerbatimChar"/>
        </w:rPr>
        <w:t xml:space="preserve">R_code/00_project_helpers.R</w:t>
      </w:r>
      <w:r>
        <w:t xml:space="preserve"> </w:t>
      </w:r>
      <w:r>
        <w:t xml:space="preserve">(base R; no extra packages).</w:t>
      </w:r>
    </w:p>
    <w:p>
      <w:pPr>
        <w:pStyle w:val="Compact"/>
        <w:numPr>
          <w:ilvl w:val="0"/>
          <w:numId w:val="1008"/>
        </w:numPr>
      </w:pPr>
      <w:r>
        <w:t xml:space="preserve">Cleaning never overwrites</w:t>
      </w:r>
      <w:r>
        <w:t xml:space="preserve"> </w:t>
      </w:r>
      <w:r>
        <w:rPr>
          <w:rStyle w:val="VerbatimChar"/>
        </w:rPr>
        <w:t xml:space="preserve">data/</w:t>
      </w:r>
      <w:r>
        <w:t xml:space="preserve">.</w:t>
      </w:r>
    </w:p>
    <w:bookmarkEnd w:id="105"/>
    <w:bookmarkStart w:id="106" w:name="d.-additional-output-files"/>
    <w:p>
      <w:pPr>
        <w:pStyle w:val="Heading2"/>
      </w:pPr>
      <w:r>
        <w:t xml:space="preserve">D. Additional output files</w:t>
      </w:r>
    </w:p>
    <w:p>
      <w:pPr>
        <w:pStyle w:val="FirstParagraph"/>
      </w:pPr>
      <w:r>
        <w:t xml:space="preserve">Hypothesis write-ups:</w:t>
      </w:r>
      <w:r>
        <w:t xml:space="preserve"> </w:t>
      </w:r>
      <w:r>
        <w:rPr>
          <w:rStyle w:val="VerbatimChar"/>
        </w:rPr>
        <w:t xml:space="preserve">results/statistical_outputs/hypothesis_testing_report.txt</w:t>
      </w:r>
      <w:r>
        <w:t xml:space="preserve">.</w:t>
      </w:r>
      <w:r>
        <w:br/>
      </w:r>
      <w:r>
        <w:t xml:space="preserve">Distribution notes:</w:t>
      </w:r>
      <w:r>
        <w:t xml:space="preserve"> </w:t>
      </w:r>
      <w:r>
        <w:rPr>
          <w:rStyle w:val="VerbatimChar"/>
        </w:rPr>
        <w:t xml:space="preserve">results/statistical_outputs/distribution_fit_notes.txt</w:t>
      </w:r>
      <w:r>
        <w:t xml:space="preserve">.</w:t>
      </w:r>
      <w:r>
        <w:br/>
      </w:r>
      <w:r>
        <w:t xml:space="preserve">Trend notes:</w:t>
      </w:r>
      <w:r>
        <w:t xml:space="preserve"> </w:t>
      </w:r>
      <w:r>
        <w:rPr>
          <w:rStyle w:val="VerbatimChar"/>
        </w:rPr>
        <w:t xml:space="preserve">results/statistical_outputs/time_series_trend_notes.txt</w:t>
      </w:r>
      <w:r>
        <w:t xml:space="preserve">.</w:t>
      </w:r>
      <w:r>
        <w:br/>
      </w:r>
      <w:r>
        <w:t xml:space="preserve">Regional notes:</w:t>
      </w:r>
      <w:r>
        <w:t xml:space="preserve"> </w:t>
      </w:r>
      <w:r>
        <w:rPr>
          <w:rStyle w:val="VerbatimChar"/>
        </w:rPr>
        <w:t xml:space="preserve">results/statistical_outputs/regional_anova_notes.txt</w:t>
      </w:r>
      <w:r>
        <w:t xml:space="preserve">.</w:t>
      </w:r>
    </w:p>
    <w:p>
      <w:pPr>
        <w:pStyle w:val="BodyText"/>
      </w:pPr>
      <w:r>
        <w:t xml:space="preserve">The appendix does not reprint entire scripts; faculty can open</w:t>
      </w:r>
      <w:r>
        <w:t xml:space="preserve"> </w:t>
      </w:r>
      <w:r>
        <w:rPr>
          <w:rStyle w:val="VerbatimChar"/>
        </w:rPr>
        <w:t xml:space="preserve">R_code/</w:t>
      </w:r>
      <w:r>
        <w:t xml:space="preserve"> </w:t>
      </w:r>
      <w:r>
        <w:t xml:space="preserve">in RStudio. Student name, roll number and a signed originality statement should be added on the title page before binding.</w:t>
      </w:r>
    </w:p>
    <w:bookmarkEnd w:id="106"/>
    <w:bookmarkEnd w:id="10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49" Target="media/rId49.png" /><Relationship Type="http://schemas.openxmlformats.org/officeDocument/2006/relationships/image" Id="rId53" Target="media/rId53.png" /><Relationship Type="http://schemas.openxmlformats.org/officeDocument/2006/relationships/image" Id="rId95" Target="media/rId95.png" /><Relationship Type="http://schemas.openxmlformats.org/officeDocument/2006/relationships/image" Id="rId35" Target="media/rId35.png" /><Relationship Type="http://schemas.openxmlformats.org/officeDocument/2006/relationships/image" Id="rId44" Target="media/rId44.png" /><Relationship Type="http://schemas.openxmlformats.org/officeDocument/2006/relationships/image" Id="rId32" Target="media/rId32.png" /><Relationship Type="http://schemas.openxmlformats.org/officeDocument/2006/relationships/image" Id="rId41" Target="media/rId41.png" /><Relationship Type="http://schemas.openxmlformats.org/officeDocument/2006/relationships/image" Id="rId38" Target="media/rId38.png" /><Relationship Type="http://schemas.openxmlformats.org/officeDocument/2006/relationships/image" Id="rId89" Target="media/rId89.png" /><Relationship Type="http://schemas.openxmlformats.org/officeDocument/2006/relationships/image" Id="rId92" Target="media/rId92.png" /><Relationship Type="http://schemas.openxmlformats.org/officeDocument/2006/relationships/image" Id="rId24" Target="media/rId24.png" /><Relationship Type="http://schemas.openxmlformats.org/officeDocument/2006/relationships/image" Id="rId21" Target="media/rId21.png" /><Relationship Type="http://schemas.openxmlformats.org/officeDocument/2006/relationships/image" Id="rId27" Target="media/rId27.png" /><Relationship Type="http://schemas.openxmlformats.org/officeDocument/2006/relationships/image" Id="rId82" Target="media/rId82.png" /><Relationship Type="http://schemas.openxmlformats.org/officeDocument/2006/relationships/image" Id="rId79" Target="media/rId79.png" /><Relationship Type="http://schemas.openxmlformats.org/officeDocument/2006/relationships/image" Id="rId70" Target="media/rId70.png" /><Relationship Type="http://schemas.openxmlformats.org/officeDocument/2006/relationships/image" Id="rId73" Target="media/rId73.png" /><Relationship Type="http://schemas.openxmlformats.org/officeDocument/2006/relationships/image" Id="rId66" Target="media/rId66.png" /><Relationship Type="http://schemas.openxmlformats.org/officeDocument/2006/relationships/image" Id="rId63" Target="media/rId63.png" /><Relationship Type="http://schemas.openxmlformats.org/officeDocument/2006/relationships/image" Id="rId85" Target="media/rId8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Statistical Analysis of Rainfall Variability and Regional Monsoon Patterns in India</dc:title>
  <dc:creator>B.Tech Probability and Statistics Course Project</dc:creator>
  <cp:keywords/>
  <dcterms:created xsi:type="dcterms:W3CDTF">2026-10-12T18:07:37Z</dcterms:created>
  <dcterms:modified xsi:type="dcterms:W3CDTF">2026-10-12T18:07:37Z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October 2026</vt:lpwstr>
  </property>
  <property fmtid="{D5CDD505-2E9C-101B-9397-08002B2CF9AE}" pid="3" name="output">
    <vt:lpwstr/>
  </property>
  <property fmtid="{D5CDD505-2E9C-101B-9397-08002B2CF9AE}" pid="4" name="subtitle">
    <vt:lpwstr>An undergraduate Probability and Statistics project using India Meteorological Department rainfall records</vt:lpwstr>
  </property>
</Properties>
</file>