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2026-10-21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Severity</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Engine Health</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page</w:t>
      </w:r>
    </w:p>
    <w:p>
      <w:pPr>
        <w:spacing w:after="40"/>
        <w:ind w:left="400"/>
      </w:pPr>
      <w:r>
        <w:rPr>
          <w:rFonts w:ascii="Arial" w:cs="Arial" w:eastAsia="Arial" w:hAnsi="Arial"/>
          <w:sz w:val="20"/>
          <w:szCs w:val="20"/>
        </w:rPr>
        <w:t xml:space="preserve">Alerts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Step by step: a calculated measure</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400"/>
      </w:pPr>
      <w:r>
        <w:rPr>
          <w:rFonts w:ascii="Arial" w:cs="Arial" w:eastAsia="Arial" w:hAnsi="Arial"/>
          <w:sz w:val="20"/>
          <w:szCs w:val="20"/>
        </w:rPr>
        <w:t xml:space="preserve">Dataset Links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Step by step: switching AI 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A workspace's own key</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engine_health.callback_silence_minutes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60</w:t>
            </w:r>
          </w:p>
        </w:tc>
        <w:tc>
          <w:tcPr>
            <w:tcW w:type="dxa" w:w="2520"/>
            <w:tcMar>
              <w:top w:type="dxa" w:w="60"/>
              <w:left w:type="dxa" w:w="90"/>
              <w:bottom w:type="dxa" w:w="60"/>
              <w:right w:type="dxa" w:w="90"/>
            </w:tcMar>
          </w:tcPr>
          <w:p>
            <w:r>
              <w:rPr>
                <w:rFonts w:ascii="Arial" w:cs="Arial" w:eastAsia="Arial" w:hAnsi="Arial"/>
                <w:sz w:val="19"/>
                <w:szCs w:val="19"/>
              </w:rPr>
              <w:t xml:space="preserve">An engine that took messages but has not called back for this long is Failing (Engine Health).</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engine_health.rejection_rate_pct, engine_health.p95_ms</w:t>
            </w:r>
          </w:p>
        </w:tc>
        <w:tc>
          <w:tcPr>
            <w:tcW w:type="dxa" w:w="2520"/>
            <w:tcMar>
              <w:top w:type="dxa" w:w="60"/>
              <w:left w:type="dxa" w:w="90"/>
              <w:bottom w:type="dxa" w:w="60"/>
              <w:right w:type="dxa" w:w="90"/>
            </w:tcMar>
          </w:tcPr>
          <w:p>
            <w:r>
              <w:rPr>
                <w:rFonts w:ascii="Arial" w:cs="Arial" w:eastAsia="Arial" w:hAnsi="Arial"/>
                <w:sz w:val="19"/>
                <w:szCs w:val="19"/>
              </w:rPr>
              <w:t xml:space="preserve">decimal, number</w:t>
            </w:r>
          </w:p>
        </w:tc>
        <w:tc>
          <w:tcPr>
            <w:tcW w:type="dxa" w:w="2520"/>
            <w:tcMar>
              <w:top w:type="dxa" w:w="60"/>
              <w:left w:type="dxa" w:w="90"/>
              <w:bottom w:type="dxa" w:w="60"/>
              <w:right w:type="dxa" w:w="90"/>
            </w:tcMar>
          </w:tcPr>
          <w:p>
            <w:r>
              <w:rPr>
                <w:rFonts w:ascii="Arial" w:cs="Arial" w:eastAsia="Arial" w:hAnsi="Arial"/>
                <w:sz w:val="19"/>
                <w:szCs w:val="19"/>
              </w:rPr>
              <w:t xml:space="preserve">1, 5000</w:t>
            </w:r>
          </w:p>
        </w:tc>
        <w:tc>
          <w:tcPr>
            <w:tcW w:type="dxa" w:w="2520"/>
            <w:tcMar>
              <w:top w:type="dxa" w:w="60"/>
              <w:left w:type="dxa" w:w="90"/>
              <w:bottom w:type="dxa" w:w="60"/>
              <w:right w:type="dxa" w:w="90"/>
            </w:tcMar>
          </w:tcPr>
          <w:p>
            <w:r>
              <w:rPr>
                <w:rFonts w:ascii="Arial" w:cs="Arial" w:eastAsia="Arial" w:hAnsi="Arial"/>
                <w:sz w:val="19"/>
                <w:szCs w:val="19"/>
              </w:rPr>
              <w:t xml:space="preserve">The share of refused or failed calls, and the call time 95% of calls stay under, before an engine needs attention.</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engine_health.hard_bounce_pct, engine_health.complaint_pct, engine_health.sms_failure_pct</w:t>
            </w:r>
          </w:p>
        </w:tc>
        <w:tc>
          <w:tcPr>
            <w:tcW w:type="dxa" w:w="2520"/>
            <w:tcMar>
              <w:top w:type="dxa" w:w="60"/>
              <w:left w:type="dxa" w:w="90"/>
              <w:bottom w:type="dxa" w:w="60"/>
              <w:right w:type="dxa" w:w="90"/>
            </w:tcMar>
          </w:tcPr>
          <w:p>
            <w:r>
              <w:rPr>
                <w:rFonts w:ascii="Arial" w:cs="Arial" w:eastAsia="Arial" w:hAnsi="Arial"/>
                <w:sz w:val="19"/>
                <w:szCs w:val="19"/>
              </w:rPr>
              <w:t xml:space="preserve">decimal</w:t>
            </w:r>
          </w:p>
        </w:tc>
        <w:tc>
          <w:tcPr>
            <w:tcW w:type="dxa" w:w="2520"/>
            <w:tcMar>
              <w:top w:type="dxa" w:w="60"/>
              <w:left w:type="dxa" w:w="90"/>
              <w:bottom w:type="dxa" w:w="60"/>
              <w:right w:type="dxa" w:w="90"/>
            </w:tcMar>
          </w:tcPr>
          <w:p>
            <w:r>
              <w:rPr>
                <w:rFonts w:ascii="Arial" w:cs="Arial" w:eastAsia="Arial" w:hAnsi="Arial"/>
                <w:sz w:val="19"/>
                <w:szCs w:val="19"/>
              </w:rPr>
              <w:t xml:space="preserve">2, 0.1, 5</w:t>
            </w:r>
          </w:p>
        </w:tc>
        <w:tc>
          <w:tcPr>
            <w:tcW w:type="dxa" w:w="2520"/>
            <w:tcMar>
              <w:top w:type="dxa" w:w="60"/>
              <w:left w:type="dxa" w:w="90"/>
              <w:bottom w:type="dxa" w:w="60"/>
              <w:right w:type="dxa" w:w="90"/>
            </w:tcMar>
          </w:tcPr>
          <w:p>
            <w:r>
              <w:rPr>
                <w:rFonts w:ascii="Arial" w:cs="Arial" w:eastAsia="Arial" w:hAnsi="Arial"/>
                <w:sz w:val="19"/>
                <w:szCs w:val="19"/>
              </w:rPr>
              <w:t xml:space="preserve">The last day's hard bounces, complaints and failed texts before an engine needs attention; twice the line is Failing.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engine_health.receipt_wait_minutes, engine_health.missing_receipt_pct</w:t>
            </w:r>
          </w:p>
        </w:tc>
        <w:tc>
          <w:tcPr>
            <w:tcW w:type="dxa" w:w="2520"/>
            <w:tcMar>
              <w:top w:type="dxa" w:w="60"/>
              <w:left w:type="dxa" w:w="90"/>
              <w:bottom w:type="dxa" w:w="60"/>
              <w:right w:type="dxa" w:w="90"/>
            </w:tcMar>
          </w:tcPr>
          <w:p>
            <w:r>
              <w:rPr>
                <w:rFonts w:ascii="Arial" w:cs="Arial" w:eastAsia="Arial" w:hAnsi="Arial"/>
                <w:sz w:val="19"/>
                <w:szCs w:val="19"/>
              </w:rPr>
              <w:t xml:space="preserve">number, decimal</w:t>
            </w:r>
          </w:p>
        </w:tc>
        <w:tc>
          <w:tcPr>
            <w:tcW w:type="dxa" w:w="2520"/>
            <w:tcMar>
              <w:top w:type="dxa" w:w="60"/>
              <w:left w:type="dxa" w:w="90"/>
              <w:bottom w:type="dxa" w:w="60"/>
              <w:right w:type="dxa" w:w="90"/>
            </w:tcMar>
          </w:tcPr>
          <w:p>
            <w:r>
              <w:rPr>
                <w:rFonts w:ascii="Arial" w:cs="Arial" w:eastAsia="Arial" w:hAnsi="Arial"/>
                <w:sz w:val="19"/>
                <w:szCs w:val="19"/>
              </w:rPr>
              <w:t xml:space="preserve">15, 1</w:t>
            </w:r>
          </w:p>
        </w:tc>
        <w:tc>
          <w:tcPr>
            <w:tcW w:type="dxa" w:w="2520"/>
            <w:tcMar>
              <w:top w:type="dxa" w:w="60"/>
              <w:left w:type="dxa" w:w="90"/>
              <w:bottom w:type="dxa" w:w="60"/>
              <w:right w:type="dxa" w:w="90"/>
            </w:tcMar>
          </w:tcPr>
          <w:p>
            <w:r>
              <w:rPr>
                <w:rFonts w:ascii="Arial" w:cs="Arial" w:eastAsia="Arial" w:hAnsi="Arial"/>
                <w:sz w:val="19"/>
                <w:szCs w:val="19"/>
              </w:rPr>
              <w:t xml:space="preserve">How long a text may wait for its receipt, and the share of the last two hours' texts that may still be waiting.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engine_health.min_sample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w:t>
            </w:r>
          </w:p>
        </w:tc>
        <w:tc>
          <w:tcPr>
            <w:tcW w:type="dxa" w:w="2520"/>
            <w:tcMar>
              <w:top w:type="dxa" w:w="60"/>
              <w:left w:type="dxa" w:w="90"/>
              <w:bottom w:type="dxa" w:w="60"/>
              <w:right w:type="dxa" w:w="90"/>
            </w:tcMar>
          </w:tcPr>
          <w:p>
            <w:r>
              <w:rPr>
                <w:rFonts w:ascii="Arial" w:cs="Arial" w:eastAsia="Arial" w:hAnsi="Arial"/>
                <w:sz w:val="19"/>
                <w:szCs w:val="19"/>
              </w:rPr>
              <w:t xml:space="preserve">Messages or calls a rate needs before it is judged.</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twenty-eight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check-engine-health</w:t>
            </w:r>
          </w:p>
        </w:tc>
        <w:tc>
          <w:tcPr>
            <w:tcW w:type="dxa" w:w="3740"/>
            <w:tcMar>
              <w:top w:type="dxa" w:w="60"/>
              <w:left w:type="dxa" w:w="90"/>
              <w:bottom w:type="dxa" w:w="60"/>
              <w:right w:type="dxa" w:w="90"/>
            </w:tcMar>
          </w:tcPr>
          <w:p>
            <w:r>
              <w:rPr>
                <w:rFonts w:ascii="Arial" w:cs="Arial" w:eastAsia="Arial" w:hAnsi="Arial"/>
                <w:sz w:val="19"/>
                <w:szCs w:val="19"/>
              </w:rPr>
              <w:t xml:space="preserve">Checks every active sending engine's callbacks, refused calls, speed, bounces and receipts, and stores the result (Overview → Engine Health).</w:t>
            </w:r>
          </w:p>
        </w:tc>
        <w:tc>
          <w:tcPr>
            <w:tcW w:type="dxa" w:w="3740"/>
            <w:tcMar>
              <w:top w:type="dxa" w:w="60"/>
              <w:left w:type="dxa" w:w="90"/>
              <w:bottom w:type="dxa" w:w="60"/>
              <w:right w:type="dxa" w:w="90"/>
            </w:tcMar>
          </w:tcPr>
          <w:p>
            <w:r>
              <w:rPr>
                <w:rFonts w:ascii="Arial" w:cs="Arial" w:eastAsia="Arial" w:hAnsi="Arial"/>
                <w:sz w:val="19"/>
                <w:szCs w:val="19"/>
              </w:rPr>
              <w:t xml:space="preserve">30 min (every 10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check-engines-daily</w:t>
            </w:r>
          </w:p>
        </w:tc>
        <w:tc>
          <w:tcPr>
            <w:tcW w:type="dxa" w:w="3740"/>
            <w:tcMar>
              <w:top w:type="dxa" w:w="60"/>
              <w:left w:type="dxa" w:w="90"/>
              <w:bottom w:type="dxa" w:w="60"/>
              <w:right w:type="dxa" w:w="90"/>
            </w:tcMar>
          </w:tcPr>
          <w:p>
            <w:r>
              <w:rPr>
                <w:rFonts w:ascii="Arial" w:cs="Arial" w:eastAsia="Arial" w:hAnsi="Arial"/>
                <w:sz w:val="19"/>
                <w:szCs w:val="19"/>
              </w:rPr>
              <w:t xml:space="preserve">Runs every active sending engine's Check: key and address, nothing sent.</w:t>
            </w:r>
          </w:p>
        </w:tc>
        <w:tc>
          <w:tcPr>
            <w:tcW w:type="dxa" w:w="3740"/>
            <w:tcMar>
              <w:top w:type="dxa" w:w="60"/>
              <w:left w:type="dxa" w:w="90"/>
              <w:bottom w:type="dxa" w:w="60"/>
              <w:right w:type="dxa" w:w="90"/>
            </w:tcMar>
          </w:tcPr>
          <w:p>
            <w:r>
              <w:rPr>
                <w:rFonts w:ascii="Arial" w:cs="Arial" w:eastAsia="Arial" w:hAnsi="Arial"/>
                <w:sz w:val="19"/>
                <w:szCs w:val="19"/>
              </w:rPr>
              <w:t xml:space="preserve">26 h (daily)</w:t>
            </w:r>
          </w:p>
        </w:tc>
      </w:tr>
      <w:tr>
        <w:tc>
          <w:tcPr>
            <w:tcW w:type="dxa" w:w="2600"/>
            <w:tcMar>
              <w:top w:type="dxa" w:w="60"/>
              <w:left w:type="dxa" w:w="90"/>
              <w:bottom w:type="dxa" w:w="60"/>
              <w:right w:type="dxa" w:w="90"/>
            </w:tcMar>
          </w:tcPr>
          <w:p>
            <w:r>
              <w:rPr>
                <w:rFonts w:ascii="Arial" w:cs="Arial" w:eastAsia="Arial" w:hAnsi="Arial"/>
                <w:sz w:val="19"/>
                <w:szCs w:val="19"/>
              </w:rPr>
              <w:t xml:space="preserve">check-sending-domains</w:t>
            </w:r>
          </w:p>
        </w:tc>
        <w:tc>
          <w:tcPr>
            <w:tcW w:type="dxa" w:w="3740"/>
            <w:tcMar>
              <w:top w:type="dxa" w:w="60"/>
              <w:left w:type="dxa" w:w="90"/>
              <w:bottom w:type="dxa" w:w="60"/>
              <w:right w:type="dxa" w:w="90"/>
            </w:tcMar>
          </w:tcPr>
          <w:p>
            <w:r>
              <w:rPr>
                <w:rFonts w:ascii="Arial" w:cs="Arial" w:eastAsia="Arial" w:hAnsi="Arial"/>
                <w:sz w:val="19"/>
                <w:szCs w:val="19"/>
              </w:rPr>
              <w:t xml:space="preserve">Looks up the SPF, DMARC and DKIM records of every workspace's sending domains (Settings → Delivery → Sending Domains).</w:t>
            </w:r>
          </w:p>
        </w:tc>
        <w:tc>
          <w:tcPr>
            <w:tcW w:type="dxa" w:w="3740"/>
            <w:tcMar>
              <w:top w:type="dxa" w:w="60"/>
              <w:left w:type="dxa" w:w="90"/>
              <w:bottom w:type="dxa" w:w="60"/>
              <w:right w:type="dxa" w:w="90"/>
            </w:tcMar>
          </w:tcPr>
          <w:p>
            <w:r>
              <w:rPr>
                <w:rFonts w:ascii="Arial" w:cs="Arial" w:eastAsia="Arial" w:hAnsi="Arial"/>
                <w:sz w:val="19"/>
                <w:szCs w:val="19"/>
              </w:rPr>
              <w:t xml:space="preserve">49 h (daily)</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r>
        <w:tc>
          <w:tcPr>
            <w:tcW w:type="dxa" w:w="2600"/>
            <w:tcMar>
              <w:top w:type="dxa" w:w="60"/>
              <w:left w:type="dxa" w:w="90"/>
              <w:bottom w:type="dxa" w:w="60"/>
              <w:right w:type="dxa" w:w="90"/>
            </w:tcMar>
          </w:tcPr>
          <w:p>
            <w:r>
              <w:rPr>
                <w:rFonts w:ascii="Arial" w:cs="Arial" w:eastAsia="Arial" w:hAnsi="Arial"/>
                <w:sz w:val="19"/>
                <w:szCs w:val="19"/>
              </w:rPr>
              <w:t xml:space="preserve">deliver-report-schedules</w:t>
            </w:r>
          </w:p>
        </w:tc>
        <w:tc>
          <w:tcPr>
            <w:tcW w:type="dxa" w:w="3740"/>
            <w:tcMar>
              <w:top w:type="dxa" w:w="60"/>
              <w:left w:type="dxa" w:w="90"/>
              <w:bottom w:type="dxa" w:w="60"/>
              <w:right w:type="dxa" w:w="90"/>
            </w:tcMar>
          </w:tcPr>
          <w:p>
            <w:r>
              <w:rPr>
                <w:rFonts w:ascii="Arial" w:cs="Arial" w:eastAsia="Arial" w:hAnsi="Arial"/>
                <w:sz w:val="19"/>
                <w:szCs w:val="19"/>
              </w:rPr>
              <w:t xml:space="preserve">Emails the Insights reports and dashboards whose scheduled time has come, as Excel, CSV, PDF or PowerPoint.</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check-report-alerts</w:t>
            </w:r>
          </w:p>
        </w:tc>
        <w:tc>
          <w:tcPr>
            <w:tcW w:type="dxa" w:w="3740"/>
            <w:tcMar>
              <w:top w:type="dxa" w:w="60"/>
              <w:left w:type="dxa" w:w="90"/>
              <w:bottom w:type="dxa" w:w="60"/>
              <w:right w:type="dxa" w:w="90"/>
            </w:tcMar>
          </w:tcPr>
          <w:p>
            <w:r>
              <w:rPr>
                <w:rFonts w:ascii="Arial" w:cs="Arial" w:eastAsia="Arial" w:hAnsi="Arial"/>
                <w:sz w:val="19"/>
                <w:szCs w:val="19"/>
              </w:rPr>
              <w:t xml:space="preserve">Reads the Insights alerts that are due and emails the ones whose value crosses its threshold (once, until it is back).</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28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 Sending engines add one alert per engine and failing check (see Engine Health); a text engine that has never sent a receipt opens one acknowledged alert, emailed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Security. The number on the menu item counts the open Critical and High items on this server; the back-office Home shows a card while one is open (a warning card when the worst is Medium).</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which updates and settings this server needs before someone else finds out. Each server checks itself once a day (the check-security job) and whenever someone presses </w:t>
      </w:r>
      <w:r>
        <w:rPr>
          <w:rFonts w:ascii="Arial" w:cs="Arial" w:eastAsia="Arial" w:hAnsi="Arial"/>
          <w:b/>
          <w:bCs/>
          <w:sz w:val="21"/>
          <w:szCs w:val="21"/>
        </w:rPr>
        <w:t xml:space="preserve">Check Now</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b/>
          <w:bCs/>
          <w:sz w:val="21"/>
          <w:szCs w:val="21"/>
        </w:rPr>
        <w:t xml:space="preserve">Packages:</w:t>
      </w:r>
      <w:r>
        <w:rPr>
          <w:rFonts w:ascii="Arial" w:cs="Arial" w:eastAsia="Arial" w:hAnsi="Arial"/>
          <w:sz w:val="21"/>
          <w:szCs w:val="21"/>
        </w:rPr>
        <w:t xml:space="preserve"> every Python package installed for the backend and every npm package in the deployed frontend (its package-lock.json) is looked up in OSV.dev, the open vulnerability database behind the GitHub, PyPI and npm advisories.</w:t>
      </w:r>
    </w:p>
    <w:p>
      <w:pPr>
        <w:pStyle w:val="ListParagraph"/>
        <w:numPr>
          <w:ilvl w:val="0"/>
          <w:numId w:val="2"/>
        </w:numPr>
        <w:spacing w:after="60"/>
      </w:pPr>
      <w:r>
        <w:rPr>
          <w:rFonts w:ascii="Arial" w:cs="Arial" w:eastAsia="Arial" w:hAnsi="Arial"/>
          <w:b/>
          <w:bCs/>
          <w:sz w:val="21"/>
          <w:szCs w:val="21"/>
        </w:rPr>
        <w:t xml:space="preserve">Server settings:</w:t>
      </w:r>
      <w:r>
        <w:rPr>
          <w:rFonts w:ascii="Arial" w:cs="Arial" w:eastAsia="Arial" w:hAnsi="Arial"/>
          <w:sz w:val="21"/>
          <w:szCs w:val="21"/>
        </w:rPr>
        <w:t xml:space="preserve"> Django's own deployment checks (debug mode, the signing key, allowed hosts, HTTPS-only cookies, HSTS, the HTTPS redirect) and whether the development web server (</w:t>
      </w:r>
      <w:r>
        <w:rPr>
          <w:rFonts w:ascii="Consolas" w:cs="Consolas" w:eastAsia="Consolas" w:hAnsi="Consolas"/>
          <w:sz w:val="21"/>
          <w:szCs w:val="21"/>
        </w:rPr>
        <w:t xml:space="preserve">manage.py runserver</w:t>
      </w:r>
      <w:r>
        <w:rPr>
          <w:rFonts w:ascii="Arial" w:cs="Arial" w:eastAsia="Arial" w:hAnsi="Arial"/>
          <w:sz w:val="21"/>
          <w:szCs w:val="21"/>
        </w:rPr>
        <w:t xml:space="preserve">) is serving the app.</w:t>
      </w:r>
    </w:p>
    <w:p>
      <w:pPr>
        <w:pStyle w:val="ListParagraph"/>
        <w:numPr>
          <w:ilvl w:val="0"/>
          <w:numId w:val="2"/>
        </w:numPr>
        <w:spacing w:after="60"/>
      </w:pPr>
      <w:r>
        <w:rPr>
          <w:rFonts w:ascii="Arial" w:cs="Arial" w:eastAsia="Arial" w:hAnsi="Arial"/>
          <w:b/>
          <w:bCs/>
          <w:sz w:val="21"/>
          <w:szCs w:val="21"/>
        </w:rPr>
        <w:t xml:space="preserve">Site headers:</w:t>
      </w:r>
      <w:r>
        <w:rPr>
          <w:rFonts w:ascii="Arial" w:cs="Arial" w:eastAsia="Arial" w:hAnsi="Arial"/>
          <w:sz w:val="21"/>
          <w:szCs w:val="21"/>
        </w:rPr>
        <w:t xml:space="preserve"> the headers the app's public address really sends: HSTS, Content-Security-Policy, nosniff, and whether other sites may frame it. Set the address in Global Parameters → </w:t>
      </w:r>
      <w:r>
        <w:rPr>
          <w:rFonts w:ascii="Consolas" w:cs="Consolas" w:eastAsia="Consolas" w:hAnsi="Consolas"/>
          <w:sz w:val="21"/>
          <w:szCs w:val="21"/>
        </w:rPr>
        <w:t xml:space="preserve">security.site_address</w:t>
      </w:r>
      <w:r>
        <w:rPr>
          <w:rFonts w:ascii="Arial" w:cs="Arial" w:eastAsia="Arial" w:hAnsi="Arial"/>
          <w:sz w:val="21"/>
          <w:szCs w:val="21"/>
        </w:rPr>
        <w:t xml:space="preserve"> (for example </w:t>
      </w:r>
      <w:r>
        <w:rPr>
          <w:rFonts w:ascii="Consolas" w:cs="Consolas" w:eastAsia="Consolas" w:hAnsi="Consolas"/>
          <w:sz w:val="21"/>
          <w:szCs w:val="21"/>
        </w:rPr>
        <w:t xml:space="preserve">https://cepdev.aiintelekt.com</w:t>
      </w:r>
      <w:r>
        <w:rPr>
          <w:rFonts w:ascii="Arial" w:cs="Arial" w:eastAsia="Arial" w:hAnsi="Arial"/>
          <w:sz w:val="21"/>
          <w:szCs w:val="21"/>
        </w:rPr>
        <w:t xml:space="preserve">); while it is empty the headers are not checked.</w:t>
      </w:r>
    </w:p>
    <w:p>
      <w:pPr>
        <w:pStyle w:val="ListParagraph"/>
        <w:numPr>
          <w:ilvl w:val="0"/>
          <w:numId w:val="2"/>
        </w:numPr>
        <w:spacing w:after="60"/>
      </w:pPr>
      <w:r>
        <w:rPr>
          <w:rFonts w:ascii="Arial" w:cs="Arial" w:eastAsia="Arial" w:hAnsi="Arial"/>
          <w:b/>
          <w:bCs/>
          <w:sz w:val="21"/>
          <w:szCs w:val="21"/>
        </w:rPr>
        <w:t xml:space="preserve">Workspace isolation:</w:t>
      </w:r>
      <w:r>
        <w:rPr>
          <w:rFonts w:ascii="Arial" w:cs="Arial" w:eastAsia="Arial" w:hAnsi="Arial"/>
          <w:sz w:val="21"/>
          <w:szCs w:val="21"/>
        </w:rPr>
        <w:t xml:space="preserve"> every table holding workspace rows that the app's login can read keeps each workspace's rows apart (forced row-level security), unless it is one of the platform's own tables; and the app's login can neither skip row-level security nor change the schema.</w:t>
      </w:r>
    </w:p>
    <w:p>
      <w:pPr>
        <w:pStyle w:val="ListParagraph"/>
        <w:numPr>
          <w:ilvl w:val="0"/>
          <w:numId w:val="2"/>
        </w:numPr>
        <w:spacing w:after="60"/>
      </w:pPr>
      <w:r>
        <w:rPr>
          <w:rFonts w:ascii="Arial" w:cs="Arial" w:eastAsia="Arial" w:hAnsi="Arial"/>
          <w:b/>
          <w:bCs/>
          <w:sz w:val="21"/>
          <w:szCs w:val="21"/>
        </w:rPr>
        <w:t xml:space="preserve">Accounts and keys:</w:t>
      </w:r>
      <w:r>
        <w:rPr>
          <w:rFonts w:ascii="Arial" w:cs="Arial" w:eastAsia="Arial" w:hAnsi="Arial"/>
          <w:sz w:val="21"/>
          <w:szCs w:val="21"/>
        </w:rPr>
        <w:t xml:space="preserve"> platform accounts that have not signed in for 90 days, platform staff allowed to sign in without a second factor, active accounts with a test address (example.com, .test and the like), workspace accounts unused for 90 days, workspace API keys over a year old or unused for 90 days, and Postal engines whose callbacks are not signed.</w:t>
      </w:r>
    </w:p>
    <w:p>
      <w:pPr>
        <w:pStyle w:val="ListParagraph"/>
        <w:numPr>
          <w:ilvl w:val="0"/>
          <w:numId w:val="2"/>
        </w:numPr>
        <w:spacing w:after="60"/>
      </w:pPr>
      <w:r>
        <w:rPr>
          <w:rFonts w:ascii="Arial" w:cs="Arial" w:eastAsia="Arial" w:hAnsi="Arial"/>
          <w:b/>
          <w:bCs/>
          <w:sz w:val="21"/>
          <w:szCs w:val="21"/>
        </w:rPr>
        <w:t xml:space="preserve">Sending domains:</w:t>
      </w:r>
      <w:r>
        <w:rPr>
          <w:rFonts w:ascii="Arial" w:cs="Arial" w:eastAsia="Arial" w:hAnsi="Arial"/>
          <w:sz w:val="21"/>
          <w:szCs w:val="21"/>
        </w:rPr>
        <w:t xml:space="preserve"> the SPF and DMARC records of every domain a workspace sends email from, read from DNS by this server. Domains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are not looked up. DKIM is not checked here: its record name depends on the mail engine's selector, which each workspace gives on its own Settings → Delivery → Sending Domains, where its administrators also see these results with the record to publish (the daily check-sending-domains job and Check Now).</w:t>
      </w:r>
    </w:p>
    <w:p>
      <w:pPr>
        <w:spacing w:after="120"/>
      </w:pPr>
      <w:r>
        <w:rPr>
          <w:rFonts w:ascii="Arial" w:cs="Arial" w:eastAsia="Arial" w:hAnsi="Arial"/>
          <w:sz w:val="21"/>
          <w:szCs w:val="21"/>
        </w:rPr>
        <w:t xml:space="preserve">The last three need patch 0067; until it is applied the page says so under Passed and the other checks run as before.</w:t>
      </w:r>
    </w:p>
    <w:p>
      <w:pPr>
        <w:spacing w:after="120"/>
      </w:pPr>
      <w:r>
        <w:rPr>
          <w:rFonts w:ascii="Arial" w:cs="Arial" w:eastAsia="Arial" w:hAnsi="Arial"/>
          <w:sz w:val="21"/>
          <w:szCs w:val="21"/>
        </w:rPr>
        <w:t xml:space="preserve">The page never installs or changes anything. A package is updated with a deploy and a setting on the server; the next check marks the item </w:t>
      </w:r>
      <w:r>
        <w:rPr>
          <w:rFonts w:ascii="Arial" w:cs="Arial" w:eastAsia="Arial" w:hAnsi="Arial"/>
          <w:b/>
          <w:bCs/>
          <w:sz w:val="21"/>
          <w:szCs w:val="21"/>
        </w:rPr>
        <w:t xml:space="preserve">Fixed</w:t>
      </w:r>
      <w:r>
        <w:rPr>
          <w:rFonts w:ascii="Arial" w:cs="Arial" w:eastAsia="Arial" w:hAnsi="Arial"/>
          <w:sz w:val="21"/>
          <w:szCs w:val="21"/>
        </w:rPr>
        <w:t xml:space="preserve"> and the check history says so.</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Accepting a risk and reopening an accepted item need a platform administrator.</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See what needs updating</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Overview → Security</w:t>
      </w:r>
      <w:r>
        <w:rPr>
          <w:rFonts w:ascii="Arial" w:cs="Arial" w:eastAsia="Arial" w:hAnsi="Arial"/>
          <w:sz w:val="21"/>
          <w:szCs w:val="21"/>
        </w:rPr>
        <w:t xml:space="preserve">. The figures say how many items are open (Critical and High, Medium and Low), how many are accepted, and how many packages were checked.</w:t>
      </w:r>
    </w:p>
    <w:p>
      <w:pPr>
        <w:pStyle w:val="ListParagraph"/>
        <w:numPr>
          <w:ilvl w:val="0"/>
          <w:numId w:val="3"/>
        </w:numPr>
        <w:spacing w:after="60"/>
      </w:pPr>
      <w:r>
        <w:rPr>
          <w:rFonts w:ascii="Arial" w:cs="Arial" w:eastAsia="Arial" w:hAnsi="Arial"/>
          <w:b/>
          <w:bCs/>
          <w:sz w:val="21"/>
          <w:szCs w:val="21"/>
        </w:rPr>
        <w:t xml:space="preserve">Needs Attention</w:t>
      </w:r>
      <w:r>
        <w:rPr>
          <w:rFonts w:ascii="Arial" w:cs="Arial" w:eastAsia="Arial" w:hAnsi="Arial"/>
          <w:sz w:val="21"/>
          <w:szCs w:val="21"/>
        </w:rPr>
        <w:t xml:space="preserve"> lists every open item, worst first, packages, settings and data checks together: the severity, the item and why it matters, where it is (Backend · Python, Frontend · npm, Server setting, Site header, Workspace isolation, Account or key, Sending domain), what is there now and what fixes it, the reference, and when it was first seen.</w:t>
      </w:r>
    </w:p>
    <w:p>
      <w:pPr>
        <w:pStyle w:val="ListParagraph"/>
        <w:numPr>
          <w:ilvl w:val="0"/>
          <w:numId w:val="3"/>
        </w:numPr>
        <w:spacing w:after="60"/>
      </w:pPr>
      <w:r>
        <w:rPr>
          <w:rFonts w:ascii="Arial" w:cs="Arial" w:eastAsia="Arial" w:hAnsi="Arial"/>
          <w:sz w:val="21"/>
          <w:szCs w:val="21"/>
        </w:rPr>
        <w:t xml:space="preserve">Press the advisory to read it (GitHub or OSV.dev for a package, Django's documentation for a setting).</w:t>
      </w:r>
    </w:p>
    <w:p>
      <w:pPr>
        <w:pStyle w:val="ListParagraph"/>
        <w:numPr>
          <w:ilvl w:val="0"/>
          <w:numId w:val="3"/>
        </w:numPr>
        <w:spacing w:after="60"/>
      </w:pPr>
      <w:r>
        <w:rPr>
          <w:rFonts w:ascii="Arial" w:cs="Arial" w:eastAsia="Arial" w:hAnsi="Arial"/>
          <w:sz w:val="21"/>
          <w:szCs w:val="21"/>
        </w:rPr>
        <w:t xml:space="preserve">An npm package marked </w:t>
      </w:r>
      <w:r>
        <w:rPr>
          <w:rFonts w:ascii="Arial" w:cs="Arial" w:eastAsia="Arial" w:hAnsi="Arial"/>
          <w:b/>
          <w:bCs/>
          <w:sz w:val="21"/>
          <w:szCs w:val="21"/>
        </w:rPr>
        <w:t xml:space="preserve">Build-time only</w:t>
      </w:r>
      <w:r>
        <w:rPr>
          <w:rFonts w:ascii="Arial" w:cs="Arial" w:eastAsia="Arial" w:hAnsi="Arial"/>
          <w:sz w:val="21"/>
          <w:szCs w:val="21"/>
        </w:rPr>
        <w:t xml:space="preserve"> is used while the frontend is built and never reaches a browser.</w:t>
      </w:r>
    </w:p>
    <w:p>
      <w:pPr>
        <w:spacing w:after="120"/>
      </w:pPr>
      <w:r>
        <w:rPr>
          <w:rFonts w:ascii="Arial" w:cs="Arial" w:eastAsia="Arial" w:hAnsi="Arial"/>
          <w:b/>
          <w:bCs/>
          <w:sz w:val="21"/>
          <w:szCs w:val="21"/>
        </w:rPr>
        <w:t xml:space="preserve">Check now</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Now</w:t>
      </w:r>
      <w:r>
        <w:rPr>
          <w:rFonts w:ascii="Arial" w:cs="Arial" w:eastAsia="Arial" w:hAnsi="Arial"/>
          <w:sz w:val="21"/>
          <w:szCs w:val="21"/>
        </w:rPr>
        <w:t xml:space="preserve"> at the top right. The check takes a few seconds; the message says how many items are open and how many were fixed since the check before.</w:t>
      </w:r>
    </w:p>
    <w:p>
      <w:pPr>
        <w:pStyle w:val="ListParagraph"/>
        <w:numPr>
          <w:ilvl w:val="0"/>
          <w:numId w:val="3"/>
        </w:numPr>
        <w:spacing w:after="60"/>
      </w:pPr>
      <w:r>
        <w:rPr>
          <w:rFonts w:ascii="Arial" w:cs="Arial" w:eastAsia="Arial" w:hAnsi="Arial"/>
          <w:sz w:val="21"/>
          <w:szCs w:val="21"/>
        </w:rPr>
        <w:t xml:space="preserve">If OSV.dev cannot be reached, the settings are still checked; the packages keep their earlier findings and the page says so.</w:t>
      </w:r>
    </w:p>
    <w:p>
      <w:pPr>
        <w:spacing w:after="120"/>
      </w:pPr>
      <w:r>
        <w:rPr>
          <w:rFonts w:ascii="Arial" w:cs="Arial" w:eastAsia="Arial" w:hAnsi="Arial"/>
          <w:b/>
          <w:bCs/>
          <w:sz w:val="21"/>
          <w:szCs w:val="21"/>
        </w:rPr>
        <w:t xml:space="preserve">Accept the risk</w:t>
      </w:r>
    </w:p>
    <w:p>
      <w:pPr>
        <w:pStyle w:val="ListParagraph"/>
        <w:numPr>
          <w:ilvl w:val="0"/>
          <w:numId w:val="3"/>
        </w:numPr>
        <w:spacing w:after="60"/>
      </w:pPr>
      <w:r>
        <w:rPr>
          <w:rFonts w:ascii="Arial" w:cs="Arial" w:eastAsia="Arial" w:hAnsi="Arial"/>
          <w:sz w:val="21"/>
          <w:szCs w:val="21"/>
        </w:rPr>
        <w:t xml:space="preserve">On an open item, press </w:t>
      </w:r>
      <w:r>
        <w:rPr>
          <w:rFonts w:ascii="Arial" w:cs="Arial" w:eastAsia="Arial" w:hAnsi="Arial"/>
          <w:b/>
          <w:bCs/>
          <w:sz w:val="21"/>
          <w:szCs w:val="21"/>
        </w:rPr>
        <w:t xml:space="preserve">Accept…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why the risk is acceptable in a sentence (for example, a build-time package, or a setting the proxy in front already covers), and choose a </w:t>
      </w:r>
      <w:r>
        <w:rPr>
          <w:rFonts w:ascii="Arial" w:cs="Arial" w:eastAsia="Arial" w:hAnsi="Arial"/>
          <w:b/>
          <w:bCs/>
          <w:sz w:val="21"/>
          <w:szCs w:val="21"/>
        </w:rPr>
        <w:t xml:space="preserve">Review On</w:t>
      </w:r>
      <w:r>
        <w:rPr>
          <w:rFonts w:ascii="Arial" w:cs="Arial" w:eastAsia="Arial" w:hAnsi="Arial"/>
          <w:sz w:val="21"/>
          <w:szCs w:val="21"/>
        </w:rPr>
        <w:t xml:space="preserve"> date within a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Accept the Risk</w:t>
      </w:r>
      <w:r>
        <w:rPr>
          <w:rFonts w:ascii="Arial" w:cs="Arial" w:eastAsia="Arial" w:hAnsi="Arial"/>
          <w:sz w:val="21"/>
          <w:szCs w:val="21"/>
        </w:rPr>
        <w:t xml:space="preserve">. The item leaves the count and shows under </w:t>
      </w:r>
      <w:r>
        <w:rPr>
          <w:rFonts w:ascii="Arial" w:cs="Arial" w:eastAsia="Arial" w:hAnsi="Arial"/>
          <w:b/>
          <w:bCs/>
          <w:sz w:val="21"/>
          <w:szCs w:val="21"/>
        </w:rPr>
        <w:t xml:space="preserve">Accepted</w:t>
      </w:r>
      <w:r>
        <w:rPr>
          <w:rFonts w:ascii="Arial" w:cs="Arial" w:eastAsia="Arial" w:hAnsi="Arial"/>
          <w:sz w:val="21"/>
          <w:szCs w:val="21"/>
        </w:rPr>
        <w:t xml:space="preserve">, with who accepted it, why and until when.</w:t>
      </w:r>
    </w:p>
    <w:p>
      <w:pPr>
        <w:pStyle w:val="ListParagraph"/>
        <w:numPr>
          <w:ilvl w:val="0"/>
          <w:numId w:val="3"/>
        </w:numPr>
        <w:spacing w:after="60"/>
      </w:pPr>
      <w:r>
        <w:rPr>
          <w:rFonts w:ascii="Arial" w:cs="Arial" w:eastAsia="Arial" w:hAnsi="Arial"/>
          <w:sz w:val="21"/>
          <w:szCs w:val="21"/>
        </w:rPr>
        <w:t xml:space="preserve">It opens again on its review date, or as soon as an advisory appears that was not there when it was accepted. Press </w:t>
      </w:r>
      <w:r>
        <w:rPr>
          <w:rFonts w:ascii="Arial" w:cs="Arial" w:eastAsia="Arial" w:hAnsi="Arial"/>
          <w:b/>
          <w:bCs/>
          <w:sz w:val="21"/>
          <w:szCs w:val="21"/>
        </w:rPr>
        <w:t xml:space="preserve">Reopen</w:t>
      </w:r>
      <w:r>
        <w:rPr>
          <w:rFonts w:ascii="Arial" w:cs="Arial" w:eastAsia="Arial" w:hAnsi="Arial"/>
          <w:sz w:val="21"/>
          <w:szCs w:val="21"/>
        </w:rPr>
        <w:t xml:space="preserve"> under Accepted to open it earlier.</w:t>
      </w:r>
    </w:p>
    <w:p>
      <w:pPr>
        <w:spacing w:after="120"/>
      </w:pPr>
      <w:r>
        <w:rPr>
          <w:rFonts w:ascii="Arial" w:cs="Arial" w:eastAsia="Arial" w:hAnsi="Arial"/>
          <w:b/>
          <w:bCs/>
          <w:sz w:val="21"/>
          <w:szCs w:val="21"/>
        </w:rPr>
        <w:t xml:space="preserve">See what passed and the history</w:t>
      </w:r>
    </w:p>
    <w:p>
      <w:pPr>
        <w:pStyle w:val="ListParagraph"/>
        <w:numPr>
          <w:ilvl w:val="0"/>
          <w:numId w:val="3"/>
        </w:numPr>
        <w:spacing w:after="60"/>
      </w:pPr>
      <w:r>
        <w:rPr>
          <w:rFonts w:ascii="Arial" w:cs="Arial" w:eastAsia="Arial" w:hAnsi="Arial"/>
          <w:b/>
          <w:bCs/>
          <w:sz w:val="21"/>
          <w:szCs w:val="21"/>
        </w:rPr>
        <w:t xml:space="preserve">Passed</w:t>
      </w:r>
      <w:r>
        <w:rPr>
          <w:rFonts w:ascii="Arial" w:cs="Arial" w:eastAsia="Arial" w:hAnsi="Arial"/>
          <w:sz w:val="21"/>
          <w:szCs w:val="21"/>
        </w:rPr>
        <w:t xml:space="preserve"> lists the packages with no known advisories (Python and npm), every setting and header that passes, and, below them, what passed in Workspace Isolation, Accounts and Keys and Sending Domains.</w:t>
      </w:r>
    </w:p>
    <w:p>
      <w:pPr>
        <w:pStyle w:val="ListParagraph"/>
        <w:numPr>
          <w:ilvl w:val="0"/>
          <w:numId w:val="3"/>
        </w:numPr>
        <w:spacing w:after="60"/>
      </w:pPr>
      <w:r>
        <w:rPr>
          <w:rFonts w:ascii="Arial" w:cs="Arial" w:eastAsia="Arial" w:hAnsi="Arial"/>
          <w:b/>
          <w:bCs/>
          <w:sz w:val="21"/>
          <w:szCs w:val="21"/>
        </w:rPr>
        <w:t xml:space="preserve">Checks · last 30 days</w:t>
      </w:r>
      <w:r>
        <w:rPr>
          <w:rFonts w:ascii="Arial" w:cs="Arial" w:eastAsia="Arial" w:hAnsi="Arial"/>
          <w:sz w:val="21"/>
          <w:szCs w:val="21"/>
        </w:rPr>
        <w:t xml:space="preserve"> lists every check: when, by the daily job or by whom, how many packages, what was open after it, and what it found fixed.</w:t>
      </w:r>
    </w:p>
    <w:p>
      <w:pPr>
        <w:pStyle w:val="Heading2"/>
        <w:spacing w:after="120" w:before="240"/>
      </w:pPr>
      <w:r>
        <w:rPr>
          <w:rFonts w:ascii="Arial" w:cs="Arial" w:eastAsia="Arial" w:hAnsi="Arial"/>
        </w:rPr>
        <w:t xml:space="preserve">Severity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Severity</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Critical</w:t>
            </w:r>
          </w:p>
        </w:tc>
        <w:tc>
          <w:tcPr>
            <w:tcW w:type="dxa" w:w="7480"/>
            <w:tcMar>
              <w:top w:type="dxa" w:w="60"/>
              <w:left w:type="dxa" w:w="90"/>
              <w:bottom w:type="dxa" w:w="60"/>
              <w:right w:type="dxa" w:w="90"/>
            </w:tcMar>
          </w:tcPr>
          <w:p>
            <w:r>
              <w:rPr>
                <w:rFonts w:ascii="Arial" w:cs="Arial" w:eastAsia="Arial" w:hAnsi="Arial"/>
                <w:sz w:val="19"/>
                <w:szCs w:val="19"/>
              </w:rPr>
              <w:t xml:space="preserve">Fix now: for example a weak signing key, a package advisory rated critical, or the app's login skipping row-level security.</w:t>
            </w:r>
          </w:p>
        </w:tc>
      </w:tr>
      <w:tr>
        <w:tc>
          <w:tcPr>
            <w:tcW w:type="dxa" w:w="2600"/>
            <w:tcMar>
              <w:top w:type="dxa" w:w="60"/>
              <w:left w:type="dxa" w:w="90"/>
              <w:bottom w:type="dxa" w:w="60"/>
              <w:right w:type="dxa" w:w="90"/>
            </w:tcMar>
          </w:tcPr>
          <w:p>
            <w:r>
              <w:rPr>
                <w:rFonts w:ascii="Arial" w:cs="Arial" w:eastAsia="Arial" w:hAnsi="Arial"/>
                <w:sz w:val="19"/>
                <w:szCs w:val="19"/>
              </w:rPr>
              <w:t xml:space="preserve">High</w:t>
            </w:r>
          </w:p>
        </w:tc>
        <w:tc>
          <w:tcPr>
            <w:tcW w:type="dxa" w:w="7480"/>
            <w:tcMar>
              <w:top w:type="dxa" w:w="60"/>
              <w:left w:type="dxa" w:w="90"/>
              <w:bottom w:type="dxa" w:w="60"/>
              <w:right w:type="dxa" w:w="90"/>
            </w:tcMar>
          </w:tcPr>
          <w:p>
            <w:r>
              <w:rPr>
                <w:rFonts w:ascii="Arial" w:cs="Arial" w:eastAsia="Arial" w:hAnsi="Arial"/>
                <w:sz w:val="19"/>
                <w:szCs w:val="19"/>
              </w:rPr>
              <w:t xml:space="preserve">Fix soon: debug mode on, the development web server serving, a session cookie sent over HTTP, a high-rated advisory, a workspace table that does not keep workspaces apart, an unused platform administrator, staff signing in with a password alone, a sending domain without SPF.</w:t>
            </w:r>
          </w:p>
        </w:tc>
      </w:tr>
      <w:tr>
        <w:tc>
          <w:tcPr>
            <w:tcW w:type="dxa" w:w="2600"/>
            <w:tcMar>
              <w:top w:type="dxa" w:w="60"/>
              <w:left w:type="dxa" w:w="90"/>
              <w:bottom w:type="dxa" w:w="60"/>
              <w:right w:type="dxa" w:w="90"/>
            </w:tcMar>
          </w:tcPr>
          <w:p>
            <w:r>
              <w:rPr>
                <w:rFonts w:ascii="Arial" w:cs="Arial" w:eastAsia="Arial" w:hAnsi="Arial"/>
                <w:sz w:val="19"/>
                <w:szCs w:val="19"/>
              </w:rPr>
              <w:t xml:space="preserve">Medium</w:t>
            </w:r>
          </w:p>
        </w:tc>
        <w:tc>
          <w:tcPr>
            <w:tcW w:type="dxa" w:w="7480"/>
            <w:tcMar>
              <w:top w:type="dxa" w:w="60"/>
              <w:left w:type="dxa" w:w="90"/>
              <w:bottom w:type="dxa" w:w="60"/>
              <w:right w:type="dxa" w:w="90"/>
            </w:tcMar>
          </w:tcPr>
          <w:p>
            <w:r>
              <w:rPr>
                <w:rFonts w:ascii="Arial" w:cs="Arial" w:eastAsia="Arial" w:hAnsi="Arial"/>
                <w:sz w:val="19"/>
                <w:szCs w:val="19"/>
              </w:rPr>
              <w:t xml:space="preserve">Plan the fix: missing HSTS or Content-Security-Policy, a moderate advisory, an advisory its database did not rate, an API key over a year old, unsigned engine callbacks, a sending domain without DMARC.</w:t>
            </w:r>
          </w:p>
        </w:tc>
      </w:tr>
      <w:tr>
        <w:tc>
          <w:tcPr>
            <w:tcW w:type="dxa" w:w="2600"/>
            <w:tcMar>
              <w:top w:type="dxa" w:w="60"/>
              <w:left w:type="dxa" w:w="90"/>
              <w:bottom w:type="dxa" w:w="60"/>
              <w:right w:type="dxa" w:w="90"/>
            </w:tcMar>
          </w:tcPr>
          <w:p>
            <w:r>
              <w:rPr>
                <w:rFonts w:ascii="Arial" w:cs="Arial" w:eastAsia="Arial" w:hAnsi="Arial"/>
                <w:sz w:val="19"/>
                <w:szCs w:val="19"/>
              </w:rPr>
              <w:t xml:space="preserve">Low</w:t>
            </w:r>
          </w:p>
        </w:tc>
        <w:tc>
          <w:tcPr>
            <w:tcW w:type="dxa" w:w="7480"/>
            <w:tcMar>
              <w:top w:type="dxa" w:w="60"/>
              <w:left w:type="dxa" w:w="90"/>
              <w:bottom w:type="dxa" w:w="60"/>
              <w:right w:type="dxa" w:w="90"/>
            </w:tcMar>
          </w:tcPr>
          <w:p>
            <w:r>
              <w:rPr>
                <w:rFonts w:ascii="Arial" w:cs="Arial" w:eastAsia="Arial" w:hAnsi="Arial"/>
                <w:sz w:val="19"/>
                <w:szCs w:val="19"/>
              </w:rPr>
              <w:t xml:space="preserve">Note it: a low-rated advisory, nosniff missing, the HTTPS redirect left to the proxy, unused workspace accounts or API keys, DMARC that only monitors.</w:t>
            </w:r>
          </w:p>
        </w:tc>
      </w:tr>
    </w:tbl>
    <w:p>
      <w:pPr>
        <w:spacing w:after="120"/>
      </w:pPr>
    </w:p>
    <w:p>
      <w:pPr>
        <w:spacing w:after="120"/>
      </w:pPr>
      <w:r>
        <w:rPr>
          <w:rFonts w:ascii="Arial" w:cs="Arial" w:eastAsia="Arial" w:hAnsi="Arial"/>
          <w:sz w:val="21"/>
          <w:szCs w:val="21"/>
        </w:rPr>
        <w:t xml:space="preserve">Package severities come from the advisory (GitHub's rating, or the rating of the GitHub twin of a PyPI advisory).</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page says it needs a database update</w:t>
            </w:r>
          </w:p>
        </w:tc>
        <w:tc>
          <w:tcPr>
            <w:tcW w:type="dxa" w:w="7480"/>
            <w:tcMar>
              <w:top w:type="dxa" w:w="60"/>
              <w:left w:type="dxa" w:w="90"/>
              <w:bottom w:type="dxa" w:w="60"/>
              <w:right w:type="dxa" w:w="90"/>
            </w:tcMar>
          </w:tcPr>
          <w:p>
            <w:r>
              <w:rPr>
                <w:rFonts w:ascii="Arial" w:cs="Arial" w:eastAsia="Arial" w:hAnsi="Arial"/>
                <w:sz w:val="19"/>
                <w:szCs w:val="19"/>
              </w:rPr>
              <w:t xml:space="preserve">Patch 0066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Not checked yet</w:t>
            </w:r>
          </w:p>
        </w:tc>
        <w:tc>
          <w:tcPr>
            <w:tcW w:type="dxa" w:w="7480"/>
            <w:tcMar>
              <w:top w:type="dxa" w:w="60"/>
              <w:left w:type="dxa" w:w="90"/>
              <w:bottom w:type="dxa" w:w="60"/>
              <w:right w:type="dxa" w:w="90"/>
            </w:tcMar>
          </w:tcPr>
          <w:p>
            <w:r>
              <w:rPr>
                <w:rFonts w:ascii="Arial" w:cs="Arial" w:eastAsia="Arial" w:hAnsi="Arial"/>
                <w:sz w:val="19"/>
                <w:szCs w:val="19"/>
              </w:rPr>
              <w:t xml:space="preserve">No check has run: press Check Now, or wait for the daily job.</w:t>
            </w:r>
          </w:p>
        </w:tc>
      </w:tr>
      <w:tr>
        <w:tc>
          <w:tcPr>
            <w:tcW w:type="dxa" w:w="2600"/>
            <w:tcMar>
              <w:top w:type="dxa" w:w="60"/>
              <w:left w:type="dxa" w:w="90"/>
              <w:bottom w:type="dxa" w:w="60"/>
              <w:right w:type="dxa" w:w="90"/>
            </w:tcMar>
          </w:tcPr>
          <w:p>
            <w:r>
              <w:rPr>
                <w:rFonts w:ascii="Arial" w:cs="Arial" w:eastAsia="Arial" w:hAnsi="Arial"/>
                <w:sz w:val="19"/>
                <w:szCs w:val="19"/>
              </w:rPr>
              <w:t xml:space="preserve">"OSV.dev could not be reached"</w:t>
            </w:r>
          </w:p>
        </w:tc>
        <w:tc>
          <w:tcPr>
            <w:tcW w:type="dxa" w:w="7480"/>
            <w:tcMar>
              <w:top w:type="dxa" w:w="60"/>
              <w:left w:type="dxa" w:w="90"/>
              <w:bottom w:type="dxa" w:w="60"/>
              <w:right w:type="dxa" w:w="90"/>
            </w:tcMar>
          </w:tcPr>
          <w:p>
            <w:r>
              <w:rPr>
                <w:rFonts w:ascii="Arial" w:cs="Arial" w:eastAsia="Arial" w:hAnsi="Arial"/>
                <w:sz w:val="19"/>
                <w:szCs w:val="19"/>
              </w:rPr>
              <w:t xml:space="preserve">The server cannot reach api.osv.dev over HTTPS; allow it in the firewall.</w:t>
            </w:r>
          </w:p>
        </w:tc>
      </w:tr>
      <w:tr>
        <w:tc>
          <w:tcPr>
            <w:tcW w:type="dxa" w:w="2600"/>
            <w:tcMar>
              <w:top w:type="dxa" w:w="60"/>
              <w:left w:type="dxa" w:w="90"/>
              <w:bottom w:type="dxa" w:w="60"/>
              <w:right w:type="dxa" w:w="90"/>
            </w:tcMar>
          </w:tcPr>
          <w:p>
            <w:r>
              <w:rPr>
                <w:rFonts w:ascii="Arial" w:cs="Arial" w:eastAsia="Arial" w:hAnsi="Arial"/>
                <w:sz w:val="19"/>
                <w:szCs w:val="19"/>
              </w:rPr>
              <w:t xml:space="preserve">The site could not be read</w:t>
            </w:r>
          </w:p>
        </w:tc>
        <w:tc>
          <w:tcPr>
            <w:tcW w:type="dxa" w:w="7480"/>
            <w:tcMar>
              <w:top w:type="dxa" w:w="60"/>
              <w:left w:type="dxa" w:w="90"/>
              <w:bottom w:type="dxa" w:w="60"/>
              <w:right w:type="dxa" w:w="90"/>
            </w:tcMar>
          </w:tcPr>
          <w:p>
            <w:r>
              <w:rPr>
                <w:rFonts w:ascii="Arial" w:cs="Arial" w:eastAsia="Arial" w:hAnsi="Arial"/>
                <w:sz w:val="19"/>
                <w:szCs w:val="19"/>
              </w:rPr>
              <w:t xml:space="preserve">The address in </w:t>
            </w:r>
            <w:r>
              <w:rPr>
                <w:rFonts w:ascii="Consolas" w:cs="Consolas" w:eastAsia="Consolas" w:hAnsi="Consolas"/>
                <w:sz w:val="19"/>
                <w:szCs w:val="19"/>
              </w:rPr>
              <w:t xml:space="preserve">security.site_address</w:t>
            </w:r>
            <w:r>
              <w:rPr>
                <w:rFonts w:ascii="Arial" w:cs="Arial" w:eastAsia="Arial" w:hAnsi="Arial"/>
                <w:sz w:val="19"/>
                <w:szCs w:val="19"/>
              </w:rPr>
              <w:t xml:space="preserve"> does not answer from the server itself.</w:t>
            </w:r>
          </w:p>
        </w:tc>
      </w:tr>
      <w:tr>
        <w:tc>
          <w:tcPr>
            <w:tcW w:type="dxa" w:w="2600"/>
            <w:tcMar>
              <w:top w:type="dxa" w:w="60"/>
              <w:left w:type="dxa" w:w="90"/>
              <w:bottom w:type="dxa" w:w="60"/>
              <w:right w:type="dxa" w:w="90"/>
            </w:tcMar>
          </w:tcPr>
          <w:p>
            <w:r>
              <w:rPr>
                <w:rFonts w:ascii="Arial" w:cs="Arial" w:eastAsia="Arial" w:hAnsi="Arial"/>
                <w:sz w:val="19"/>
                <w:szCs w:val="19"/>
              </w:rPr>
              <w:t xml:space="preserve">The development web server item does not appear on Windows</w:t>
            </w:r>
          </w:p>
        </w:tc>
        <w:tc>
          <w:tcPr>
            <w:tcW w:type="dxa" w:w="7480"/>
            <w:tcMar>
              <w:top w:type="dxa" w:w="60"/>
              <w:left w:type="dxa" w:w="90"/>
              <w:bottom w:type="dxa" w:w="60"/>
              <w:right w:type="dxa" w:w="90"/>
            </w:tcMar>
          </w:tcPr>
          <w:p>
            <w:r>
              <w:rPr>
                <w:rFonts w:ascii="Arial" w:cs="Arial" w:eastAsia="Arial" w:hAnsi="Arial"/>
                <w:sz w:val="19"/>
                <w:szCs w:val="19"/>
              </w:rPr>
              <w:t xml:space="preserve">Running processes are read on Linux only.</w:t>
            </w:r>
          </w:p>
        </w:tc>
      </w:tr>
      <w:tr>
        <w:tc>
          <w:tcPr>
            <w:tcW w:type="dxa" w:w="2600"/>
            <w:tcMar>
              <w:top w:type="dxa" w:w="60"/>
              <w:left w:type="dxa" w:w="90"/>
              <w:bottom w:type="dxa" w:w="60"/>
              <w:right w:type="dxa" w:w="90"/>
            </w:tcMar>
          </w:tcPr>
          <w:p>
            <w:r>
              <w:rPr>
                <w:rFonts w:ascii="Arial" w:cs="Arial" w:eastAsia="Arial" w:hAnsi="Arial"/>
                <w:sz w:val="19"/>
                <w:szCs w:val="19"/>
              </w:rPr>
              <w:t xml:space="preserve">Passed says the data checks wait for patch 0067</w:t>
            </w:r>
          </w:p>
        </w:tc>
        <w:tc>
          <w:tcPr>
            <w:tcW w:type="dxa" w:w="7480"/>
            <w:tcMar>
              <w:top w:type="dxa" w:w="60"/>
              <w:left w:type="dxa" w:w="90"/>
              <w:bottom w:type="dxa" w:w="60"/>
              <w:right w:type="dxa" w:w="90"/>
            </w:tcMar>
          </w:tcPr>
          <w:p>
            <w:r>
              <w:rPr>
                <w:rFonts w:ascii="Arial" w:cs="Arial" w:eastAsia="Arial" w:hAnsi="Arial"/>
                <w:sz w:val="19"/>
                <w:szCs w:val="19"/>
              </w:rPr>
              <w:t xml:space="preserve">Patch 0067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"A sending domain could not be looked up"</w:t>
            </w:r>
          </w:p>
        </w:tc>
        <w:tc>
          <w:tcPr>
            <w:tcW w:type="dxa" w:w="7480"/>
            <w:tcMar>
              <w:top w:type="dxa" w:w="60"/>
              <w:left w:type="dxa" w:w="90"/>
              <w:bottom w:type="dxa" w:w="60"/>
              <w:right w:type="dxa" w:w="90"/>
            </w:tcMar>
          </w:tcPr>
          <w:p>
            <w:r>
              <w:rPr>
                <w:rFonts w:ascii="Arial" w:cs="Arial" w:eastAsia="Arial" w:hAnsi="Arial"/>
                <w:sz w:val="19"/>
                <w:szCs w:val="19"/>
              </w:rPr>
              <w:t xml:space="preserve">This server's DNS did not answer for it; check the server's resolver.</w:t>
            </w:r>
          </w:p>
        </w:tc>
      </w:tr>
      <w:tr>
        <w:tc>
          <w:tcPr>
            <w:tcW w:type="dxa" w:w="2600"/>
            <w:tcMar>
              <w:top w:type="dxa" w:w="60"/>
              <w:left w:type="dxa" w:w="90"/>
              <w:bottom w:type="dxa" w:w="60"/>
              <w:right w:type="dxa" w:w="90"/>
            </w:tcMar>
          </w:tcPr>
          <w:p>
            <w:r>
              <w:rPr>
                <w:rFonts w:ascii="Arial" w:cs="Arial" w:eastAsia="Arial" w:hAnsi="Arial"/>
                <w:sz w:val="19"/>
                <w:szCs w:val="19"/>
              </w:rPr>
              <w:t xml:space="preserve">"Workspace Isolation was not checked" (or another group)</w:t>
            </w:r>
          </w:p>
        </w:tc>
        <w:tc>
          <w:tcPr>
            <w:tcW w:type="dxa" w:w="7480"/>
            <w:tcMar>
              <w:top w:type="dxa" w:w="60"/>
              <w:left w:type="dxa" w:w="90"/>
              <w:bottom w:type="dxa" w:w="60"/>
              <w:right w:type="dxa" w:w="90"/>
            </w:tcMar>
          </w:tcPr>
          <w:p>
            <w:r>
              <w:rPr>
                <w:rFonts w:ascii="Arial" w:cs="Arial" w:eastAsia="Arial" w:hAnsi="Arial"/>
                <w:sz w:val="19"/>
                <w:szCs w:val="19"/>
              </w:rPr>
              <w:t xml:space="preserve">That group failed to read the database; the check's history shows the error, and the group's earlier findings stand.</w:t>
            </w:r>
          </w:p>
        </w:tc>
      </w:tr>
    </w:tbl>
    <w:p>
      <w:pPr>
        <w:spacing w:after="120"/>
      </w:pPr>
    </w:p>
    <w:p>
      <w:r>
        <w:br w:type="page"/>
      </w:r>
    </w:p>
    <w:p>
      <w:pPr>
        <w:pStyle w:val="Heading1"/>
        <w:spacing w:after="120" w:before="0"/>
      </w:pPr>
      <w:r>
        <w:rPr>
          <w:rFonts w:ascii="Arial" w:cs="Arial" w:eastAsia="Arial" w:hAnsi="Arial"/>
        </w:rPr>
        <w:t xml:space="preserve">Engine Health</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Engine Health. The number on the menu item counts the engines failing now. Problems also open alerts (Overview → Alerts), which are emailed to </w:t>
      </w:r>
      <w:r>
        <w:rPr>
          <w:rFonts w:ascii="Consolas" w:cs="Consolas" w:eastAsia="Consolas" w:hAnsi="Consolas"/>
          <w:sz w:val="21"/>
          <w:szCs w:val="21"/>
        </w:rPr>
        <w:t xml:space="preserve">alerts.recipients</w:t>
      </w:r>
      <w:r>
        <w:rPr>
          <w:rFonts w:ascii="Arial" w:cs="Arial" w:eastAsia="Arial" w:hAnsi="Arial"/>
          <w:sz w:val="21"/>
          <w:szCs w:val="21"/>
        </w:rPr>
        <w:t xml:space="preserve"> and posted to the alert webhook. A workspace sees its own engines' health on Settings → Sending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when a sending engine stops working before the campaigns show it. C360 records every call to an engine (how long it took, what came back) and every callback, but a dead webhook, a refused key or a list that bounces used to be noticed only when someone looked. The check-engine-health job looks at every active engine of every workspace every 10 minutes; check-engines-daily runs each engine's Check (key and address, nothing sent) once a day.</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Run Checks Now and Run Daily Check need a platform administrator.</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Raises</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The last callback from the engine and the messages sent since.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w:t>
            </w:r>
            <w:r>
              <w:rPr>
                <w:rFonts w:ascii="Consolas" w:cs="Consolas" w:eastAsia="Consolas" w:hAnsi="Consolas"/>
                <w:sz w:val="19"/>
                <w:szCs w:val="19"/>
              </w:rPr>
              <w:t xml:space="preserve">engine_health.callback_silence_minutes</w:t>
            </w:r>
            <w:r>
              <w:rPr>
                <w:rFonts w:ascii="Arial" w:cs="Arial" w:eastAsia="Arial" w:hAnsi="Arial"/>
                <w:sz w:val="19"/>
                <w:szCs w:val="19"/>
              </w:rPr>
              <w:t xml:space="preserve"> (60). A message is given 10 minutes before its silence counts.</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last hour's calls in the integration log.</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the key was refused (a 401 or 403 after the last good call) or the circuit breaker is open. </w:t>
            </w:r>
            <w:r>
              <w:rPr>
                <w:rFonts w:ascii="Arial" w:cs="Arial" w:eastAsia="Arial" w:hAnsi="Arial"/>
                <w:b/>
                <w:bCs/>
                <w:sz w:val="19"/>
                <w:szCs w:val="19"/>
              </w:rPr>
              <w:t xml:space="preserve">Attention</w:t>
            </w:r>
            <w:r>
              <w:rPr>
                <w:rFonts w:ascii="Arial" w:cs="Arial" w:eastAsia="Arial" w:hAnsi="Arial"/>
                <w:sz w:val="19"/>
                <w:szCs w:val="19"/>
              </w:rPr>
              <w:t xml:space="preserve"> when more than </w:t>
            </w:r>
            <w:r>
              <w:rPr>
                <w:rFonts w:ascii="Consolas" w:cs="Consolas" w:eastAsia="Consolas" w:hAnsi="Consolas"/>
                <w:sz w:val="19"/>
                <w:szCs w:val="19"/>
              </w:rPr>
              <w:t xml:space="preserve">engine_health.rejection_rate_pct</w:t>
            </w:r>
            <w:r>
              <w:rPr>
                <w:rFonts w:ascii="Arial" w:cs="Arial" w:eastAsia="Arial" w:hAnsi="Arial"/>
                <w:sz w:val="19"/>
                <w:szCs w:val="19"/>
              </w:rPr>
              <w:t xml:space="preserve"> (1%) of the calls were refused or failed.</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The 95th percentile of the last hour's call times.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engine_health.p95_ms</w:t>
            </w:r>
            <w:r>
              <w:rPr>
                <w:rFonts w:ascii="Arial" w:cs="Arial" w:eastAsia="Arial" w:hAnsi="Arial"/>
                <w:sz w:val="19"/>
                <w:szCs w:val="19"/>
              </w:rPr>
              <w:t xml:space="preserve"> (5,000 ms). Judged from 10 calls.</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email from the engine.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engine_health.hard_bounce_pct</w:t>
            </w:r>
            <w:r>
              <w:rPr>
                <w:rFonts w:ascii="Arial" w:cs="Arial" w:eastAsia="Arial" w:hAnsi="Arial"/>
                <w:sz w:val="19"/>
                <w:szCs w:val="19"/>
              </w:rPr>
              <w:t xml:space="preserve"> (2%) hard bounces or </w:t>
            </w:r>
            <w:r>
              <w:rPr>
                <w:rFonts w:ascii="Consolas" w:cs="Consolas" w:eastAsia="Consolas" w:hAnsi="Consolas"/>
                <w:sz w:val="19"/>
                <w:szCs w:val="19"/>
              </w:rPr>
              <w:t xml:space="preserve">engine_health.complaint_pct</w:t>
            </w:r>
            <w:r>
              <w:rPr>
                <w:rFonts w:ascii="Arial" w:cs="Arial" w:eastAsia="Arial" w:hAnsi="Arial"/>
                <w:sz w:val="19"/>
                <w:szCs w:val="19"/>
              </w:rPr>
              <w:t xml:space="preserve">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text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engine_health.sms_failure_pct</w:t>
            </w:r>
            <w:r>
              <w:rPr>
                <w:rFonts w:ascii="Arial" w:cs="Arial" w:eastAsia="Arial" w:hAnsi="Arial"/>
                <w:sz w:val="19"/>
                <w:szCs w:val="19"/>
              </w:rPr>
              <w:t xml:space="preserve"> (5%) failed;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w:t>
            </w:r>
          </w:p>
        </w:tc>
        <w:tc>
          <w:tcPr>
            <w:tcW w:type="dxa" w:w="3740"/>
            <w:tcMar>
              <w:top w:type="dxa" w:w="60"/>
              <w:left w:type="dxa" w:w="90"/>
              <w:bottom w:type="dxa" w:w="60"/>
              <w:right w:type="dxa" w:w="90"/>
            </w:tcMar>
          </w:tcPr>
          <w:p>
            <w:r>
              <w:rPr>
                <w:rFonts w:ascii="Arial" w:cs="Arial" w:eastAsia="Arial" w:hAnsi="Arial"/>
                <w:sz w:val="19"/>
                <w:szCs w:val="19"/>
              </w:rPr>
              <w:t xml:space="preserve">Texts of the last two hours still without a receipt after </w:t>
            </w:r>
            <w:r>
              <w:rPr>
                <w:rFonts w:ascii="Consolas" w:cs="Consolas" w:eastAsia="Consolas" w:hAnsi="Consolas"/>
                <w:sz w:val="19"/>
                <w:szCs w:val="19"/>
              </w:rPr>
              <w:t xml:space="preserve">engine_health.receipt_wait_minutes</w:t>
            </w:r>
            <w:r>
              <w:rPr>
                <w:rFonts w:ascii="Arial" w:cs="Arial" w:eastAsia="Arial" w:hAnsi="Arial"/>
                <w:sz w:val="19"/>
                <w:szCs w:val="19"/>
              </w:rPr>
              <w:t xml:space="preserve"> (15).</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engine_health.missing_receipt_pct</w:t>
            </w:r>
            <w:r>
              <w:rPr>
                <w:rFonts w:ascii="Arial" w:cs="Arial" w:eastAsia="Arial" w:hAnsi="Arial"/>
                <w:sz w:val="19"/>
                <w:szCs w:val="19"/>
              </w:rPr>
              <w:t xml:space="preserve"> (1%) of them.</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w:t>
      </w:r>
      <w:r>
        <w:rPr>
          <w:rFonts w:ascii="Consolas" w:cs="Consolas" w:eastAsia="Consolas" w:hAnsi="Consolas"/>
          <w:sz w:val="21"/>
          <w:szCs w:val="21"/>
        </w:rPr>
        <w:t xml:space="preserve">engine_health.min_sample</w:t>
      </w:r>
      <w:r>
        <w:rPr>
          <w:rFonts w:ascii="Arial" w:cs="Arial" w:eastAsia="Arial" w:hAnsi="Arial"/>
          <w:sz w:val="21"/>
          <w:szCs w:val="21"/>
        </w:rPr>
        <w:t xml:space="preserve"> (50) messages or calls in its window; fewer is </w:t>
      </w:r>
      <w:r>
        <w:rPr>
          <w:rFonts w:ascii="Arial" w:cs="Arial" w:eastAsia="Arial" w:hAnsi="Arial"/>
          <w:b/>
          <w:bCs/>
          <w:sz w:val="21"/>
          <w:szCs w:val="21"/>
        </w:rPr>
        <w:t xml:space="preserve">Quiet</w:t>
      </w:r>
      <w:r>
        <w:rPr>
          <w:rFonts w:ascii="Arial" w:cs="Arial" w:eastAsia="Arial" w:hAnsi="Arial"/>
          <w:sz w:val="21"/>
          <w:szCs w:val="21"/>
        </w:rPr>
        <w:t xml:space="preserve">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as an engine's own Check probe would otherwise read </w:t>
      </w:r>
      <w:r>
        <w:rPr>
          <w:rFonts w:ascii="Arial" w:cs="Arial" w:eastAsia="Arial" w:hAnsi="Arial"/>
          <w:i/>
          <w:iCs/>
          <w:sz w:val="21"/>
          <w:szCs w:val="21"/>
        </w:rPr>
        <w:t xml:space="preserve">100%</w:t>
      </w:r>
      <w:r>
        <w:rPr>
          <w:rFonts w:ascii="Arial" w:cs="Arial" w:eastAsia="Arial" w:hAnsi="Arial"/>
          <w:sz w:val="21"/>
          <w:szCs w:val="21"/>
        </w:rPr>
        <w:t xml:space="preserve">. An engine that sent nothing in a day is Quiet overall. All the lines are Global Parameters (category </w:t>
      </w:r>
      <w:r>
        <w:rPr>
          <w:rFonts w:ascii="Arial" w:cs="Arial" w:eastAsia="Arial" w:hAnsi="Arial"/>
          <w:i/>
          <w:iCs/>
          <w:sz w:val="21"/>
          <w:szCs w:val="21"/>
        </w:rPr>
        <w:t xml:space="preserve">Engine health</w:t>
      </w:r>
      <w:r>
        <w:rPr>
          <w:rFonts w:ascii="Arial" w:cs="Arial" w:eastAsia="Arial" w:hAnsi="Arial"/>
          <w:sz w:val="21"/>
          <w:szCs w:val="21"/>
        </w:rPr>
        <w:t xml:space="preserve">) and take effect within a minute.</w:t>
      </w:r>
    </w:p>
    <w:p>
      <w:pPr>
        <w:spacing w:after="120"/>
      </w:pPr>
      <w:r>
        <w:rPr>
          <w:rFonts w:ascii="Arial" w:cs="Arial" w:eastAsia="Arial" w:hAnsi="Arial"/>
          <w:b/>
          <w:bCs/>
          <w:sz w:val="21"/>
          <w:szCs w:val="21"/>
        </w:rPr>
        <w:t xml:space="preserve">Digivize, said plainly.</w:t>
      </w:r>
      <w:r>
        <w:rPr>
          <w:rFonts w:ascii="Arial" w:cs="Arial" w:eastAsia="Arial" w:hAnsi="Arial"/>
          <w:sz w:val="21"/>
          <w:szCs w:val="21"/>
        </w:rPr>
        <w:t xml:space="preserve"> Digivize accepts texts but has never posted a delivery receipt from its sandbox. A text engine that has never called back is therefore not judged on Callbacks or Receipts: it shows </w:t>
      </w:r>
      <w:r>
        <w:rPr>
          <w:rFonts w:ascii="Arial" w:cs="Arial" w:eastAsia="Arial" w:hAnsi="Arial"/>
          <w:b/>
          <w:bCs/>
          <w:sz w:val="21"/>
          <w:szCs w:val="21"/>
        </w:rPr>
        <w:t xml:space="preserve">No Receipts Yet</w:t>
      </w:r>
      <w:r>
        <w:rPr>
          <w:rFonts w:ascii="Arial" w:cs="Arial" w:eastAsia="Arial" w:hAnsi="Arial"/>
          <w:sz w:val="21"/>
          <w:szCs w:val="21"/>
        </w:rPr>
        <w:t xml:space="preserve">, one standing warning. Its alert opens acknowledged, is emailed once and is not repeated. The first receipt that arrives switches the real checks on by themselves.</w:t>
      </w:r>
    </w:p>
    <w:p>
      <w:pPr>
        <w:pStyle w:val="Heading2"/>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Run Checks Now</w:t>
            </w:r>
          </w:p>
        </w:tc>
        <w:tc>
          <w:tcPr>
            <w:tcW w:type="dxa" w:w="7480"/>
            <w:tcMar>
              <w:top w:type="dxa" w:w="60"/>
              <w:left w:type="dxa" w:w="90"/>
              <w:bottom w:type="dxa" w:w="60"/>
              <w:right w:type="dxa" w:w="90"/>
            </w:tcMar>
          </w:tcPr>
          <w:p>
            <w:r>
              <w:rPr>
                <w:rFonts w:ascii="Arial" w:cs="Arial" w:eastAsia="Arial" w:hAnsi="Arial"/>
                <w:sz w:val="19"/>
                <w:szCs w:val="19"/>
              </w:rPr>
              <w:t xml:space="preserve">Runs the check-engine-health job at once.</w:t>
            </w:r>
          </w:p>
        </w:tc>
      </w:tr>
      <w:tr>
        <w:tc>
          <w:tcPr>
            <w:tcW w:type="dxa" w:w="2600"/>
            <w:tcMar>
              <w:top w:type="dxa" w:w="60"/>
              <w:left w:type="dxa" w:w="90"/>
              <w:bottom w:type="dxa" w:w="60"/>
              <w:right w:type="dxa" w:w="90"/>
            </w:tcMar>
          </w:tcPr>
          <w:p>
            <w:r>
              <w:rPr>
                <w:rFonts w:ascii="Arial" w:cs="Arial" w:eastAsia="Arial" w:hAnsi="Arial"/>
                <w:sz w:val="19"/>
                <w:szCs w:val="19"/>
              </w:rPr>
              <w:t xml:space="preserve">Run Daily Check</w:t>
            </w:r>
          </w:p>
        </w:tc>
        <w:tc>
          <w:tcPr>
            <w:tcW w:type="dxa" w:w="7480"/>
            <w:tcMar>
              <w:top w:type="dxa" w:w="60"/>
              <w:left w:type="dxa" w:w="90"/>
              <w:bottom w:type="dxa" w:w="60"/>
              <w:right w:type="dxa" w:w="90"/>
            </w:tcMar>
          </w:tcPr>
          <w:p>
            <w:r>
              <w:rPr>
                <w:rFonts w:ascii="Arial" w:cs="Arial" w:eastAsia="Arial" w:hAnsi="Arial"/>
                <w:sz w:val="19"/>
                <w:szCs w:val="19"/>
              </w:rPr>
              <w:t xml:space="preserve">Runs every active engine's Check at once (key and address,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Engines, Failing, Attention, Healthy or Quiet</w:t>
            </w:r>
          </w:p>
        </w:tc>
        <w:tc>
          <w:tcPr>
            <w:tcW w:type="dxa" w:w="7480"/>
            <w:tcMar>
              <w:top w:type="dxa" w:w="60"/>
              <w:left w:type="dxa" w:w="90"/>
              <w:bottom w:type="dxa" w:w="60"/>
              <w:right w:type="dxa" w:w="90"/>
            </w:tcMar>
          </w:tcPr>
          <w:p>
            <w:r>
              <w:rPr>
                <w:rFonts w:ascii="Arial" w:cs="Arial" w:eastAsia="Arial" w:hAnsi="Arial"/>
                <w:sz w:val="19"/>
                <w:szCs w:val="19"/>
              </w:rPr>
              <w:t xml:space="preserve">The counts across every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Engines</w:t>
            </w:r>
          </w:p>
        </w:tc>
        <w:tc>
          <w:tcPr>
            <w:tcW w:type="dxa" w:w="7480"/>
            <w:tcMar>
              <w:top w:type="dxa" w:w="60"/>
              <w:left w:type="dxa" w:w="90"/>
              <w:bottom w:type="dxa" w:w="60"/>
              <w:right w:type="dxa" w:w="90"/>
            </w:tcMar>
          </w:tcPr>
          <w:p>
            <w:r>
              <w:rPr>
                <w:rFonts w:ascii="Arial" w:cs="Arial" w:eastAsia="Arial" w:hAnsi="Arial"/>
                <w:sz w:val="19"/>
                <w:szCs w:val="19"/>
              </w:rPr>
              <w:t xml:space="preserve">One row per active engine, worst first: the workspace and engine, its health and the reason, messages sent in the last hour, the last callback, refused calls, the p95, bounces and complaints (failed texts for a text engine) and the Daily Check. A figure over its line is coloured.</w:t>
            </w:r>
          </w:p>
        </w:tc>
      </w:tr>
      <w:tr>
        <w:tc>
          <w:tcPr>
            <w:tcW w:type="dxa" w:w="2600"/>
            <w:tcMar>
              <w:top w:type="dxa" w:w="60"/>
              <w:left w:type="dxa" w:w="90"/>
              <w:bottom w:type="dxa" w:w="60"/>
              <w:right w:type="dxa" w:w="90"/>
            </w:tcMar>
          </w:tcPr>
          <w:p>
            <w:r>
              <w:rPr>
                <w:rFonts w:ascii="Arial" w:cs="Arial" w:eastAsia="Arial" w:hAnsi="Arial"/>
                <w:sz w:val="19"/>
                <w:szCs w:val="19"/>
              </w:rPr>
              <w:t xml:space="preserve">The Lines</w:t>
            </w:r>
          </w:p>
        </w:tc>
        <w:tc>
          <w:tcPr>
            <w:tcW w:type="dxa" w:w="7480"/>
            <w:tcMar>
              <w:top w:type="dxa" w:w="60"/>
              <w:left w:type="dxa" w:w="90"/>
              <w:bottom w:type="dxa" w:w="60"/>
              <w:right w:type="dxa" w:w="90"/>
            </w:tcMar>
          </w:tcPr>
          <w:p>
            <w:r>
              <w:rPr>
                <w:rFonts w:ascii="Arial" w:cs="Arial" w:eastAsia="Arial" w:hAnsi="Arial"/>
                <w:sz w:val="19"/>
                <w:szCs w:val="19"/>
              </w:rPr>
              <w:t xml:space="preserve">The thresholds in force, in words.</w:t>
            </w:r>
          </w:p>
        </w:tc>
      </w:tr>
    </w:tbl>
    <w:p>
      <w:pPr>
        <w:spacing w:after="120"/>
      </w:pPr>
    </w:p>
    <w:p>
      <w:pPr>
        <w:pStyle w:val="Heading2"/>
        <w:spacing w:after="120" w:before="240"/>
      </w:pPr>
      <w:r>
        <w:rPr>
          <w:rFonts w:ascii="Arial" w:cs="Arial" w:eastAsia="Arial" w:hAnsi="Arial"/>
        </w:rPr>
        <w:t xml:space="preserve">Alerts</w:t>
      </w:r>
    </w:p>
    <w:p>
      <w:pPr>
        <w:spacing w:after="120"/>
      </w:pPr>
      <w:r>
        <w:rPr>
          <w:rFonts w:ascii="Arial" w:cs="Arial" w:eastAsia="Arial" w:hAnsi="Arial"/>
          <w:sz w:val="21"/>
          <w:szCs w:val="21"/>
        </w:rPr>
        <w:t xml:space="preserve">Each failing check of an engine is one alert, named </w:t>
      </w:r>
      <w:r>
        <w:rPr>
          <w:rFonts w:ascii="Arial" w:cs="Arial" w:eastAsia="Arial" w:hAnsi="Arial"/>
          <w:i/>
          <w:iCs/>
          <w:sz w:val="21"/>
          <w:szCs w:val="21"/>
        </w:rPr>
        <w:t xml:space="preserve">Engine · workspace · engine · check</w:t>
      </w:r>
      <w:r>
        <w:rPr>
          <w:rFonts w:ascii="Arial" w:cs="Arial" w:eastAsia="Arial" w:hAnsi="Arial"/>
          <w:sz w:val="21"/>
          <w:szCs w:val="21"/>
        </w:rPr>
        <w:t xml:space="preserve">, for example </w:t>
      </w:r>
      <w:r>
        <w:rPr>
          <w:rFonts w:ascii="Arial" w:cs="Arial" w:eastAsia="Arial" w:hAnsi="Arial"/>
          <w:i/>
          <w:iCs/>
          <w:sz w:val="21"/>
          <w:szCs w:val="21"/>
        </w:rPr>
        <w:t xml:space="preserve">Engine · NWA · Postal Marketing · Callbacks</w:t>
      </w:r>
      <w:r>
        <w:rPr>
          <w:rFonts w:ascii="Arial" w:cs="Arial" w:eastAsia="Arial" w:hAnsi="Arial"/>
          <w:sz w:val="21"/>
          <w:szCs w:val="21"/>
        </w:rPr>
        <w:t xml:space="preserve">. It is notified when it opens,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unless acknowledged, and resolved with a notice when the check passes. Failing checks are Failing alerts; Attention checks are warnings.</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An engine is Failing on Callbacks.</w:t>
      </w:r>
      <w:r>
        <w:rPr>
          <w:rFonts w:ascii="Arial" w:cs="Arial" w:eastAsia="Arial" w:hAnsi="Arial"/>
          <w:sz w:val="21"/>
          <w:szCs w:val="21"/>
        </w:rPr>
        <w:t xml:space="preserve"> The engine is sending but its news is not coming back. In the provider's console check that the workspace's callback address is registered and switched on (the workspace copies it with Copy Webhook URL on Sending Engines). Postal: the mail server → Webhooks.</w:t>
      </w:r>
    </w:p>
    <w:p>
      <w:pPr>
        <w:spacing w:after="120"/>
      </w:pPr>
      <w:r>
        <w:rPr>
          <w:rFonts w:ascii="Arial" w:cs="Arial" w:eastAsia="Arial" w:hAnsi="Arial"/>
          <w:b/>
          <w:bCs/>
          <w:sz w:val="21"/>
          <w:szCs w:val="21"/>
        </w:rPr>
        <w:t xml:space="preserve">An engine is Failing on Refused Calls with a refused key.</w:t>
      </w:r>
      <w:r>
        <w:rPr>
          <w:rFonts w:ascii="Arial" w:cs="Arial" w:eastAsia="Arial" w:hAnsi="Arial"/>
          <w:sz w:val="21"/>
          <w:szCs w:val="21"/>
        </w:rPr>
        <w:t xml:space="preserve"> The key was revoked or replaced at the provider. The workspace enters the current key (Sending Engines → Edit) and presses Check; the health clears at once.</w:t>
      </w:r>
    </w:p>
    <w:p>
      <w:pPr>
        <w:spacing w:after="120"/>
      </w:pPr>
      <w:r>
        <w:rPr>
          <w:rFonts w:ascii="Arial" w:cs="Arial" w:eastAsia="Arial" w:hAnsi="Arial"/>
          <w:b/>
          <w:bCs/>
          <w:sz w:val="21"/>
          <w:szCs w:val="21"/>
        </w:rPr>
        <w:t xml:space="preserve">Bounces need attention.</w:t>
      </w:r>
      <w:r>
        <w:rPr>
          <w:rFonts w:ascii="Arial" w:cs="Arial" w:eastAsia="Arial" w:hAnsi="Arial"/>
          <w:sz w:val="21"/>
          <w:szCs w:val="21"/>
        </w:rPr>
        <w:t xml:space="preserve"> Find the campaign and list that sent the bad addresses (the workspace's run results, or the Emails Sent list under Delivery) before the next send makes the provider throttle the domain.</w:t>
      </w:r>
    </w:p>
    <w:p>
      <w:pPr>
        <w:spacing w:after="120"/>
      </w:pPr>
      <w:r>
        <w:rPr>
          <w:rFonts w:ascii="Arial" w:cs="Arial" w:eastAsia="Arial" w:hAnsi="Arial"/>
          <w:b/>
          <w:bCs/>
          <w:sz w:val="21"/>
          <w:szCs w:val="21"/>
        </w:rPr>
        <w:t xml:space="preserve">Tune a line.</w:t>
      </w:r>
      <w:r>
        <w:rPr>
          <w:rFonts w:ascii="Arial" w:cs="Arial" w:eastAsia="Arial" w:hAnsi="Arial"/>
          <w:sz w:val="21"/>
          <w:szCs w:val="21"/>
        </w:rPr>
        <w:t xml:space="preserve"> Configuration → Global Parameters → search </w:t>
      </w:r>
      <w:r>
        <w:rPr>
          <w:rFonts w:ascii="Consolas" w:cs="Consolas" w:eastAsia="Consolas" w:hAnsi="Consolas"/>
          <w:sz w:val="21"/>
          <w:szCs w:val="21"/>
        </w:rPr>
        <w:t xml:space="preserve">engine_health</w:t>
      </w:r>
      <w:r>
        <w:rPr>
          <w:rFonts w:ascii="Arial" w:cs="Arial" w:eastAsia="Arial" w:hAnsi="Arial"/>
          <w:sz w:val="21"/>
          <w:szCs w:val="21"/>
        </w:rPr>
        <w:t xml:space="preserve"> → change the value. The next pass uses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job reads each workspace in its own row-level-security scope: the integration log (calls out, callbacks in, timings, status codes), the circuit breaker's state, the email and text records of the last day, and the engine's last Check. It stores one result per engine in </w:t>
      </w:r>
      <w:r>
        <w:rPr>
          <w:rFonts w:ascii="Consolas" w:cs="Consolas" w:eastAsia="Consolas" w:hAnsi="Consolas"/>
          <w:sz w:val="21"/>
          <w:szCs w:val="21"/>
        </w:rPr>
        <w:t xml:space="preserve">delivery_provider_health</w:t>
      </w:r>
      <w:r>
        <w:rPr>
          <w:rFonts w:ascii="Arial" w:cs="Arial" w:eastAsia="Arial" w:hAnsi="Arial"/>
          <w:sz w:val="21"/>
          <w:szCs w:val="21"/>
        </w:rPr>
        <w:t xml:space="preserve"> (patch 0069), which this page, the workspace's page and the alert evaluator read. Before patch 0069 is applied the job skips and the page says so.</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Step by step: a calculated measure</w:t>
      </w:r>
    </w:p>
    <w:p>
      <w:pPr>
        <w:pStyle w:val="ListParagraph"/>
        <w:numPr>
          <w:ilvl w:val="0"/>
          <w:numId w:val="3"/>
        </w:numPr>
        <w:spacing w:after="60"/>
      </w:pPr>
      <w:r>
        <w:rPr>
          <w:rFonts w:ascii="Arial" w:cs="Arial" w:eastAsia="Arial" w:hAnsi="Arial"/>
          <w:sz w:val="21"/>
          <w:szCs w:val="21"/>
        </w:rPr>
        <w:t xml:space="preserve">Open Configuration → Report Datasets and open the dataset, such as Messages.</w:t>
      </w:r>
    </w:p>
    <w:p>
      <w:pPr>
        <w:pStyle w:val="ListParagraph"/>
        <w:numPr>
          <w:ilvl w:val="0"/>
          <w:numId w:val="3"/>
        </w:numPr>
        <w:spacing w:after="60"/>
      </w:pPr>
      <w:r>
        <w:rPr>
          <w:rFonts w:ascii="Arial" w:cs="Arial" w:eastAsia="Arial" w:hAnsi="Arial"/>
          <w:sz w:val="21"/>
          <w:szCs w:val="21"/>
        </w:rPr>
        <w:t xml:space="preserve">On a new field row, give the key (delivered_rate) and the label (Delivered Rate), put the key in </w:t>
      </w:r>
      <w:r>
        <w:rPr>
          <w:rFonts w:ascii="Arial" w:cs="Arial" w:eastAsia="Arial" w:hAnsi="Arial"/>
          <w:b/>
          <w:bCs/>
          <w:sz w:val="21"/>
          <w:szCs w:val="21"/>
        </w:rPr>
        <w:t xml:space="preserve">Column name</w:t>
      </w:r>
      <w:r>
        <w:rPr>
          <w:rFonts w:ascii="Arial" w:cs="Arial" w:eastAsia="Arial" w:hAnsi="Arial"/>
          <w:sz w:val="21"/>
          <w:szCs w:val="21"/>
        </w:rPr>
        <w:t xml:space="preserve"> too (a formula reads no column), set </w:t>
      </w:r>
      <w:r>
        <w:rPr>
          <w:rFonts w:ascii="Arial" w:cs="Arial" w:eastAsia="Arial" w:hAnsi="Arial"/>
          <w:b/>
          <w:bCs/>
          <w:sz w:val="21"/>
          <w:szCs w:val="21"/>
        </w:rPr>
        <w:t xml:space="preserve">Type</w:t>
      </w:r>
      <w:r>
        <w:rPr>
          <w:rFonts w:ascii="Arial" w:cs="Arial" w:eastAsia="Arial" w:hAnsi="Arial"/>
          <w:sz w:val="21"/>
          <w:szCs w:val="21"/>
        </w:rPr>
        <w:t xml:space="preserve"> to number, </w:t>
      </w:r>
      <w:r>
        <w:rPr>
          <w:rFonts w:ascii="Arial" w:cs="Arial" w:eastAsia="Arial" w:hAnsi="Arial"/>
          <w:b/>
          <w:bCs/>
          <w:sz w:val="21"/>
          <w:szCs w:val="21"/>
        </w:rPr>
        <w:t xml:space="preserve">Role</w:t>
      </w:r>
      <w:r>
        <w:rPr>
          <w:rFonts w:ascii="Arial" w:cs="Arial" w:eastAsia="Arial" w:hAnsi="Arial"/>
          <w:sz w:val="21"/>
          <w:szCs w:val="21"/>
        </w:rPr>
        <w:t xml:space="preserve"> to measure and the </w:t>
      </w:r>
      <w:r>
        <w:rPr>
          <w:rFonts w:ascii="Arial" w:cs="Arial" w:eastAsia="Arial" w:hAnsi="Arial"/>
          <w:b/>
          <w:bCs/>
          <w:sz w:val="21"/>
          <w:szCs w:val="21"/>
        </w:rPr>
        <w:t xml:space="preserve">Display format</w:t>
      </w:r>
      <w:r>
        <w:rPr>
          <w:rFonts w:ascii="Arial" w:cs="Arial" w:eastAsia="Arial" w:hAnsi="Arial"/>
          <w:sz w:val="21"/>
          <w:szCs w:val="21"/>
        </w:rPr>
        <w:t xml:space="preserve"> (percent for a rate).</w:t>
      </w:r>
    </w:p>
    <w:p>
      <w:pPr>
        <w:pStyle w:val="ListParagraph"/>
        <w:numPr>
          <w:ilvl w:val="0"/>
          <w:numId w:val="3"/>
        </w:numPr>
        <w:spacing w:after="60"/>
      </w:pPr>
      <w:r>
        <w:rPr>
          <w:rFonts w:ascii="Arial" w:cs="Arial" w:eastAsia="Arial" w:hAnsi="Arial"/>
          <w:sz w:val="21"/>
          <w:szCs w:val="21"/>
        </w:rPr>
        <w:t xml:space="preserve">Fill in </w:t>
      </w:r>
      <w:r>
        <w:rPr>
          <w:rFonts w:ascii="Arial" w:cs="Arial" w:eastAsia="Arial" w:hAnsi="Arial"/>
          <w:b/>
          <w:bCs/>
          <w:sz w:val="21"/>
          <w:szCs w:val="21"/>
        </w:rPr>
        <w:t xml:space="preserve">Formula</w:t>
      </w:r>
      <w:r>
        <w:rPr>
          <w:rFonts w:ascii="Arial" w:cs="Arial" w:eastAsia="Arial" w:hAnsi="Arial"/>
          <w:sz w:val="21"/>
          <w:szCs w:val="21"/>
        </w:rPr>
        <w:t xml:space="preserve">, for example: </w:t>
      </w:r>
      <w:r>
        <w:rPr>
          <w:rFonts w:ascii="Consolas" w:cs="Consolas" w:eastAsia="Consolas" w:hAnsi="Consolas"/>
          <w:sz w:val="21"/>
          <w:szCs w:val="21"/>
        </w:rPr>
        <w:t xml:space="preserve">{"op": "ratio", "left": {"field": "delivered", "aggregate": "sum"}, "right": {"field": "sent", "aggregate": "sum"}, "scale": 100}</w:t>
      </w:r>
      <w:r>
        <w:rPr>
          <w:rFonts w:ascii="Arial" w:cs="Arial" w:eastAsia="Arial" w:hAnsi="Arial"/>
          <w:sz w:val="21"/>
          <w:szCs w:val="21"/>
        </w:rPr>
        <w:t xml:space="preserve">. </w:t>
      </w:r>
      <w:r>
        <w:rPr>
          <w:rFonts w:ascii="Consolas" w:cs="Consolas" w:eastAsia="Consolas" w:hAnsi="Consolas"/>
          <w:sz w:val="21"/>
          <w:szCs w:val="21"/>
        </w:rPr>
        <w:t xml:space="preserve">op</w:t>
      </w:r>
      <w:r>
        <w:rPr>
          <w:rFonts w:ascii="Arial" w:cs="Arial" w:eastAsia="Arial" w:hAnsi="Arial"/>
          <w:sz w:val="21"/>
          <w:szCs w:val="21"/>
        </w:rPr>
        <w:t xml:space="preserve"> is ratio, difference, sum or product; a side is a measure of the same dataset with one of its aggregates, or </w:t>
      </w:r>
      <w:r>
        <w:rPr>
          <w:rFonts w:ascii="Consolas" w:cs="Consolas" w:eastAsia="Consolas" w:hAnsi="Consolas"/>
          <w:sz w:val="21"/>
          <w:szCs w:val="21"/>
        </w:rPr>
        <w:t xml:space="preserve">{"value": 2}</w:t>
      </w:r>
      <w:r>
        <w:rPr>
          <w:rFonts w:ascii="Arial" w:cs="Arial" w:eastAsia="Arial" w:hAnsi="Arial"/>
          <w:sz w:val="21"/>
          <w:szCs w:val="21"/>
        </w:rPr>
        <w:t xml:space="preserve">; </w:t>
      </w:r>
      <w:r>
        <w:rPr>
          <w:rFonts w:ascii="Consolas" w:cs="Consolas" w:eastAsia="Consolas" w:hAnsi="Consolas"/>
          <w:sz w:val="21"/>
          <w:szCs w:val="21"/>
        </w:rPr>
        <w:t xml:space="preserve">scale</w:t>
      </w:r>
      <w:r>
        <w:rPr>
          <w:rFonts w:ascii="Arial" w:cs="Arial" w:eastAsia="Arial" w:hAnsi="Arial"/>
          <w:sz w:val="21"/>
          <w:szCs w:val="21"/>
        </w:rPr>
        <w:t xml:space="preserve"> multiplies the result.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form refuses a formula that does not fit the dataset's fields, and sets the row's aggregates to </w:t>
      </w:r>
      <w:r>
        <w:rPr>
          <w:rFonts w:ascii="Consolas" w:cs="Consolas" w:eastAsia="Consolas" w:hAnsi="Consolas"/>
          <w:sz w:val="21"/>
          <w:szCs w:val="21"/>
        </w:rPr>
        <w:t xml:space="preserve">calc</w:t>
      </w:r>
      <w:r>
        <w:rPr>
          <w:rFonts w:ascii="Arial" w:cs="Arial" w:eastAsia="Arial" w:hAnsi="Arial"/>
          <w:sz w:val="21"/>
          <w:szCs w:val="21"/>
        </w:rPr>
        <w:t xml:space="preserve"> itself.</w:t>
      </w:r>
    </w:p>
    <w:p>
      <w:pPr>
        <w:pStyle w:val="ListParagraph"/>
        <w:numPr>
          <w:ilvl w:val="0"/>
          <w:numId w:val="3"/>
        </w:numPr>
        <w:spacing w:after="60"/>
      </w:pPr>
      <w:r>
        <w:rPr>
          <w:rFonts w:ascii="Arial" w:cs="Arial" w:eastAsia="Arial" w:hAnsi="Arial"/>
          <w:sz w:val="21"/>
          <w:szCs w:val="21"/>
        </w:rPr>
        <w:t xml:space="preserve">Within a minute every workspace on the dataset finds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 Delivered, Open, Click and Bounce Rate, Average Order Value and Conversion Rate are already there.</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r>
        <w:tc>
          <w:tcPr>
            <w:tcW w:type="dxa" w:w="2600"/>
            <w:tcMar>
              <w:top w:type="dxa" w:w="60"/>
              <w:left w:type="dxa" w:w="90"/>
              <w:bottom w:type="dxa" w:w="60"/>
              <w:right w:type="dxa" w:w="90"/>
            </w:tcMar>
          </w:tcPr>
          <w:p>
            <w:r>
              <w:rPr>
                <w:rFonts w:ascii="Arial" w:cs="Arial" w:eastAsia="Arial" w:hAnsi="Arial"/>
                <w:sz w:val="19"/>
                <w:szCs w:val="19"/>
              </w:rPr>
              <w:t xml:space="preserve">Formula</w:t>
            </w:r>
          </w:p>
        </w:tc>
        <w:tc>
          <w:tcPr>
            <w:tcW w:type="dxa" w:w="7480"/>
            <w:tcMar>
              <w:top w:type="dxa" w:w="60"/>
              <w:left w:type="dxa" w:w="90"/>
              <w:bottom w:type="dxa" w:w="60"/>
              <w:right w:type="dxa" w:w="90"/>
            </w:tcMar>
          </w:tcPr>
          <w:p>
            <w:r>
              <w:rPr>
                <w:rFonts w:ascii="Arial" w:cs="Arial" w:eastAsia="Arial" w:hAnsi="Arial"/>
                <w:sz w:val="19"/>
                <w:szCs w:val="19"/>
              </w:rPr>
              <w:t xml:space="preserve">Makes the field a calculated measure: </w:t>
            </w:r>
            <w:r>
              <w:rPr>
                <w:rFonts w:ascii="Consolas" w:cs="Consolas" w:eastAsia="Consolas" w:hAnsi="Consolas"/>
                <w:sz w:val="19"/>
                <w:szCs w:val="19"/>
              </w:rPr>
              <w:t xml:space="preserve">{"op": "ratio", "left": {"field": "delivered", "aggregate": "sum"}, "right": {"field": "sent", "aggregate": "sum"}, "scale": 100}</w:t>
            </w:r>
            <w:r>
              <w:rPr>
                <w:rFonts w:ascii="Arial" w:cs="Arial" w:eastAsia="Arial" w:hAnsi="Arial"/>
                <w:sz w:val="19"/>
                <w:szCs w:val="19"/>
              </w:rPr>
              <w:t xml:space="preserve">. </w:t>
            </w:r>
            <w:r>
              <w:rPr>
                <w:rFonts w:ascii="Consolas" w:cs="Consolas" w:eastAsia="Consolas" w:hAnsi="Consolas"/>
                <w:sz w:val="19"/>
                <w:szCs w:val="19"/>
              </w:rPr>
              <w:t xml:space="preserve">op</w:t>
            </w:r>
            <w:r>
              <w:rPr>
                <w:rFonts w:ascii="Arial" w:cs="Arial" w:eastAsia="Arial" w:hAnsi="Arial"/>
                <w:sz w:val="19"/>
                <w:szCs w:val="19"/>
              </w:rPr>
              <w:t xml:space="preserve"> is ratio, difference, sum or product; a side is a measure of the same dataset with one of its aggregates, or </w:t>
            </w:r>
            <w:r>
              <w:rPr>
                <w:rFonts w:ascii="Consolas" w:cs="Consolas" w:eastAsia="Consolas" w:hAnsi="Consolas"/>
                <w:sz w:val="19"/>
                <w:szCs w:val="19"/>
              </w:rPr>
              <w:t xml:space="preserve">{"value": n}</w:t>
            </w:r>
            <w:r>
              <w:rPr>
                <w:rFonts w:ascii="Arial" w:cs="Arial" w:eastAsia="Arial" w:hAnsi="Arial"/>
                <w:sz w:val="19"/>
                <w:szCs w:val="19"/>
              </w:rPr>
              <w:t xml:space="preserve">; </w:t>
            </w:r>
            <w:r>
              <w:rPr>
                <w:rFonts w:ascii="Consolas" w:cs="Consolas" w:eastAsia="Consolas" w:hAnsi="Consolas"/>
                <w:sz w:val="19"/>
                <w:szCs w:val="19"/>
              </w:rPr>
              <w:t xml:space="preserve">scale</w:t>
            </w:r>
            <w:r>
              <w:rPr>
                <w:rFonts w:ascii="Arial" w:cs="Arial" w:eastAsia="Arial" w:hAnsi="Arial"/>
                <w:sz w:val="19"/>
                <w:szCs w:val="19"/>
              </w:rPr>
              <w:t xml:space="preserve"> multiplies the result (100 for a percentage). The row is saved as a number measure with the aggregate </w:t>
            </w:r>
            <w:r>
              <w:rPr>
                <w:rFonts w:ascii="Consolas" w:cs="Consolas" w:eastAsia="Consolas" w:hAnsi="Consolas"/>
                <w:sz w:val="19"/>
                <w:szCs w:val="19"/>
              </w:rPr>
              <w:t xml:space="preserve">calc</w:t>
            </w:r>
            <w:r>
              <w:rPr>
                <w:rFonts w:ascii="Arial" w:cs="Arial" w:eastAsia="Arial" w:hAnsi="Arial"/>
                <w:sz w:val="19"/>
                <w:szCs w:val="19"/>
              </w:rPr>
              <w:t xml:space="preserve">; the column is a placeholder (the key is used when it is left empty). The form refuses a formula that does not fit the dataset's fields. Delivered, Open, Click and Bounce Rate, Average Order Value and Conversion Rate are seeded.</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pPr>
        <w:pStyle w:val="Heading2"/>
        <w:spacing w:after="120" w:before="240"/>
      </w:pPr>
      <w:r>
        <w:rPr>
          <w:rFonts w:ascii="Arial" w:cs="Arial" w:eastAsia="Arial" w:hAnsi="Arial"/>
        </w:rPr>
        <w:t xml:space="preserve">Dataset Links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Dataset Links.</w:t>
      </w:r>
    </w:p>
    <w:p>
      <w:pPr>
        <w:spacing w:after="120"/>
      </w:pPr>
      <w:r>
        <w:rPr>
          <w:rFonts w:ascii="Arial" w:cs="Arial" w:eastAsia="Arial" w:hAnsi="Arial"/>
          <w:sz w:val="21"/>
          <w:szCs w:val="21"/>
        </w:rPr>
        <w:t xml:space="preserve">Two of the platform's datasets that share dimensions, so a report on the first can add measures from the second. Messages and Attributed Orders come linked both ways: they share Campaign and Channel, and a period on the send date is the same period on the order date.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From dataset, To dataset</w:t>
            </w:r>
          </w:p>
        </w:tc>
        <w:tc>
          <w:tcPr>
            <w:tcW w:type="dxa" w:w="3740"/>
            <w:tcMar>
              <w:top w:type="dxa" w:w="60"/>
              <w:left w:type="dxa" w:w="90"/>
              <w:bottom w:type="dxa" w:w="60"/>
              <w:right w:type="dxa" w:w="90"/>
            </w:tcMar>
          </w:tcPr>
          <w:p>
            <w:r>
              <w:rPr>
                <w:rFonts w:ascii="Arial" w:cs="Arial" w:eastAsia="Arial" w:hAnsi="Arial"/>
                <w:sz w:val="19"/>
                <w:szCs w:val="19"/>
              </w:rPr>
              <w:t xml:space="preserve">the report's dataset, and the one its measures come from</w:t>
            </w:r>
          </w:p>
        </w:tc>
        <w:tc>
          <w:tcPr>
            <w:tcW w:type="dxa" w:w="3740"/>
            <w:tcMar>
              <w:top w:type="dxa" w:w="60"/>
              <w:left w:type="dxa" w:w="90"/>
              <w:bottom w:type="dxa" w:w="60"/>
              <w:right w:type="dxa" w:w="90"/>
            </w:tcMar>
          </w:tcPr>
          <w:p>
            <w:r>
              <w:rPr>
                <w:rFonts w:ascii="Arial" w:cs="Arial" w:eastAsia="Arial" w:hAnsi="Arial"/>
                <w:sz w:val="19"/>
                <w:szCs w:val="19"/>
              </w:rPr>
              <w:t xml:space="preserve">one link per pair, each way set on its own</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a sentence report authors read in the editor</w:t>
            </w:r>
          </w:p>
        </w:tc>
        <w:tc>
          <w:tcPr>
            <w:tcW w:type="dxa" w:w="3740"/>
            <w:tcMar>
              <w:top w:type="dxa" w:w="60"/>
              <w:left w:type="dxa" w:w="90"/>
              <w:bottom w:type="dxa" w:w="60"/>
              <w:right w:type="dxa" w:w="90"/>
            </w:tcMar>
          </w:tcPr>
          <w:p>
            <w:r>
              <w:rPr>
                <w:rFonts w:ascii="Arial" w:cs="Arial" w:eastAsia="Arial" w:hAnsi="Arial"/>
                <w:sz w:val="19"/>
                <w:szCs w:val="19"/>
              </w:rPr>
              <w:t xml:space="preserve">the Linked Measures dialog</w:t>
            </w:r>
          </w:p>
        </w:tc>
      </w:tr>
      <w:tr>
        <w:tc>
          <w:tcPr>
            <w:tcW w:type="dxa" w:w="2600"/>
            <w:tcMar>
              <w:top w:type="dxa" w:w="60"/>
              <w:left w:type="dxa" w:w="90"/>
              <w:bottom w:type="dxa" w:w="60"/>
              <w:right w:type="dxa" w:w="90"/>
            </w:tcMar>
          </w:tcPr>
          <w:p>
            <w:r>
              <w:rPr>
                <w:rFonts w:ascii="Arial" w:cs="Arial" w:eastAsia="Arial" w:hAnsi="Arial"/>
                <w:sz w:val="19"/>
                <w:szCs w:val="19"/>
              </w:rPr>
              <w:t xml:space="preserve">Pairs</w:t>
            </w:r>
          </w:p>
        </w:tc>
        <w:tc>
          <w:tcPr>
            <w:tcW w:type="dxa" w:w="3740"/>
            <w:tcMar>
              <w:top w:type="dxa" w:w="60"/>
              <w:left w:type="dxa" w:w="90"/>
              <w:bottom w:type="dxa" w:w="60"/>
              <w:right w:type="dxa" w:w="90"/>
            </w:tcMar>
          </w:tcPr>
          <w:p>
            <w:r>
              <w:rPr>
                <w:rFonts w:ascii="Arial" w:cs="Arial" w:eastAsia="Arial" w:hAnsi="Arial"/>
                <w:sz w:val="19"/>
                <w:szCs w:val="19"/>
              </w:rPr>
              <w:t xml:space="preserve">the shared dimensions, each </w:t>
            </w:r>
            <w:r>
              <w:rPr>
                <w:rFonts w:ascii="Consolas" w:cs="Consolas" w:eastAsia="Consolas" w:hAnsi="Consolas"/>
                <w:sz w:val="19"/>
                <w:szCs w:val="19"/>
              </w:rPr>
              <w:t xml:space="preserve">[first dataset's field, second dataset's field]</w:t>
            </w:r>
          </w:p>
        </w:tc>
        <w:tc>
          <w:tcPr>
            <w:tcW w:type="dxa" w:w="3740"/>
            <w:tcMar>
              <w:top w:type="dxa" w:w="60"/>
              <w:left w:type="dxa" w:w="90"/>
              <w:bottom w:type="dxa" w:w="60"/>
              <w:right w:type="dxa" w:w="90"/>
            </w:tcMar>
          </w:tcPr>
          <w:p>
            <w:r>
              <w:rPr>
                <w:rFonts w:ascii="Arial" w:cs="Arial" w:eastAsia="Arial" w:hAnsi="Arial"/>
                <w:sz w:val="19"/>
                <w:szCs w:val="19"/>
              </w:rPr>
              <w:t xml:space="preserve">what a blended report may group by, and which filters apply to both sides</w:t>
            </w:r>
          </w:p>
        </w:tc>
      </w:tr>
      <w:tr>
        <w:tc>
          <w:tcPr>
            <w:tcW w:type="dxa" w:w="2600"/>
            <w:tcMar>
              <w:top w:type="dxa" w:w="60"/>
              <w:left w:type="dxa" w:w="90"/>
              <w:bottom w:type="dxa" w:w="60"/>
              <w:right w:type="dxa" w:w="90"/>
            </w:tcMar>
          </w:tcPr>
          <w:p>
            <w:r>
              <w:rPr>
                <w:rFonts w:ascii="Arial" w:cs="Arial" w:eastAsia="Arial" w:hAnsi="Arial"/>
                <w:sz w:val="19"/>
                <w:szCs w:val="19"/>
              </w:rPr>
              <w:t xml:space="preserve">Time pair</w:t>
            </w:r>
          </w:p>
        </w:tc>
        <w:tc>
          <w:tcPr>
            <w:tcW w:type="dxa" w:w="3740"/>
            <w:tcMar>
              <w:top w:type="dxa" w:w="60"/>
              <w:left w:type="dxa" w:w="90"/>
              <w:bottom w:type="dxa" w:w="60"/>
              <w:right w:type="dxa" w:w="90"/>
            </w:tcMar>
          </w:tcPr>
          <w:p>
            <w:r>
              <w:rPr>
                <w:rFonts w:ascii="Arial" w:cs="Arial" w:eastAsia="Arial" w:hAnsi="Arial"/>
                <w:sz w:val="19"/>
                <w:szCs w:val="19"/>
              </w:rPr>
              <w:t xml:space="preserve">the two dates that mean the same period, or empty</w:t>
            </w:r>
          </w:p>
        </w:tc>
        <w:tc>
          <w:tcPr>
            <w:tcW w:type="dxa" w:w="3740"/>
            <w:tcMar>
              <w:top w:type="dxa" w:w="60"/>
              <w:left w:type="dxa" w:w="90"/>
              <w:bottom w:type="dxa" w:w="60"/>
              <w:right w:type="dxa" w:w="90"/>
            </w:tcMar>
          </w:tcPr>
          <w:p>
            <w:r>
              <w:rPr>
                <w:rFonts w:ascii="Arial" w:cs="Arial" w:eastAsia="Arial" w:hAnsi="Arial"/>
                <w:sz w:val="19"/>
                <w:szCs w:val="19"/>
              </w:rPr>
              <w:t xml:space="preserve">lets the report group by the date by a period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Active, or Hidden</w:t>
            </w:r>
          </w:p>
        </w:tc>
        <w:tc>
          <w:tcPr>
            <w:tcW w:type="dxa" w:w="3740"/>
            <w:tcMar>
              <w:top w:type="dxa" w:w="60"/>
              <w:left w:type="dxa" w:w="90"/>
              <w:bottom w:type="dxa" w:w="60"/>
              <w:right w:type="dxa" w:w="90"/>
            </w:tcMar>
          </w:tcPr>
          <w:p>
            <w:r>
              <w:rPr>
                <w:rFonts w:ascii="Arial" w:cs="Arial" w:eastAsia="Arial" w:hAnsi="Arial"/>
                <w:sz w:val="19"/>
                <w:szCs w:val="19"/>
              </w:rPr>
              <w:t xml:space="preserve">Hidden takes the link out of the editor; saved reports that use it are refused until it is active again</w:t>
            </w:r>
          </w:p>
        </w:tc>
      </w:tr>
    </w:tbl>
    <w:p>
      <w:pPr>
        <w:spacing w:after="120"/>
      </w:pPr>
    </w:p>
    <w:p>
      <w:pPr>
        <w:spacing w:after="120"/>
      </w:pPr>
      <w:r>
        <w:rPr>
          <w:rFonts w:ascii="Arial" w:cs="Arial" w:eastAsia="Arial" w:hAnsi="Arial"/>
          <w:sz w:val="21"/>
          <w:szCs w:val="21"/>
        </w:rPr>
        <w:t xml:space="preserve">Each pair must name dimensions of one type; the time pair two dates. Personal and confidential measures of the second dataset are never offered. A change shows in the editor within a minute.</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Step by step: switching AI on</w:t>
      </w:r>
    </w:p>
    <w:p>
      <w:pPr>
        <w:pStyle w:val="ListParagraph"/>
        <w:numPr>
          <w:ilvl w:val="0"/>
          <w:numId w:val="3"/>
        </w:numPr>
        <w:spacing w:after="60"/>
      </w:pPr>
      <w:r>
        <w:rPr>
          <w:rFonts w:ascii="Arial" w:cs="Arial" w:eastAsia="Arial" w:hAnsi="Arial"/>
          <w:sz w:val="21"/>
          <w:szCs w:val="21"/>
        </w:rPr>
        <w:t xml:space="preserve">Open Configuration → AI Assistant in the back-office.</w:t>
      </w:r>
    </w:p>
    <w:p>
      <w:pPr>
        <w:pStyle w:val="ListParagraph"/>
        <w:numPr>
          <w:ilvl w:val="0"/>
          <w:numId w:val="3"/>
        </w:numPr>
        <w:spacing w:after="60"/>
      </w:pPr>
      <w:r>
        <w:rPr>
          <w:rFonts w:ascii="Arial" w:cs="Arial" w:eastAsia="Arial" w:hAnsi="Arial"/>
          <w:sz w:val="21"/>
          <w:szCs w:val="21"/>
        </w:rPr>
        <w:t xml:space="preserve">On the Claude (Anthropic) or OpenAI card, paste the API key from the provider's console, keep or change the two model names, leave </w:t>
      </w:r>
      <w:r>
        <w:rPr>
          <w:rFonts w:ascii="Arial" w:cs="Arial" w:eastAsia="Arial" w:hAnsi="Arial"/>
          <w:b/>
          <w:bCs/>
          <w:sz w:val="21"/>
          <w:szCs w:val="21"/>
        </w:rPr>
        <w:t xml:space="preserve">Workspaces May Use This Provider</w:t>
      </w:r>
      <w:r>
        <w:rPr>
          <w:rFonts w:ascii="Arial" w:cs="Arial" w:eastAsia="Arial" w:hAnsi="Arial"/>
          <w:sz w:val="21"/>
          <w:szCs w:val="21"/>
        </w:rPr>
        <w:t xml:space="preserve"> on,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Connection</w:t>
      </w:r>
      <w:r>
        <w:rPr>
          <w:rFonts w:ascii="Arial" w:cs="Arial" w:eastAsia="Arial" w:hAnsi="Arial"/>
          <w:sz w:val="21"/>
          <w:szCs w:val="21"/>
        </w:rPr>
        <w:t xml:space="preserve">. The card shows Connected with the time, or Failed with the provider's reason; the check also says when a model name is not in the account's list.</w:t>
      </w:r>
    </w:p>
    <w:p>
      <w:pPr>
        <w:pStyle w:val="ListParagraph"/>
        <w:numPr>
          <w:ilvl w:val="0"/>
          <w:numId w:val="3"/>
        </w:numPr>
        <w:spacing w:after="60"/>
      </w:pPr>
      <w:r>
        <w:rPr>
          <w:rFonts w:ascii="Arial" w:cs="Arial" w:eastAsia="Arial" w:hAnsi="Arial"/>
          <w:sz w:val="21"/>
          <w:szCs w:val="21"/>
        </w:rPr>
        <w:t xml:space="preserve">Under the cards, choose the </w:t>
      </w:r>
      <w:r>
        <w:rPr>
          <w:rFonts w:ascii="Arial" w:cs="Arial" w:eastAsia="Arial" w:hAnsi="Arial"/>
          <w:b/>
          <w:bCs/>
          <w:sz w:val="21"/>
          <w:szCs w:val="21"/>
        </w:rPr>
        <w:t xml:space="preserve">Default Model</w:t>
      </w:r>
      <w:r>
        <w:rPr>
          <w:rFonts w:ascii="Arial" w:cs="Arial" w:eastAsia="Arial" w:hAnsi="Arial"/>
          <w:sz w:val="21"/>
          <w:szCs w:val="21"/>
        </w:rPr>
        <w:t xml:space="preserve"> and whether </w:t>
      </w:r>
      <w:r>
        <w:rPr>
          <w:rFonts w:ascii="Arial" w:cs="Arial" w:eastAsia="Arial" w:hAnsi="Arial"/>
          <w:b/>
          <w:bCs/>
          <w:sz w:val="21"/>
          <w:szCs w:val="21"/>
        </w:rPr>
        <w:t xml:space="preserve">Explain This Report May Send Totals</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plans' prompts a month are set on each plan.</w:t>
      </w:r>
    </w:p>
    <w:p>
      <w:pPr>
        <w:pStyle w:val="ListParagraph"/>
        <w:numPr>
          <w:ilvl w:val="0"/>
          <w:numId w:val="3"/>
        </w:numPr>
        <w:spacing w:after="60"/>
      </w:pPr>
      <w:r>
        <w:rPr>
          <w:rFonts w:ascii="Arial" w:cs="Arial" w:eastAsia="Arial" w:hAnsi="Arial"/>
          <w:sz w:val="21"/>
          <w:szCs w:val="21"/>
        </w:rPr>
        <w:t xml:space="preserve">From then on every workspace on a plan with prompts sees Ask for a Report above its report list, unless its administrator switches AI off under Settings → AI Assistant. The table at the bottom counts this month's drafts by workspace.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above the report list,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A workspace's own key</w:t>
      </w:r>
    </w:p>
    <w:p>
      <w:pPr>
        <w:spacing w:after="120"/>
      </w:pPr>
      <w:r>
        <w:rPr>
          <w:rFonts w:ascii="Arial" w:cs="Arial" w:eastAsia="Arial" w:hAnsi="Arial"/>
          <w:sz w:val="21"/>
          <w:szCs w:val="21"/>
        </w:rPr>
        <w:t xml:space="preserve">A workspace may enter its own key for either provider under Settings → AI Assistant, with the two models to offer. Its own key wins over the platform's for that provider, so a workspace can use a provider the platform does not offer, or keep its prompts on its own account. Prompts on a workspace's own key are not counted against its plan and do not appear in the table below; the row is the workspace's, in </w:t>
      </w:r>
      <w:r>
        <w:rPr>
          <w:rFonts w:ascii="Consolas" w:cs="Consolas" w:eastAsia="Consolas" w:hAnsi="Consolas"/>
          <w:sz w:val="21"/>
          <w:szCs w:val="21"/>
        </w:rPr>
        <w:t xml:space="preserve">ai_provider</w:t>
      </w:r>
      <w:r>
        <w:rPr>
          <w:rFonts w:ascii="Arial" w:cs="Arial" w:eastAsia="Arial" w:hAnsi="Arial"/>
          <w:sz w:val="21"/>
          <w:szCs w:val="21"/>
        </w:rPr>
        <w:t xml:space="preserve"> with its tenant id, and never shown here.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2026-10-21T09:20:56.825Z</dcterms:created>
  <dcterms:modified xsi:type="dcterms:W3CDTF">2026-10-21T09:20:56.825Z</dcterms:modified>
</cp:coreProperties>
</file>

<file path=docProps/custom.xml><?xml version="1.0" encoding="utf-8"?>
<Properties xmlns="http://schemas.openxmlformats.org/officeDocument/2006/custom-properties" xmlns:vt="http://schemas.openxmlformats.org/officeDocument/2006/docPropsVTypes"/>
</file>