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the attribution feed fills the campaigns' actuals.</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in place; Set Up leads there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depend on the attribution feed that fills each campaign's actuals. Until it runs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events:ingest</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2026-10-03T17:03:39.841Z</dcterms:created>
  <dcterms:modified xsi:type="dcterms:W3CDTF">2026-10-03T17:03:39.841Z</dcterms:modified>
</cp:coreProperties>
</file>

<file path=docProps/custom.xml><?xml version="1.0" encoding="utf-8"?>
<Properties xmlns="http://schemas.openxmlformats.org/officeDocument/2006/custom-properties" xmlns:vt="http://schemas.openxmlformats.org/officeDocument/2006/docPropsVTypes"/>
</file>