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*campaign.edit* or *user.admin*.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at </w:t>
      </w:r>
      <w:r>
        <w:rPr>
          <w:rFonts w:ascii="Arial" w:cs="Arial" w:eastAsia="Arial" w:hAnsi="Arial"/>
          <w:b/>
          <w:bCs/>
          <w:sz w:val="21"/>
          <w:szCs w:val="21"/>
        </w:rPr>
        <w:t xml:space="preserve">Settings → Set-Up</w:t>
      </w:r>
      <w:r>
        <w:rPr>
          <w:rFonts w:ascii="Arial" w:cs="Arial" w:eastAsia="Arial" w:hAnsi="Arial"/>
          <w:sz w:val="21"/>
          <w:szCs w:val="21"/>
        </w:rPr>
        <w:t xml:space="preserve">: seven steps, each opening the page that does it, read from the workspace so the page always knows what is done. The chapters for those pages are the ones to read first: Users and Roles, Sending Engines, Suppressions, Contact Lists, Notifications and Approvals.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*for texts*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*keep as a custom value*.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*Refresh now*),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*awaiting approval* and every campaign holds its people back as *in a list awaiting approval*.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*separate key for receipts*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*In Use*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*Email · Postal*, *Email · SendGrid*, *Texts · Digivize*, *Texts · Sandbox (sends nothing)*. The type is fixed once saved. *Email · SMTP (your mail server)* is not offered here: it is switched on from Settings → Email Server with *Offer this server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*Postal (marketing)* or *Texts (short code 55123)*.</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*stored*;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*Remove*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*Mail Send*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*Northwind Rewards*. Texts: how the sender is listed in campaigns, for example *Northwind texts*.</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*Checked*.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*No callback has ever arrived*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2026-10-03T15:10:22.416Z</dcterms:created>
  <dcterms:modified xsi:type="dcterms:W3CDTF">2026-10-03T15:10:22.416Z</dcterms:modified>
</cp:coreProperties>
</file>

<file path=docProps/custom.xml><?xml version="1.0" encoding="utf-8"?>
<Properties xmlns="http://schemas.openxmlformats.org/officeDocument/2006/custom-properties" xmlns:vt="http://schemas.openxmlformats.org/officeDocument/2006/docPropsVTypes"/>
</file>