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1.8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patches 0019 and 0020) is the release this version documents: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Patch 0020 adds a second, encrypted credential to a sending engine (Postal: the API key of a separate transactional mail server) so receipts go out on their own server and throttle lane while campaigns use the first, without registering two engines. Deploying it is patches 0019 and 0020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Patches 0019 (the integration bridge: </w:t>
      </w:r>
      <w:r>
        <w:rPr>
          <w:rFonts w:ascii="Consolas" w:cs="Consolas" w:eastAsia="Consolas" w:hAnsi="Consolas"/>
          <w:color w:val="0F172A"/>
          <w:sz w:val="19"/>
          <w:szCs w:val="19"/>
          <w:shd w:fill="EEF2F7" w:val="clear"/>
        </w:rPr>
        <w:t xml:space="preserve">integration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integration_metric</w:t>
      </w:r>
      <w:r>
        <w:rPr>
          <w:rFonts w:ascii="Calibri" w:cs="Calibri" w:eastAsia="Calibri" w:hAnsi="Calibri"/>
          <w:color w:val="1F2937"/>
          <w:sz w:val="21"/>
          <w:szCs w:val="21"/>
        </w:rPr>
        <w:t xml:space="preserve">, the log's monthly partitions per tenant and four </w:t>
      </w:r>
      <w:r>
        <w:rPr>
          <w:rFonts w:ascii="Consolas" w:cs="Consolas" w:eastAsia="Consolas" w:hAnsi="Consolas"/>
          <w:color w:val="0F172A"/>
          <w:sz w:val="19"/>
          <w:szCs w:val="19"/>
          <w:shd w:fill="EEF2F7" w:val="clear"/>
        </w:rPr>
        <w:t xml:space="preserve">integrations.*</w:t>
      </w:r>
      <w:r>
        <w:rPr>
          <w:rFonts w:ascii="Calibri" w:cs="Calibri" w:eastAsia="Calibri" w:hAnsi="Calibri"/>
          <w:color w:val="1F2937"/>
          <w:sz w:val="21"/>
          <w:szCs w:val="21"/>
        </w:rPr>
        <w:t xml:space="preserve"> parameters) and 0020 (</w:t>
      </w:r>
      <w:r>
        <w:rPr>
          <w:rFonts w:ascii="Consolas" w:cs="Consolas" w:eastAsia="Consolas" w:hAnsi="Consolas"/>
          <w:color w:val="0F172A"/>
          <w:sz w:val="19"/>
          <w:szCs w:val="19"/>
          <w:shd w:fill="EEF2F7" w:val="clear"/>
        </w:rPr>
        <w:t xml:space="preserve">delivery_provider.transactional_secret_enc</w:t>
      </w:r>
      <w:r>
        <w:rPr>
          <w:rFonts w:ascii="Calibri" w:cs="Calibri" w:eastAsia="Calibri" w:hAnsi="Calibri"/>
          <w:color w:val="1F2937"/>
          <w:sz w:val="21"/>
          <w:szCs w:val="21"/>
        </w:rPr>
        <w:t xml:space="preserve">) are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apply them, in order, with the release that carries them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0019_integration_bridge.sql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0020_transactional_credential.sql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 </w:t>
      </w:r>
      <w:r>
        <w:rPr>
          <w:rFonts w:ascii="Consolas" w:cs="Consolas" w:eastAsia="Consolas" w:hAnsi="Consolas"/>
          <w:color w:val="0F172A"/>
          <w:sz w:val="19"/>
          <w:szCs w:val="19"/>
          <w:shd w:fill="EEF2F7" w:val="clear"/>
        </w:rPr>
        <w:t xml:space="preserve">select column_name from information_schema.columns where table_name = 'delivery_provider' and column_name = 'transactional_secret_enc';</w:t>
      </w:r>
      <w:r>
        <w:rPr>
          <w:rFonts w:ascii="Calibri" w:cs="Calibri" w:eastAsia="Calibri" w:hAnsi="Calibri"/>
          <w:color w:val="1F2937"/>
          <w:sz w:val="21"/>
          <w:szCs w:val="21"/>
        </w:rPr>
        <w:t xml:space="preserve"> — one row after 0020.</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2026-09-25T15:37:36.699Z</dcterms:created>
  <dcterms:modified xsi:type="dcterms:W3CDTF">2026-09-25T15:37:36.700Z</dcterms:modified>
</cp:coreProperties>
</file>

<file path=docProps/custom.xml><?xml version="1.0" encoding="utf-8"?>
<Properties xmlns="http://schemas.openxmlformats.org/officeDocument/2006/custom-properties" xmlns:vt="http://schemas.openxmlformats.org/officeDocument/2006/docPropsVTypes"/>
</file>