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the attribution feed fills the campaigns' actuals.</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in place; Set Up leads there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depend on the attribution feed that fills each campaign's actuals. Until it runs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the workspace's Mailgun Inspect account, chosen under Settings → Sending → Deliverability Testing. Every test of the template is listed on the left; a result shows the renders grouped by client kind, a render opens full size. Tests count against the plan's monthly allowance, which Settings → Plan &amp; Usage shows.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the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The designer's Deliverability tab can run inbox previews.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Tests count against the plan's monthly allowance, shown under Plan &amp; Usage.</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allowance.</w:t>
            </w:r>
          </w:p>
        </w:tc>
        <w:tc>
          <w:tcPr>
            <w:tcW w:type="dxa" w:w="3740"/>
            <w:tcMar>
              <w:top w:type="dxa" w:w="60"/>
              <w:left w:type="dxa" w:w="90"/>
              <w:bottom w:type="dxa" w:w="60"/>
              <w:right w:type="dxa" w:w="90"/>
            </w:tcMar>
          </w:tcPr>
          <w:p>
            <w:r>
              <w:rPr>
                <w:rFonts w:ascii="Arial" w:cs="Arial" w:eastAsia="Arial" w:hAnsi="Arial"/>
                <w:sz w:val="19"/>
                <w:szCs w:val="19"/>
              </w:rPr>
              <w:t xml:space="preserve">A spent allowance refuses the next test until next month.</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events:ingest</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2026-10-03T17:49:19.215Z</dcterms:created>
  <dcterms:modified xsi:type="dcterms:W3CDTF">2026-10-03T17:49:19.215Z</dcterms:modified>
</cp:coreProperties>
</file>

<file path=docProps/custom.xml><?xml version="1.0" encoding="utf-8"?>
<Properties xmlns="http://schemas.openxmlformats.org/officeDocument/2006/custom-properties" xmlns:vt="http://schemas.openxmlformats.org/officeDocument/2006/docPropsVTypes"/>
</file>