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1.0  ·  18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0001–0008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Nothing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Base of the single sign-on redirect URI that tenants register with their identity provider.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partitions every 6 hours, retention daily, usage hourly, alerts every 5 minutes, invoices daily, tenant operations every 10 minutes.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2026-09-18T11:36:48.122Z</dcterms:created>
  <dcterms:modified xsi:type="dcterms:W3CDTF">2026-09-18T11:36:48.123Z</dcterms:modified>
</cp:coreProperties>
</file>

<file path=docProps/custom.xml><?xml version="1.0" encoding="utf-8"?>
<Properties xmlns="http://schemas.openxmlformats.org/officeDocument/2006/custom-properties" xmlns:vt="http://schemas.openxmlformats.org/officeDocument/2006/docPropsVTypes"/>
</file>