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2026-10-04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the workspace's Mailgun Inspect account, chosen under Settings → Sending → Deliverability Testing. Every test of the template is listed on the left; a result shows the renders grouped by client kind, a render opens full size. Tests count against the plan's monthly allowance, which Settings → Plan &amp; Usage shows.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the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The designer's Deliverability tab can run inbox previews.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Tests count against the plan's monthly allowance, shown under Plan &amp; Usage.</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allowance.</w:t>
            </w:r>
          </w:p>
        </w:tc>
        <w:tc>
          <w:tcPr>
            <w:tcW w:type="dxa" w:w="3740"/>
            <w:tcMar>
              <w:top w:type="dxa" w:w="60"/>
              <w:left w:type="dxa" w:w="90"/>
              <w:bottom w:type="dxa" w:w="60"/>
              <w:right w:type="dxa" w:w="90"/>
            </w:tcMar>
          </w:tcPr>
          <w:p>
            <w:r>
              <w:rPr>
                <w:rFonts w:ascii="Arial" w:cs="Arial" w:eastAsia="Arial" w:hAnsi="Arial"/>
                <w:sz w:val="19"/>
                <w:szCs w:val="19"/>
              </w:rPr>
              <w:t xml:space="preserve">A spent allowance refuses the next test until next month.</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events:ingest</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Which campaign earned an order. The shop sends its orders to CEP, and the point of sale's sales can count too. Each order is credited to one campaign: the one named by a campaign code, else the person's last click, open or text before the order. Home's Attributed Revenue, Campaign ROI, Revenue vs. Cost and Top Campaigns, the Reports revenue column, each campaign's revenue progress and the e-receipts' Revenue from Receipt Offers all read the figures this fills. Until attribution is on they read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On or off.</w:t>
            </w:r>
          </w:p>
        </w:tc>
        <w:tc>
          <w:tcPr>
            <w:tcW w:type="dxa" w:w="3740"/>
            <w:tcMar>
              <w:top w:type="dxa" w:w="60"/>
              <w:left w:type="dxa" w:w="90"/>
              <w:bottom w:type="dxa" w:w="60"/>
              <w:right w:type="dxa" w:w="90"/>
            </w:tcMar>
          </w:tcPr>
          <w:p>
            <w:r>
              <w:rPr>
                <w:rFonts w:ascii="Arial" w:cs="Arial" w:eastAsia="Arial" w:hAnsi="Arial"/>
                <w:sz w:val="19"/>
                <w:szCs w:val="19"/>
              </w:rPr>
              <w:t xml:space="preserve">Off: the shop's orders are refused (409) and revenue reads </w:t>
            </w:r>
            <w:r>
              <w:rPr>
                <w:rFonts w:ascii="Arial" w:cs="Arial" w:eastAsia="Arial" w:hAnsi="Arial"/>
                <w:i/>
                <w:iCs/>
                <w:sz w:val="19"/>
                <w:szCs w:val="19"/>
              </w:rPr>
              <w:t xml:space="preserve">Not Set Up</w:t>
            </w:r>
            <w:r>
              <w:rPr>
                <w:rFonts w:ascii="Arial" w:cs="Arial" w:eastAsia="Arial" w:hAnsi="Arial"/>
                <w:sz w:val="19"/>
                <w:szCs w:val="19"/>
              </w:rPr>
              <w:t xml:space="preserve">. On: every campaign that ever sent gets figures within five minutes, 0 until its first order.</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(the default), 14 or 30 days.</w:t>
            </w:r>
          </w:p>
        </w:tc>
        <w:tc>
          <w:tcPr>
            <w:tcW w:type="dxa" w:w="3740"/>
            <w:tcMar>
              <w:top w:type="dxa" w:w="60"/>
              <w:left w:type="dxa" w:w="90"/>
              <w:bottom w:type="dxa" w:w="60"/>
              <w:right w:type="dxa" w:w="90"/>
            </w:tcMar>
          </w:tcPr>
          <w:p>
            <w:r>
              <w:rPr>
                <w:rFonts w:ascii="Arial" w:cs="Arial" w:eastAsia="Arial" w:hAnsi="Arial"/>
                <w:sz w:val="19"/>
                <w:szCs w:val="19"/>
              </w:rPr>
              <w:t xml:space="preserve">A click on a campaign's link takes the credit for an order the same person places within this time.</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Not counted, or 1 (the default), 2, 3 or 7 days.</w:t>
            </w:r>
          </w:p>
        </w:tc>
        <w:tc>
          <w:tcPr>
            <w:tcW w:type="dxa" w:w="3740"/>
            <w:tcMar>
              <w:top w:type="dxa" w:w="60"/>
              <w:left w:type="dxa" w:w="90"/>
              <w:bottom w:type="dxa" w:w="60"/>
              <w:right w:type="dxa" w:w="90"/>
            </w:tcMar>
          </w:tcPr>
          <w:p>
            <w:r>
              <w:rPr>
                <w:rFonts w:ascii="Arial" w:cs="Arial" w:eastAsia="Arial" w:hAnsi="Arial"/>
                <w:sz w:val="19"/>
                <w:szCs w:val="19"/>
              </w:rPr>
              <w:t xml:space="preserve">With no click, an open of a marketing email takes the credit. Opens by security scanners and of e-receipts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Not counted, or 1 (the default), 2, 3 or 7 days.</w:t>
            </w:r>
          </w:p>
        </w:tc>
        <w:tc>
          <w:tcPr>
            <w:tcW w:type="dxa" w:w="3740"/>
            <w:tcMar>
              <w:top w:type="dxa" w:w="60"/>
              <w:left w:type="dxa" w:w="90"/>
              <w:bottom w:type="dxa" w:w="60"/>
              <w:right w:type="dxa" w:w="90"/>
            </w:tcMar>
          </w:tcPr>
          <w:p>
            <w:r>
              <w:rPr>
                <w:rFonts w:ascii="Arial" w:cs="Arial" w:eastAsia="Arial" w:hAnsi="Arial"/>
                <w:sz w:val="19"/>
                <w:szCs w:val="19"/>
              </w:rPr>
              <w:t xml:space="preserve">With no click or open, a marketing text delivered to the person takes the credit. Text links are not tracked yet, so delivery stands in for a click.</w:t>
            </w:r>
          </w:p>
        </w:tc>
      </w:tr>
      <w:tr>
        <w:tc>
          <w:tcPr>
            <w:tcW w:type="dxa" w:w="2600"/>
            <w:tcMar>
              <w:top w:type="dxa" w:w="60"/>
              <w:left w:type="dxa" w:w="90"/>
              <w:bottom w:type="dxa" w:w="60"/>
              <w:right w:type="dxa" w:w="90"/>
            </w:tcMar>
          </w:tcPr>
          <w:p>
            <w:r>
              <w:rPr>
                <w:rFonts w:ascii="Arial" w:cs="Arial" w:eastAsia="Arial" w:hAnsi="Arial"/>
                <w:sz w:val="19"/>
                <w:szCs w:val="19"/>
              </w:rPr>
              <w:t xml:space="preserve">Count Store Sales</w:t>
            </w:r>
          </w:p>
        </w:tc>
        <w:tc>
          <w:tcPr>
            <w:tcW w:type="dxa" w:w="3740"/>
            <w:tcMar>
              <w:top w:type="dxa" w:w="60"/>
              <w:left w:type="dxa" w:w="90"/>
              <w:bottom w:type="dxa" w:w="60"/>
              <w:right w:type="dxa" w:w="90"/>
            </w:tcMar>
          </w:tcPr>
          <w:p>
            <w:r>
              <w:rPr>
                <w:rFonts w:ascii="Arial" w:cs="Arial" w:eastAsia="Arial" w:hAnsi="Arial"/>
                <w:sz w:val="19"/>
                <w:szCs w:val="19"/>
              </w:rPr>
              <w:t xml:space="preserve">Shown when the workspace has POS Receipts.</w:t>
            </w:r>
          </w:p>
        </w:tc>
        <w:tc>
          <w:tcPr>
            <w:tcW w:type="dxa" w:w="3740"/>
            <w:tcMar>
              <w:top w:type="dxa" w:w="60"/>
              <w:left w:type="dxa" w:w="90"/>
              <w:bottom w:type="dxa" w:w="60"/>
              <w:right w:type="dxa" w:w="90"/>
            </w:tcMar>
          </w:tcPr>
          <w:p>
            <w:r>
              <w:rPr>
                <w:rFonts w:ascii="Arial" w:cs="Arial" w:eastAsia="Arial" w:hAnsi="Arial"/>
                <w:sz w:val="19"/>
                <w:szCs w:val="19"/>
              </w:rPr>
              <w:t xml:space="preserve">Every transaction the point of sale posts also becomes an order: the amount without tax and shipping, the customer, the store and its promotion codes. A return becomes a refund of its sale. Employee sales are left out. Off, nothing about a transaction is kept.</w:t>
            </w:r>
          </w:p>
        </w:tc>
      </w:tr>
      <w:tr>
        <w:tc>
          <w:tcPr>
            <w:tcW w:type="dxa" w:w="2600"/>
            <w:tcMar>
              <w:top w:type="dxa" w:w="60"/>
              <w:left w:type="dxa" w:w="90"/>
              <w:bottom w:type="dxa" w:w="60"/>
              <w:right w:type="dxa" w:w="90"/>
            </w:tcMar>
          </w:tcPr>
          <w:p>
            <w:r>
              <w:rPr>
                <w:rFonts w:ascii="Arial" w:cs="Arial" w:eastAsia="Arial" w:hAnsi="Arial"/>
                <w:sz w:val="19"/>
                <w:szCs w:val="19"/>
              </w:rPr>
              <w:t xml:space="preserve">Send Costs</w:t>
            </w:r>
          </w:p>
        </w:tc>
        <w:tc>
          <w:tcPr>
            <w:tcW w:type="dxa" w:w="3740"/>
            <w:tcMar>
              <w:top w:type="dxa" w:w="60"/>
              <w:left w:type="dxa" w:w="90"/>
              <w:bottom w:type="dxa" w:w="60"/>
              <w:right w:type="dxa" w:w="90"/>
            </w:tcMar>
          </w:tcPr>
          <w:p>
            <w:r>
              <w:rPr>
                <w:rFonts w:ascii="Arial" w:cs="Arial" w:eastAsia="Arial" w:hAnsi="Arial"/>
                <w:sz w:val="19"/>
                <w:szCs w:val="19"/>
              </w:rPr>
              <w:t xml:space="preserve">What 1,000 delivered emails and 1,000 delivered texts cost.</w:t>
            </w:r>
          </w:p>
        </w:tc>
        <w:tc>
          <w:tcPr>
            <w:tcW w:type="dxa" w:w="3740"/>
            <w:tcMar>
              <w:top w:type="dxa" w:w="60"/>
              <w:left w:type="dxa" w:w="90"/>
              <w:bottom w:type="dxa" w:w="60"/>
              <w:right w:type="dxa" w:w="90"/>
            </w:tcMar>
          </w:tcPr>
          <w:p>
            <w:r>
              <w:rPr>
                <w:rFonts w:ascii="Arial" w:cs="Arial" w:eastAsia="Arial" w:hAnsi="Arial"/>
                <w:sz w:val="19"/>
                <w:szCs w:val="19"/>
              </w:rPr>
              <w:t xml:space="preserve">A campaign's cost becomes its delivered messages at these rates plus its offer cost; ROI, contribution and cost per conversion follow. Left empty, ROI uses each campaign's planned cost.</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Orders, revenue net of refunds, the revenue credited and the share of orders credited, orders not credited and waiting, credit by campaign code, click, open and text, and the top five campaigns.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Recalculate</w:t>
            </w:r>
          </w:p>
        </w:tc>
        <w:tc>
          <w:tcPr>
            <w:tcW w:type="dxa" w:w="3740"/>
            <w:tcMar>
              <w:top w:type="dxa" w:w="60"/>
              <w:left w:type="dxa" w:w="90"/>
              <w:bottom w:type="dxa" w:w="60"/>
              <w:right w:type="dxa" w:w="90"/>
            </w:tcMar>
          </w:tcPr>
          <w:p>
            <w:r>
              <w:rPr>
                <w:rFonts w:ascii="Arial" w:cs="Arial" w:eastAsia="Arial" w:hAnsi="Arial"/>
                <w:sz w:val="19"/>
                <w:szCs w:val="19"/>
              </w:rPr>
              <w:t xml:space="preserve">Judges the last 400 days of orders again under the current windows and rewrites every campaign's figures.</w:t>
            </w:r>
          </w:p>
        </w:tc>
        <w:tc>
          <w:tcPr>
            <w:tcW w:type="dxa" w:w="3740"/>
            <w:tcMar>
              <w:top w:type="dxa" w:w="60"/>
              <w:left w:type="dxa" w:w="90"/>
              <w:bottom w:type="dxa" w:w="60"/>
              <w:right w:type="dxa" w:w="90"/>
            </w:tcMar>
          </w:tcPr>
          <w:p>
            <w:r>
              <w:rPr>
                <w:rFonts w:ascii="Arial" w:cs="Arial" w:eastAsia="Arial" w:hAnsi="Arial"/>
                <w:sz w:val="19"/>
                <w:szCs w:val="19"/>
              </w:rPr>
              <w:t xml:space="preserve">Use it after changing a window.</w:t>
            </w:r>
          </w:p>
        </w:tc>
      </w:tr>
      <w:tr>
        <w:tc>
          <w:tcPr>
            <w:tcW w:type="dxa" w:w="2600"/>
            <w:tcMar>
              <w:top w:type="dxa" w:w="60"/>
              <w:left w:type="dxa" w:w="90"/>
              <w:bottom w:type="dxa" w:w="60"/>
              <w:right w:type="dxa" w:w="90"/>
            </w:tcMar>
          </w:tcPr>
          <w:p>
            <w:r>
              <w:rPr>
                <w:rFonts w:ascii="Arial" w:cs="Arial" w:eastAsia="Arial" w:hAnsi="Arial"/>
                <w:sz w:val="19"/>
                <w:szCs w:val="19"/>
              </w:rPr>
              <w:t xml:space="preserve">Send Orders from the Shop</w:t>
            </w:r>
          </w:p>
        </w:tc>
        <w:tc>
          <w:tcPr>
            <w:tcW w:type="dxa" w:w="3740"/>
            <w:tcMar>
              <w:top w:type="dxa" w:w="60"/>
              <w:left w:type="dxa" w:w="90"/>
              <w:bottom w:type="dxa" w:w="60"/>
              <w:right w:type="dxa" w:w="90"/>
            </w:tcMar>
          </w:tcPr>
          <w:p>
            <w:r>
              <w:rPr>
                <w:rFonts w:ascii="Arial" w:cs="Arial" w:eastAsia="Arial" w:hAnsi="Arial"/>
                <w:sz w:val="19"/>
                <w:szCs w:val="19"/>
              </w:rPr>
              <w:t xml:space="preserve">The endpoint, the headers, the key's scope and one order as an example.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Latest Orders</w:t>
            </w:r>
          </w:p>
        </w:tc>
        <w:tc>
          <w:tcPr>
            <w:tcW w:type="dxa" w:w="3740"/>
            <w:tcMar>
              <w:top w:type="dxa" w:w="60"/>
              <w:left w:type="dxa" w:w="90"/>
              <w:bottom w:type="dxa" w:w="60"/>
              <w:right w:type="dxa" w:w="90"/>
            </w:tcMar>
          </w:tcPr>
          <w:p>
            <w:r>
              <w:rPr>
                <w:rFonts w:ascii="Arial" w:cs="Arial" w:eastAsia="Arial" w:hAnsi="Arial"/>
                <w:sz w:val="19"/>
                <w:szCs w:val="19"/>
              </w:rPr>
              <w:t xml:space="preserve">The newest 50 orders: when, the order, the amount, and the campaign credited with how (or why none). Filter by Credited, Not Credited or Waiting; search by order, email or campaign.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Turn attribution on.</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Settings → Attribution → switch Attribution on.</w:t>
      </w:r>
    </w:p>
    <w:p>
      <w:pPr>
        <w:pStyle w:val="ListParagraph"/>
        <w:numPr>
          <w:ilvl w:val="0"/>
          <w:numId w:val="3"/>
        </w:numPr>
        <w:spacing w:after="60"/>
      </w:pPr>
      <w:r>
        <w:rPr>
          <w:rFonts w:ascii="Arial" w:cs="Arial" w:eastAsia="Arial" w:hAnsi="Arial"/>
          <w:sz w:val="21"/>
          <w:szCs w:val="21"/>
        </w:rPr>
        <w:t xml:space="preserve">Give the shop's developer the endpoint, the key and the example from Send Orders from the Shop. 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and names the person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first orders appear in Latest Orders within a minute; Home shows revenue within five.</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for example CMP-2026-0042)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person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Not Credited. The reason is under each order: no person CEP knows, no click, open or text in the windows, or a refund whose order was not credited.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shop posts orders to </w:t>
      </w:r>
      <w:r>
        <w:rPr>
          <w:rFonts w:ascii="Consolas" w:cs="Consolas" w:eastAsia="Consolas" w:hAnsi="Consolas"/>
          <w:sz w:val="21"/>
          <w:szCs w:val="21"/>
        </w:rPr>
        <w:t xml:space="preserve">POST /api/v1/orders/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{"orders": [...]}</w:t>
      </w:r>
      <w:r>
        <w:rPr>
          <w:rFonts w:ascii="Arial" w:cs="Arial" w:eastAsia="Arial" w:hAnsi="Arial"/>
          <w:sz w:val="21"/>
          <w:szCs w:val="21"/>
        </w:rPr>
        <w:t xml:space="preserve">. An order sent twice counts once. Every call is in Settings → Integrations' call log.</w:t>
      </w:r>
    </w:p>
    <w:p>
      <w:pPr>
        <w:spacing w:after="120"/>
      </w:pPr>
      <w:r>
        <w:rPr>
          <w:rFonts w:ascii="Arial" w:cs="Arial" w:eastAsia="Arial" w:hAnsi="Arial"/>
          <w:sz w:val="21"/>
          <w:szCs w:val="21"/>
        </w:rPr>
        <w:t xml:space="preserve">The attribute-orders job runs every five minutes. It waits a minute after an order arrives, so a click still on its way from the sending engine is counted. It then finds the person: the customer id, or whoever CEP emailed at the address or texted at the number in the last 120 days. Credit goes, in this order, to a campaign named by code, the latest click within the click window, the latest open within the open window, then the latest text within the text window. One campaign gets the whole amount (last touch). A refund follows its original order and reduces that campaign's revenue.</w:t>
      </w:r>
    </w:p>
    <w:p>
      <w:pPr>
        <w:spacing w:after="120"/>
      </w:pPr>
      <w:r>
        <w:rPr>
          <w:rFonts w:ascii="Arial" w:cs="Arial" w:eastAsia="Arial" w:hAnsi="Arial"/>
          <w:sz w:val="21"/>
          <w:szCs w:val="21"/>
        </w:rPr>
        <w:t xml:space="preserve">The job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person's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person, the store and the codes of an order, not its items or payment.</w:t>
      </w:r>
    </w:p>
    <w:p>
      <w:pPr>
        <w:pStyle w:val="ListParagraph"/>
        <w:numPr>
          <w:ilvl w:val="0"/>
          <w:numId w:val="2"/>
        </w:numPr>
        <w:spacing w:after="60"/>
      </w:pPr>
      <w:r>
        <w:rPr>
          <w:rFonts w:ascii="Arial" w:cs="Arial" w:eastAsia="Arial" w:hAnsi="Arial"/>
          <w:sz w:val="21"/>
          <w:szCs w:val="21"/>
        </w:rPr>
        <w:t xml:space="preserve">Changing a window applies to new orders. Recalculate applies it to the past.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2026-10-04T17:18:01.391Z</dcterms:created>
  <dcterms:modified xsi:type="dcterms:W3CDTF">2026-10-04T17:18:01.391Z</dcterms:modified>
</cp:coreProperties>
</file>

<file path=docProps/custom.xml><?xml version="1.0" encoding="utf-8"?>
<Properties xmlns="http://schemas.openxmlformats.org/officeDocument/2006/custom-properties" xmlns:vt="http://schemas.openxmlformats.org/officeDocument/2006/docPropsVTypes"/>
</file>