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2026-10-23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Support Sessions and Switch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ClickHouse Demo Workspace (City HT)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What is in it</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Rebuilding or removing the demo</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 the app asks at the next sign-in, and every back-office page sends them to </w:t>
      </w:r>
      <w:r>
        <w:rPr>
          <w:rFonts w:ascii="Arial" w:cs="Arial" w:eastAsia="Arial" w:hAnsi="Arial"/>
          <w:b/>
          <w:bCs/>
          <w:sz w:val="21"/>
          <w:szCs w:val="21"/>
        </w:rPr>
        <w:t xml:space="preserve">Set Up Two-Step Verification</w:t>
      </w:r>
      <w:r>
        <w:rPr>
          <w:rFonts w:ascii="Arial" w:cs="Arial" w:eastAsia="Arial" w:hAnsi="Arial"/>
          <w:sz w:val="21"/>
          <w:szCs w:val="21"/>
        </w:rPr>
        <w:t xml:space="preserve">, with a link to the app's Account Security, until they have.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insights.report_db_read_only_required</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a workspace's Report Database account must hold SELECT only. Yes refuses an account that can write until it is fixed. No uses it, with a ! Can write warning on its card; C360 still opens every session on it read-only and runs SELECT only. Takes effect within a minute; test a refused connection again to use it.</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Support Sessions and Switch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3"/>
        <w:spacing w:after="120" w:before="240"/>
      </w:pPr>
      <w:r>
        <w:rPr>
          <w:rFonts w:ascii="Arial" w:cs="Arial" w:eastAsia="Arial" w:hAnsi="Arial"/>
        </w:rPr>
        <w:t xml:space="preserve">Platform visits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Reason, Writes, State (In the Workspace, Ended)</w:t>
            </w:r>
          </w:p>
        </w:tc>
        <w:tc>
          <w:tcPr>
            <w:tcW w:type="dxa" w:w="7480"/>
            <w:tcMar>
              <w:top w:type="dxa" w:w="60"/>
              <w:left w:type="dxa" w:w="90"/>
              <w:bottom w:type="dxa" w:w="60"/>
              <w:right w:type="dxa" w:w="90"/>
            </w:tcMar>
          </w:tcPr>
          <w:p>
            <w:r>
              <w:rPr>
                <w:rFonts w:ascii="Arial" w:cs="Arial" w:eastAsia="Arial" w:hAnsi="Arial"/>
                <w:sz w:val="19"/>
                <w:szCs w:val="19"/>
              </w:rPr>
              <w:t xml:space="preserve">Every Switch Workspace visit of a platform administrator, as themselves. End the Visit Now closes an open one; its tokens stop working at once.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spacing w:after="120"/>
      </w:pPr>
      <w:r>
        <w:rPr>
          <w:rFonts w:ascii="Arial" w:cs="Arial" w:eastAsia="Arial" w:hAnsi="Arial"/>
          <w:b/>
          <w:bCs/>
          <w:sz w:val="21"/>
          <w:szCs w:val="21"/>
        </w:rPr>
        <w:t xml:space="preserve">Work in another workspace as yourself (Switch Workspace).</w:t>
      </w:r>
      <w:r>
        <w:rPr>
          <w:rFonts w:ascii="Arial" w:cs="Arial" w:eastAsia="Arial" w:hAnsi="Arial"/>
          <w:sz w:val="21"/>
          <w:szCs w:val="21"/>
        </w:rPr>
        <w:t xml:space="preserve"> Platform administrators only, from the app:</w:t>
      </w:r>
    </w:p>
    <w:p>
      <w:pPr>
        <w:pStyle w:val="ListParagraph"/>
        <w:numPr>
          <w:ilvl w:val="0"/>
          <w:numId w:val="3"/>
        </w:numPr>
        <w:spacing w:after="60"/>
      </w:pPr>
      <w:r>
        <w:rPr>
          <w:rFonts w:ascii="Arial" w:cs="Arial" w:eastAsia="Arial" w:hAnsi="Arial"/>
          <w:sz w:val="21"/>
          <w:szCs w:val="21"/>
        </w:rPr>
        <w:t xml:space="preserve">Open the account menu (your name at the top right) → </w:t>
      </w:r>
      <w:r>
        <w:rPr>
          <w:rFonts w:ascii="Arial" w:cs="Arial" w:eastAsia="Arial" w:hAnsi="Arial"/>
          <w:b/>
          <w:bCs/>
          <w:sz w:val="21"/>
          <w:szCs w:val="21"/>
        </w:rPr>
        <w:t xml:space="preserve">Switch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Search the workspaces by code or name; each shows its plan, active users and status (a suspended one too). Pick one.</w:t>
      </w:r>
    </w:p>
    <w:p>
      <w:pPr>
        <w:pStyle w:val="ListParagraph"/>
        <w:numPr>
          <w:ilvl w:val="0"/>
          <w:numId w:val="3"/>
        </w:numPr>
        <w:spacing w:after="60"/>
      </w:pPr>
      <w:r>
        <w:rPr>
          <w:rFonts w:ascii="Arial" w:cs="Arial" w:eastAsia="Arial" w:hAnsi="Arial"/>
          <w:sz w:val="21"/>
          <w:szCs w:val="21"/>
        </w:rPr>
        <w:t xml:space="preserve">Give a </w:t>
      </w:r>
      <w:r>
        <w:rPr>
          <w:rFonts w:ascii="Arial" w:cs="Arial" w:eastAsia="Arial" w:hAnsi="Arial"/>
          <w:b/>
          <w:bCs/>
          <w:sz w:val="21"/>
          <w:szCs w:val="21"/>
        </w:rPr>
        <w:t xml:space="preserve">Reason</w:t>
      </w:r>
      <w:r>
        <w:rPr>
          <w:rFonts w:ascii="Arial" w:cs="Arial" w:eastAsia="Arial" w:hAnsi="Arial"/>
          <w:sz w:val="21"/>
          <w:szCs w:val="21"/>
        </w:rPr>
        <w:t xml:space="preserve"> in a few words (at least 5 characters): the workspace's administrators read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Switch to CODE</w:t>
      </w:r>
      <w:r>
        <w:rPr>
          <w:rFonts w:ascii="Arial" w:cs="Arial" w:eastAsia="Arial" w:hAnsi="Arial"/>
          <w:sz w:val="21"/>
          <w:szCs w:val="21"/>
        </w:rPr>
        <w:t xml:space="preserve">. The app opens in that workspace with every right, under your own name, and an amber line on every page says you are visiting.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Back to Platform</w:t>
      </w:r>
      <w:r>
        <w:rPr>
          <w:rFonts w:ascii="Arial" w:cs="Arial" w:eastAsia="Arial" w:hAnsi="Arial"/>
          <w:sz w:val="21"/>
          <w:szCs w:val="21"/>
        </w:rPr>
        <w:t xml:space="preserve"> on that line to end the visit and return to your own workspace. Signing out ends it too.</w:t>
      </w:r>
    </w:p>
    <w:p>
      <w:pPr>
        <w:spacing w:after="120"/>
      </w:pPr>
      <w:r>
        <w:rPr>
          <w:rFonts w:ascii="Arial" w:cs="Arial" w:eastAsia="Arial" w:hAnsi="Arial"/>
          <w:sz w:val="21"/>
          <w:szCs w:val="21"/>
        </w:rPr>
        <w:t xml:space="preserve">The workspace's administrators see each visit under Settings → Security → Platform Visits (who, from when to when, the reason, changes made); the back-office lists them all under Platform Visits. You cannot switch again from inside a visit: go back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spacing w:after="120"/>
      </w:pPr>
      <w:r>
        <w:rPr>
          <w:rFonts w:ascii="Arial" w:cs="Arial" w:eastAsia="Arial" w:hAnsi="Arial"/>
          <w:sz w:val="21"/>
          <w:szCs w:val="21"/>
        </w:rPr>
        <w:t xml:space="preserve">A visit is different: nobody is impersonated. Its tokens carry your own account and the visit; they work only in the visited workspace and only while the visit is open (Back to Platform, signing out, or End the Visit Now closes it). Each change made during the visit is counted on its row. Recording visits needs database patch 0077.</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twenty-eight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check-sending-domains</w:t>
            </w:r>
          </w:p>
        </w:tc>
        <w:tc>
          <w:tcPr>
            <w:tcW w:type="dxa" w:w="3740"/>
            <w:tcMar>
              <w:top w:type="dxa" w:w="60"/>
              <w:left w:type="dxa" w:w="90"/>
              <w:bottom w:type="dxa" w:w="60"/>
              <w:right w:type="dxa" w:w="90"/>
            </w:tcMar>
          </w:tcPr>
          <w:p>
            <w:r>
              <w:rPr>
                <w:rFonts w:ascii="Arial" w:cs="Arial" w:eastAsia="Arial" w:hAnsi="Arial"/>
                <w:sz w:val="19"/>
                <w:szCs w:val="19"/>
              </w:rPr>
              <w:t xml:space="preserve">Looks up the SPF, DMARC and DKIM records of every workspace's sending domains (Settings → Delivery → Sending Domains).</w:t>
            </w:r>
          </w:p>
        </w:tc>
        <w:tc>
          <w:tcPr>
            <w:tcW w:type="dxa" w:w="3740"/>
            <w:tcMar>
              <w:top w:type="dxa" w:w="60"/>
              <w:left w:type="dxa" w:w="90"/>
              <w:bottom w:type="dxa" w:w="60"/>
              <w:right w:type="dxa" w:w="90"/>
            </w:tcMar>
          </w:tcPr>
          <w:p>
            <w:r>
              <w:rPr>
                <w:rFonts w:ascii="Arial" w:cs="Arial" w:eastAsia="Arial" w:hAnsi="Arial"/>
                <w:sz w:val="19"/>
                <w:szCs w:val="19"/>
              </w:rPr>
              <w:t xml:space="preserve">49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28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as an engine's own Check probe would otherwise read </w:t>
      </w:r>
      <w:r>
        <w:rPr>
          <w:rFonts w:ascii="Arial" w:cs="Arial" w:eastAsia="Arial" w:hAnsi="Arial"/>
          <w:i/>
          <w:iCs/>
          <w:sz w:val="21"/>
          <w:szCs w:val="21"/>
        </w:rPr>
        <w:t xml:space="preserve">100%</w:t>
      </w:r>
      <w:r>
        <w:rPr>
          <w:rFonts w:ascii="Arial" w:cs="Arial" w:eastAsia="Arial" w:hAnsi="Arial"/>
          <w:sz w:val="21"/>
          <w:szCs w:val="21"/>
        </w:rPr>
        <w:t xml:space="preserve">. An engine that sent nothing in a day is Quiet overall.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0069), which this page, the workspace's page and the alert evaluator read. Before patch 0069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 </w:t>
            </w:r>
            <w:r>
              <w:rPr>
                <w:rFonts w:ascii="Consolas" w:cs="Consolas" w:eastAsia="Consolas" w:hAnsi="Consolas"/>
                <w:sz w:val="19"/>
                <w:szCs w:val="19"/>
              </w:rPr>
              <w:t xml:space="preserve">statement_timeout_ms</w:t>
            </w:r>
            <w:r>
              <w:rPr>
                <w:rFonts w:ascii="Arial" w:cs="Arial" w:eastAsia="Arial" w:hAnsi="Arial"/>
                <w:sz w:val="19"/>
                <w:szCs w:val="19"/>
              </w:rPr>
              <w:t xml:space="preserve"> also applies to the workspace's Report Databases, and may be at most 110,000 (110 seconds): the web server stops a request after 120. Example for a slow or very large customer database: </w:t>
            </w:r>
            <w:r>
              <w:rPr>
                <w:rFonts w:ascii="Consolas" w:cs="Consolas" w:eastAsia="Consolas" w:hAnsi="Consolas"/>
                <w:sz w:val="19"/>
                <w:szCs w:val="19"/>
              </w:rPr>
              <w:t xml:space="preserve">{"statement_timeout_ms": 60000}</w:t>
            </w:r>
            <w:r>
              <w:rPr>
                <w:rFonts w:ascii="Arial" w:cs="Arial" w:eastAsia="Arial" w:hAnsi="Arial"/>
                <w:sz w:val="19"/>
                <w:szCs w:val="19"/>
              </w:rPr>
              <w:t xml:space="preserve">. A Report Database's own setting (Settings → Report Databases → How Reports Treat This Database, set by the workspace's administrators) wins over these for the reports on that database; Standard follows them.</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 (up to 110 seconds).</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took too long to answer" on Map a Dataset or Test Connection</w:t>
            </w:r>
          </w:p>
        </w:tc>
        <w:tc>
          <w:tcPr>
            <w:tcW w:type="dxa" w:w="3740"/>
            <w:tcMar>
              <w:top w:type="dxa" w:w="60"/>
              <w:left w:type="dxa" w:w="90"/>
              <w:bottom w:type="dxa" w:w="60"/>
              <w:right w:type="dxa" w:w="90"/>
            </w:tcMar>
          </w:tcPr>
          <w:p>
            <w:r>
              <w:rPr>
                <w:rFonts w:ascii="Arial" w:cs="Arial" w:eastAsia="Arial" w:hAnsi="Arial"/>
                <w:sz w:val="19"/>
                <w:szCs w:val="19"/>
              </w:rPr>
              <w:t xml:space="preserve">The Report Database's host</w:t>
            </w:r>
          </w:p>
        </w:tc>
        <w:tc>
          <w:tcPr>
            <w:tcW w:type="dxa" w:w="3740"/>
            <w:tcMar>
              <w:top w:type="dxa" w:w="60"/>
              <w:left w:type="dxa" w:w="90"/>
              <w:bottom w:type="dxa" w:w="60"/>
              <w:right w:type="dxa" w:w="90"/>
            </w:tcMar>
          </w:tcPr>
          <w:p>
            <w:r>
              <w:rPr>
                <w:rFonts w:ascii="Arial" w:cs="Arial" w:eastAsia="Arial" w:hAnsi="Arial"/>
                <w:sz w:val="19"/>
                <w:szCs w:val="19"/>
              </w:rPr>
              <w:t xml:space="preserve">Reading a customer database's own catalogue (its tables and columns) may take 60 seconds; a MySQL 5.7 server with a large schema, or behind a slow firewall, can take longer. When counting the tables is too slow, the list comes back with the names alone. Try again outside working hours, or ask the customer for an account limited to the schema reports need.</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ClickHouse Demo Workspace (City HT)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dev server (</w:t>
      </w:r>
      <w:r>
        <w:rPr>
          <w:rFonts w:ascii="Consolas" w:cs="Consolas" w:eastAsia="Consolas" w:hAnsi="Consolas"/>
          <w:sz w:val="21"/>
          <w:szCs w:val="21"/>
        </w:rPr>
        <w:t xml:space="preserve">cepdev.aiintelekt.com</w:t>
      </w:r>
      <w:r>
        <w:rPr>
          <w:rFonts w:ascii="Arial" w:cs="Arial" w:eastAsia="Arial" w:hAnsi="Arial"/>
          <w:sz w:val="21"/>
          <w:szCs w:val="21"/>
        </w:rPr>
        <w:t xml:space="preserve">): the workspace </w:t>
      </w:r>
      <w:r>
        <w:rPr>
          <w:rFonts w:ascii="Arial" w:cs="Arial" w:eastAsia="Arial" w:hAnsi="Arial"/>
          <w:b/>
          <w:bCs/>
          <w:sz w:val="21"/>
          <w:szCs w:val="21"/>
        </w:rPr>
        <w:t xml:space="preserve">CITYHT</w:t>
      </w:r>
      <w:r>
        <w:rPr>
          <w:rFonts w:ascii="Arial" w:cs="Arial" w:eastAsia="Arial" w:hAnsi="Arial"/>
          <w:sz w:val="21"/>
          <w:szCs w:val="21"/>
        </w:rPr>
        <w:t xml:space="preserve">, opened from People and Access → Users; its engine under Configuration → Report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Showing how fast Insights stays on a large workspace once its reports run on ClickHouse. City HT carries 25 million messages, 3 million orders, 2 million contacts and half a million journey enrolments; its saved reports over the 25 million messages answer in well under a second.</w:t>
      </w:r>
    </w:p>
    <w:p>
      <w:pPr>
        <w:spacing w:after="120"/>
      </w:pPr>
      <w:r>
        <w:rPr>
          <w:rFonts w:ascii="Arial" w:cs="Arial" w:eastAsia="Arial" w:hAnsi="Arial"/>
          <w:sz w:val="21"/>
          <w:szCs w:val="21"/>
        </w:rPr>
        <w:t xml:space="preserve">It is a demo workspace on the dev server only: nothing in it is real, and it is not on the release-test or production servers.</w:t>
      </w:r>
    </w:p>
    <w:p>
      <w:pPr>
        <w:pStyle w:val="Heading2"/>
        <w:spacing w:after="120" w:before="240"/>
      </w:pPr>
      <w:r>
        <w:rPr>
          <w:rFonts w:ascii="Arial" w:cs="Arial" w:eastAsia="Arial" w:hAnsi="Arial"/>
        </w:rPr>
        <w:t xml:space="preserve">What is in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lives</w:t>
            </w:r>
          </w:p>
        </w:tc>
      </w:tr>
      <w:tr>
        <w:tc>
          <w:tcPr>
            <w:tcW w:type="dxa" w:w="2600"/>
            <w:tcMar>
              <w:top w:type="dxa" w:w="60"/>
              <w:left w:type="dxa" w:w="90"/>
              <w:bottom w:type="dxa" w:w="60"/>
              <w:right w:type="dxa" w:w="90"/>
            </w:tcMar>
          </w:tcPr>
          <w:p>
            <w:r>
              <w:rPr>
                <w:rFonts w:ascii="Arial" w:cs="Arial" w:eastAsia="Arial" w:hAnsi="Arial"/>
                <w:sz w:val="19"/>
                <w:szCs w:val="19"/>
              </w:rPr>
              <w:t xml:space="preserve">Messages (email and texts)</w:t>
            </w:r>
          </w:p>
        </w:tc>
        <w:tc>
          <w:tcPr>
            <w:tcW w:type="dxa" w:w="3740"/>
            <w:tcMar>
              <w:top w:type="dxa" w:w="60"/>
              <w:left w:type="dxa" w:w="90"/>
              <w:bottom w:type="dxa" w:w="60"/>
              <w:right w:type="dxa" w:w="90"/>
            </w:tcMar>
          </w:tcPr>
          <w:p>
            <w:r>
              <w:rPr>
                <w:rFonts w:ascii="Arial" w:cs="Arial" w:eastAsia="Arial" w:hAnsi="Arial"/>
                <w:sz w:val="19"/>
                <w:szCs w:val="19"/>
              </w:rPr>
              <w:t xml:space="preserve">25,012,727</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 and refunds</w:t>
            </w:r>
          </w:p>
        </w:tc>
        <w:tc>
          <w:tcPr>
            <w:tcW w:type="dxa" w:w="3740"/>
            <w:tcMar>
              <w:top w:type="dxa" w:w="60"/>
              <w:left w:type="dxa" w:w="90"/>
              <w:bottom w:type="dxa" w:w="60"/>
              <w:right w:type="dxa" w:w="90"/>
            </w:tcMar>
          </w:tcPr>
          <w:p>
            <w:r>
              <w:rPr>
                <w:rFonts w:ascii="Arial" w:cs="Arial" w:eastAsia="Arial" w:hAnsi="Arial"/>
                <w:sz w:val="19"/>
                <w:szCs w:val="19"/>
              </w:rPr>
              <w:t xml:space="preserve">3,002,188</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2,001,500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501,220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 small working sample: 1,500 customers, 5 lists, 13 campaigns over 15 months, 2 journeys, POS sales and returns uploads</w:t>
            </w:r>
          </w:p>
        </w:tc>
        <w:tc>
          <w:tcPr>
            <w:tcW w:type="dxa" w:w="3740"/>
            <w:tcMar>
              <w:top w:type="dxa" w:w="60"/>
              <w:left w:type="dxa" w:w="90"/>
              <w:bottom w:type="dxa" w:w="60"/>
              <w:right w:type="dxa" w:w="90"/>
            </w:tcMar>
          </w:tcPr>
          <w:p>
            <w:r>
              <w:rPr>
                <w:rFonts w:ascii="Arial" w:cs="Arial" w:eastAsia="Arial" w:hAnsi="Arial"/>
                <w:sz w:val="19"/>
                <w:szCs w:val="19"/>
              </w:rPr>
              <w:t xml:space="preserve">thousands</w:t>
            </w:r>
          </w:p>
        </w:tc>
        <w:tc>
          <w:tcPr>
            <w:tcW w:type="dxa" w:w="3740"/>
            <w:tcMar>
              <w:top w:type="dxa" w:w="60"/>
              <w:left w:type="dxa" w:w="90"/>
              <w:bottom w:type="dxa" w:w="60"/>
              <w:right w:type="dxa" w:w="90"/>
            </w:tcMar>
          </w:tcPr>
          <w:p>
            <w:r>
              <w:rPr>
                <w:rFonts w:ascii="Arial" w:cs="Arial" w:eastAsia="Arial" w:hAnsi="Arial"/>
                <w:sz w:val="19"/>
                <w:szCs w:val="19"/>
              </w:rPr>
              <w:t xml:space="preserve">PostgreSQL (and copied to ClickHouse)</w:t>
            </w:r>
          </w:p>
        </w:tc>
      </w:tr>
      <w:tr>
        <w:tc>
          <w:tcPr>
            <w:tcW w:type="dxa" w:w="2600"/>
            <w:tcMar>
              <w:top w:type="dxa" w:w="60"/>
              <w:left w:type="dxa" w:w="90"/>
              <w:bottom w:type="dxa" w:w="60"/>
              <w:right w:type="dxa" w:w="90"/>
            </w:tcMar>
          </w:tcPr>
          <w:p>
            <w:r>
              <w:rPr>
                <w:rFonts w:ascii="Arial" w:cs="Arial" w:eastAsia="Arial" w:hAnsi="Arial"/>
                <w:sz w:val="19"/>
                <w:szCs w:val="19"/>
              </w:rPr>
              <w:t xml:space="preserve">20 "Demo ·" reports in a Demo folder, and 2 dashboards</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PostgreSQL</w:t>
            </w:r>
          </w:p>
        </w:tc>
      </w:tr>
    </w:tbl>
    <w:p>
      <w:pPr>
        <w:spacing w:after="120"/>
      </w:pPr>
    </w:p>
    <w:p>
      <w:pPr>
        <w:spacing w:after="120"/>
      </w:pPr>
      <w:r>
        <w:rPr>
          <w:rFonts w:ascii="Arial" w:cs="Arial" w:eastAsia="Arial" w:hAnsi="Arial"/>
          <w:sz w:val="21"/>
          <w:szCs w:val="21"/>
        </w:rPr>
        <w:t xml:space="preserve">The large volume covers the last 24 months, busier towards today, on the sample's own campaigns (a weekly newsletter, seasonal email campaigns, e-receipts, two text campaigns) and journeys (Welcome Series, Win-Back), with realistic rates: about 23% of emails opened, 4.7% clicked, 1.8% bounced; 6% of orders refunded; 28% of orders credited to a campaign.</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through </w:t>
      </w:r>
      <w:r>
        <w:rPr>
          <w:rFonts w:ascii="Arial" w:cs="Arial" w:eastAsia="Arial" w:hAnsi="Arial"/>
          <w:b/>
          <w:bCs/>
          <w:sz w:val="21"/>
          <w:szCs w:val="21"/>
        </w:rPr>
        <w:t xml:space="preserve">Sign In As</w:t>
      </w:r>
      <w:r>
        <w:rPr>
          <w:rFonts w:ascii="Arial" w:cs="Arial" w:eastAsia="Arial" w:hAnsi="Arial"/>
          <w:sz w:val="21"/>
          <w:szCs w:val="21"/>
        </w:rPr>
        <w:t xml:space="preserve"> on the workspace's one user, </w:t>
      </w:r>
      <w:r>
        <w:rPr>
          <w:rFonts w:ascii="Consolas" w:cs="Consolas" w:eastAsia="Consolas" w:hAnsi="Consolas"/>
          <w:sz w:val="21"/>
          <w:szCs w:val="21"/>
        </w:rPr>
        <w:t xml:space="preserve">demo.admin@cityht.example</w:t>
      </w:r>
      <w:r>
        <w:rPr>
          <w:rFonts w:ascii="Arial" w:cs="Arial" w:eastAsia="Arial" w:hAnsi="Arial"/>
          <w:sz w:val="21"/>
          <w:szCs w:val="21"/>
        </w:rPr>
        <w:t xml:space="preserve"> (Workspace Admin). That user has no password, so nobody can sign in as it directly.</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Open the workspace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People and Access → Users</w:t>
      </w:r>
      <w:r>
        <w:rPr>
          <w:rFonts w:ascii="Arial" w:cs="Arial" w:eastAsia="Arial" w:hAnsi="Arial"/>
          <w:sz w:val="21"/>
          <w:szCs w:val="21"/>
        </w:rPr>
        <w:t xml:space="preserve"> and search for </w:t>
      </w:r>
      <w:r>
        <w:rPr>
          <w:rFonts w:ascii="Consolas" w:cs="Consolas" w:eastAsia="Consolas" w:hAnsi="Consolas"/>
          <w:sz w:val="21"/>
          <w:szCs w:val="21"/>
        </w:rPr>
        <w:t xml:space="preserve">demo.admin@cityht.example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user and choose </w:t>
      </w:r>
      <w:r>
        <w:rPr>
          <w:rFonts w:ascii="Arial" w:cs="Arial" w:eastAsia="Arial" w:hAnsi="Arial"/>
          <w:b/>
          <w:bCs/>
          <w:sz w:val="21"/>
          <w:szCs w:val="21"/>
        </w:rPr>
        <w:t xml:space="preserve">Sign In as This User (support session)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a reason (for example </w:t>
      </w:r>
      <w:r>
        <w:rPr>
          <w:rFonts w:ascii="Arial" w:cs="Arial" w:eastAsia="Arial" w:hAnsi="Arial"/>
          <w:i/>
          <w:iCs/>
          <w:sz w:val="21"/>
          <w:szCs w:val="21"/>
        </w:rPr>
        <w:t xml:space="preserve">ClickHouse demo</w:t>
      </w:r>
      <w:r>
        <w:rPr>
          <w:rFonts w:ascii="Arial" w:cs="Arial" w:eastAsia="Arial" w:hAnsi="Arial"/>
          <w:sz w:val="21"/>
          <w:szCs w:val="21"/>
        </w:rPr>
        <w:t xml:space="preserve">), keep the access </w:t>
      </w:r>
      <w:r>
        <w:rPr>
          <w:rFonts w:ascii="Arial" w:cs="Arial" w:eastAsia="Arial" w:hAnsi="Arial"/>
          <w:b/>
          <w:bCs/>
          <w:sz w:val="21"/>
          <w:szCs w:val="21"/>
        </w:rPr>
        <w:t xml:space="preserve">read-only</w:t>
      </w:r>
      <w:r>
        <w:rPr>
          <w:rFonts w:ascii="Arial" w:cs="Arial" w:eastAsia="Arial" w:hAnsi="Arial"/>
          <w:sz w:val="21"/>
          <w:szCs w:val="21"/>
        </w:rPr>
        <w:t xml:space="preserve"> unless you will change something, and confirm.</w:t>
      </w:r>
    </w:p>
    <w:p>
      <w:pPr>
        <w:pStyle w:val="ListParagraph"/>
        <w:numPr>
          <w:ilvl w:val="0"/>
          <w:numId w:val="3"/>
        </w:numPr>
        <w:spacing w:after="60"/>
      </w:pPr>
      <w:r>
        <w:rPr>
          <w:rFonts w:ascii="Arial" w:cs="Arial" w:eastAsia="Arial" w:hAnsi="Arial"/>
          <w:sz w:val="21"/>
          <w:szCs w:val="21"/>
        </w:rPr>
        <w:t xml:space="preserve">The app opens as City HT, with the support banner at the top.</w:t>
      </w:r>
    </w:p>
    <w:p>
      <w:pPr>
        <w:spacing w:after="120"/>
      </w:pPr>
      <w:r>
        <w:rPr>
          <w:rFonts w:ascii="Arial" w:cs="Arial" w:eastAsia="Arial" w:hAnsi="Arial"/>
          <w:b/>
          <w:bCs/>
          <w:sz w:val="21"/>
          <w:szCs w:val="21"/>
        </w:rPr>
        <w:t xml:space="preserve">2. Show that the workspace runs on ClickHouse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Configuration → Report Engines</w:t>
      </w:r>
      <w:r>
        <w:rPr>
          <w:rFonts w:ascii="Arial" w:cs="Arial" w:eastAsia="Arial" w:hAnsi="Arial"/>
          <w:sz w:val="21"/>
          <w:szCs w:val="21"/>
        </w:rPr>
        <w:t xml:space="preserve"> and the CITYHT row: engine </w:t>
      </w:r>
      <w:r>
        <w:rPr>
          <w:rFonts w:ascii="Arial" w:cs="Arial" w:eastAsia="Arial" w:hAnsi="Arial"/>
          <w:b/>
          <w:bCs/>
          <w:sz w:val="21"/>
          <w:szCs w:val="21"/>
        </w:rPr>
        <w:t xml:space="preserve">clickhouse</w:t>
      </w:r>
      <w:r>
        <w:rPr>
          <w:rFonts w:ascii="Arial" w:cs="Arial" w:eastAsia="Arial" w:hAnsi="Arial"/>
          <w:sz w:val="21"/>
          <w:szCs w:val="21"/>
        </w:rPr>
        <w:t xml:space="preserve">, status </w:t>
      </w:r>
      <w:r>
        <w:rPr>
          <w:rFonts w:ascii="Arial" w:cs="Arial" w:eastAsia="Arial" w:hAnsi="Arial"/>
          <w:b/>
          <w:bCs/>
          <w:sz w:val="21"/>
          <w:szCs w:val="21"/>
        </w:rPr>
        <w:t xml:space="preserve">ACTIVE</w:t>
      </w:r>
      <w:r>
        <w:rPr>
          <w:rFonts w:ascii="Arial" w:cs="Arial" w:eastAsia="Arial" w:hAnsi="Arial"/>
          <w:sz w:val="21"/>
          <w:szCs w:val="21"/>
        </w:rPr>
        <w:t xml:space="preserve">, freshness </w:t>
      </w:r>
      <w:r>
        <w:rPr>
          <w:rFonts w:ascii="Arial" w:cs="Arial" w:eastAsia="Arial" w:hAnsi="Arial"/>
          <w:b/>
          <w:bCs/>
          <w:sz w:val="21"/>
          <w:szCs w:val="21"/>
        </w:rPr>
        <w:t xml:space="preserve">QUARTER_HOUR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app, every Insights report says under its title that the data is as of the last quarter hour.</w:t>
      </w:r>
    </w:p>
    <w:p>
      <w:pPr>
        <w:spacing w:after="120"/>
      </w:pPr>
      <w:r>
        <w:rPr>
          <w:rFonts w:ascii="Arial" w:cs="Arial" w:eastAsia="Arial" w:hAnsi="Arial"/>
          <w:b/>
          <w:bCs/>
          <w:sz w:val="21"/>
          <w:szCs w:val="21"/>
        </w:rPr>
        <w:t xml:space="preserve">3. Run the saved reports</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Reports</w:t>
      </w:r>
      <w:r>
        <w:rPr>
          <w:rFonts w:ascii="Arial" w:cs="Arial" w:eastAsia="Arial" w:hAnsi="Arial"/>
          <w:sz w:val="21"/>
          <w:szCs w:val="21"/>
        </w:rPr>
        <w:t xml:space="preserve"> and the </w:t>
      </w:r>
      <w:r>
        <w:rPr>
          <w:rFonts w:ascii="Arial" w:cs="Arial" w:eastAsia="Arial" w:hAnsi="Arial"/>
          <w:b/>
          <w:bCs/>
          <w:sz w:val="21"/>
          <w:szCs w:val="21"/>
        </w:rPr>
        <w:t xml:space="preserve">Demo</w:t>
      </w:r>
      <w:r>
        <w:rPr>
          <w:rFonts w:ascii="Arial" w:cs="Arial" w:eastAsia="Arial" w:hAnsi="Arial"/>
          <w:sz w:val="21"/>
          <w:szCs w:val="21"/>
        </w:rPr>
        <w:t xml:space="preserve"> folder.</w:t>
      </w:r>
    </w:p>
    <w:p>
      <w:pPr>
        <w:pStyle w:val="ListParagraph"/>
        <w:numPr>
          <w:ilvl w:val="0"/>
          <w:numId w:val="3"/>
        </w:numPr>
        <w:spacing w:after="60"/>
      </w:pPr>
      <w:r>
        <w:rPr>
          <w:rFonts w:ascii="Arial" w:cs="Arial" w:eastAsia="Arial" w:hAnsi="Arial"/>
          <w:sz w:val="21"/>
          <w:szCs w:val="21"/>
        </w:rPr>
        <w:t xml:space="preserve">Open the reports in this order, each a different kind of question over the large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Report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reads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First run (measured)</w:t>
            </w:r>
          </w:p>
        </w:tc>
      </w:tr>
      <w:tr>
        <w:tc>
          <w:tcPr>
            <w:tcW w:type="dxa" w:w="2600"/>
            <w:tcMar>
              <w:top w:type="dxa" w:w="60"/>
              <w:left w:type="dxa" w:w="90"/>
              <w:bottom w:type="dxa" w:w="60"/>
              <w:right w:type="dxa" w:w="90"/>
            </w:tcMar>
          </w:tcPr>
          <w:p>
            <w:r>
              <w:rPr>
                <w:rFonts w:ascii="Arial" w:cs="Arial" w:eastAsia="Arial" w:hAnsi="Arial"/>
                <w:sz w:val="19"/>
                <w:szCs w:val="19"/>
              </w:rPr>
              <w:t xml:space="preserve">Demo · Channel Mix by Quarter</w:t>
            </w:r>
          </w:p>
        </w:tc>
        <w:tc>
          <w:tcPr>
            <w:tcW w:type="dxa" w:w="3740"/>
            <w:tcMar>
              <w:top w:type="dxa" w:w="60"/>
              <w:left w:type="dxa" w:w="90"/>
              <w:bottom w:type="dxa" w:w="60"/>
              <w:right w:type="dxa" w:w="90"/>
            </w:tcMar>
          </w:tcPr>
          <w:p>
            <w:r>
              <w:rPr>
                <w:rFonts w:ascii="Arial" w:cs="Arial" w:eastAsia="Arial" w:hAnsi="Arial"/>
                <w:sz w:val="19"/>
                <w:szCs w:val="19"/>
              </w:rPr>
              <w:t xml:space="preserve">25M messages, grouped by quarter and channel</w:t>
            </w:r>
          </w:p>
        </w:tc>
        <w:tc>
          <w:tcPr>
            <w:tcW w:type="dxa" w:w="3740"/>
            <w:tcMar>
              <w:top w:type="dxa" w:w="60"/>
              <w:left w:type="dxa" w:w="90"/>
              <w:bottom w:type="dxa" w:w="60"/>
              <w:right w:type="dxa" w:w="90"/>
            </w:tcMar>
          </w:tcPr>
          <w:p>
            <w:r>
              <w:rPr>
                <w:rFonts w:ascii="Arial" w:cs="Arial" w:eastAsia="Arial" w:hAnsi="Arial"/>
                <w:sz w:val="19"/>
                <w:szCs w:val="19"/>
              </w:rPr>
              <w:t xml:space="preserve">0.66 s</w:t>
            </w:r>
          </w:p>
        </w:tc>
      </w:tr>
      <w:tr>
        <w:tc>
          <w:tcPr>
            <w:tcW w:type="dxa" w:w="2600"/>
            <w:tcMar>
              <w:top w:type="dxa" w:w="60"/>
              <w:left w:type="dxa" w:w="90"/>
              <w:bottom w:type="dxa" w:w="60"/>
              <w:right w:type="dxa" w:w="90"/>
            </w:tcMar>
          </w:tcPr>
          <w:p>
            <w:r>
              <w:rPr>
                <w:rFonts w:ascii="Arial" w:cs="Arial" w:eastAsia="Arial" w:hAnsi="Arial"/>
                <w:sz w:val="19"/>
                <w:szCs w:val="19"/>
              </w:rPr>
              <w:t xml:space="preserve">Demo · Email Funnel by Campaign</w:t>
            </w:r>
          </w:p>
        </w:tc>
        <w:tc>
          <w:tcPr>
            <w:tcW w:type="dxa" w:w="3740"/>
            <w:tcMar>
              <w:top w:type="dxa" w:w="60"/>
              <w:left w:type="dxa" w:w="90"/>
              <w:bottom w:type="dxa" w:w="60"/>
              <w:right w:type="dxa" w:w="90"/>
            </w:tcMar>
          </w:tcPr>
          <w:p>
            <w:r>
              <w:rPr>
                <w:rFonts w:ascii="Arial" w:cs="Arial" w:eastAsia="Arial" w:hAnsi="Arial"/>
                <w:sz w:val="19"/>
                <w:szCs w:val="19"/>
              </w:rPr>
              <w:t xml:space="preserve">25M messages: sent, delivered, opened, clicked per campaign</w:t>
            </w:r>
          </w:p>
        </w:tc>
        <w:tc>
          <w:tcPr>
            <w:tcW w:type="dxa" w:w="3740"/>
            <w:tcMar>
              <w:top w:type="dxa" w:w="60"/>
              <w:left w:type="dxa" w:w="90"/>
              <w:bottom w:type="dxa" w:w="60"/>
              <w:right w:type="dxa" w:w="90"/>
            </w:tcMar>
          </w:tcPr>
          <w:p>
            <w:r>
              <w:rPr>
                <w:rFonts w:ascii="Arial" w:cs="Arial" w:eastAsia="Arial" w:hAnsi="Arial"/>
                <w:sz w:val="19"/>
                <w:szCs w:val="19"/>
              </w:rPr>
              <w:t xml:space="preserve">0.54 s</w:t>
            </w:r>
          </w:p>
        </w:tc>
      </w:tr>
      <w:tr>
        <w:tc>
          <w:tcPr>
            <w:tcW w:type="dxa" w:w="2600"/>
            <w:tcMar>
              <w:top w:type="dxa" w:w="60"/>
              <w:left w:type="dxa" w:w="90"/>
              <w:bottom w:type="dxa" w:w="60"/>
              <w:right w:type="dxa" w:w="90"/>
            </w:tcMar>
          </w:tcPr>
          <w:p>
            <w:r>
              <w:rPr>
                <w:rFonts w:ascii="Arial" w:cs="Arial" w:eastAsia="Arial" w:hAnsi="Arial"/>
                <w:sz w:val="19"/>
                <w:szCs w:val="19"/>
              </w:rPr>
              <w:t xml:space="preserve">Demo · Campaign Detail</w:t>
            </w:r>
          </w:p>
        </w:tc>
        <w:tc>
          <w:tcPr>
            <w:tcW w:type="dxa" w:w="3740"/>
            <w:tcMar>
              <w:top w:type="dxa" w:w="60"/>
              <w:left w:type="dxa" w:w="90"/>
              <w:bottom w:type="dxa" w:w="60"/>
              <w:right w:type="dxa" w:w="90"/>
            </w:tcMar>
          </w:tcPr>
          <w:p>
            <w:r>
              <w:rPr>
                <w:rFonts w:ascii="Arial" w:cs="Arial" w:eastAsia="Arial" w:hAnsi="Arial"/>
                <w:sz w:val="19"/>
                <w:szCs w:val="19"/>
              </w:rPr>
              <w:t xml:space="preserve">25M messages, every campaign and run</w:t>
            </w:r>
          </w:p>
        </w:tc>
        <w:tc>
          <w:tcPr>
            <w:tcW w:type="dxa" w:w="3740"/>
            <w:tcMar>
              <w:top w:type="dxa" w:w="60"/>
              <w:left w:type="dxa" w:w="90"/>
              <w:bottom w:type="dxa" w:w="60"/>
              <w:right w:type="dxa" w:w="90"/>
            </w:tcMar>
          </w:tcPr>
          <w:p>
            <w:r>
              <w:rPr>
                <w:rFonts w:ascii="Arial" w:cs="Arial" w:eastAsia="Arial" w:hAnsi="Arial"/>
                <w:sz w:val="19"/>
                <w:szCs w:val="19"/>
              </w:rPr>
              <w:t xml:space="preserve">0.80 s</w:t>
            </w:r>
          </w:p>
        </w:tc>
      </w:tr>
      <w:tr>
        <w:tc>
          <w:tcPr>
            <w:tcW w:type="dxa" w:w="2600"/>
            <w:tcMar>
              <w:top w:type="dxa" w:w="60"/>
              <w:left w:type="dxa" w:w="90"/>
              <w:bottom w:type="dxa" w:w="60"/>
              <w:right w:type="dxa" w:w="90"/>
            </w:tcMar>
          </w:tcPr>
          <w:p>
            <w:r>
              <w:rPr>
                <w:rFonts w:ascii="Arial" w:cs="Arial" w:eastAsia="Arial" w:hAnsi="Arial"/>
                <w:sz w:val="19"/>
                <w:szCs w:val="19"/>
              </w:rPr>
              <w:t xml:space="preserve">Demo · What Drives Clicks</w:t>
            </w:r>
          </w:p>
        </w:tc>
        <w:tc>
          <w:tcPr>
            <w:tcW w:type="dxa" w:w="3740"/>
            <w:tcMar>
              <w:top w:type="dxa" w:w="60"/>
              <w:left w:type="dxa" w:w="90"/>
              <w:bottom w:type="dxa" w:w="60"/>
              <w:right w:type="dxa" w:w="90"/>
            </w:tcMar>
          </w:tcPr>
          <w:p>
            <w:r>
              <w:rPr>
                <w:rFonts w:ascii="Arial" w:cs="Arial" w:eastAsia="Arial" w:hAnsi="Arial"/>
                <w:sz w:val="19"/>
                <w:szCs w:val="19"/>
              </w:rPr>
              <w:t xml:space="preserve">25M messages, Key Influencers</w:t>
            </w:r>
          </w:p>
        </w:tc>
        <w:tc>
          <w:tcPr>
            <w:tcW w:type="dxa" w:w="3740"/>
            <w:tcMar>
              <w:top w:type="dxa" w:w="60"/>
              <w:left w:type="dxa" w:w="90"/>
              <w:bottom w:type="dxa" w:w="60"/>
              <w:right w:type="dxa" w:w="90"/>
            </w:tcMar>
          </w:tcPr>
          <w:p>
            <w:r>
              <w:rPr>
                <w:rFonts w:ascii="Arial" w:cs="Arial" w:eastAsia="Arial" w:hAnsi="Arial"/>
                <w:sz w:val="19"/>
                <w:szCs w:val="19"/>
              </w:rPr>
              <w:t xml:space="preserve">0.74 s</w:t>
            </w:r>
          </w:p>
        </w:tc>
      </w:tr>
      <w:tr>
        <w:tc>
          <w:tcPr>
            <w:tcW w:type="dxa" w:w="2600"/>
            <w:tcMar>
              <w:top w:type="dxa" w:w="60"/>
              <w:left w:type="dxa" w:w="90"/>
              <w:bottom w:type="dxa" w:w="60"/>
              <w:right w:type="dxa" w:w="90"/>
            </w:tcMar>
          </w:tcPr>
          <w:p>
            <w:r>
              <w:rPr>
                <w:rFonts w:ascii="Arial" w:cs="Arial" w:eastAsia="Arial" w:hAnsi="Arial"/>
                <w:sz w:val="19"/>
                <w:szCs w:val="19"/>
              </w:rPr>
              <w:t xml:space="preserve">Demo · Weekly Sends vs the Week Before</w:t>
            </w:r>
          </w:p>
        </w:tc>
        <w:tc>
          <w:tcPr>
            <w:tcW w:type="dxa" w:w="3740"/>
            <w:tcMar>
              <w:top w:type="dxa" w:w="60"/>
              <w:left w:type="dxa" w:w="90"/>
              <w:bottom w:type="dxa" w:w="60"/>
              <w:right w:type="dxa" w:w="90"/>
            </w:tcMar>
          </w:tcPr>
          <w:p>
            <w:r>
              <w:rPr>
                <w:rFonts w:ascii="Arial" w:cs="Arial" w:eastAsia="Arial" w:hAnsi="Arial"/>
                <w:sz w:val="19"/>
                <w:szCs w:val="19"/>
              </w:rPr>
              <w:t xml:space="preserve">25M messages, a week-on-week comparison</w:t>
            </w:r>
          </w:p>
        </w:tc>
        <w:tc>
          <w:tcPr>
            <w:tcW w:type="dxa" w:w="3740"/>
            <w:tcMar>
              <w:top w:type="dxa" w:w="60"/>
              <w:left w:type="dxa" w:w="90"/>
              <w:bottom w:type="dxa" w:w="60"/>
              <w:right w:type="dxa" w:w="90"/>
            </w:tcMar>
          </w:tcPr>
          <w:p>
            <w:r>
              <w:rPr>
                <w:rFonts w:ascii="Arial" w:cs="Arial" w:eastAsia="Arial" w:hAnsi="Arial"/>
                <w:sz w:val="19"/>
                <w:szCs w:val="19"/>
              </w:rPr>
              <w:t xml:space="preserve">0.56 s</w:t>
            </w:r>
          </w:p>
        </w:tc>
      </w:tr>
      <w:tr>
        <w:tc>
          <w:tcPr>
            <w:tcW w:type="dxa" w:w="2600"/>
            <w:tcMar>
              <w:top w:type="dxa" w:w="60"/>
              <w:left w:type="dxa" w:w="90"/>
              <w:bottom w:type="dxa" w:w="60"/>
              <w:right w:type="dxa" w:w="90"/>
            </w:tcMar>
          </w:tcPr>
          <w:p>
            <w:r>
              <w:rPr>
                <w:rFonts w:ascii="Arial" w:cs="Arial" w:eastAsia="Arial" w:hAnsi="Arial"/>
                <w:sz w:val="19"/>
                <w:szCs w:val="19"/>
              </w:rPr>
              <w:t xml:space="preserve">Demo · Attributed Revenue by Month</w:t>
            </w:r>
          </w:p>
        </w:tc>
        <w:tc>
          <w:tcPr>
            <w:tcW w:type="dxa" w:w="3740"/>
            <w:tcMar>
              <w:top w:type="dxa" w:w="60"/>
              <w:left w:type="dxa" w:w="90"/>
              <w:bottom w:type="dxa" w:w="60"/>
              <w:right w:type="dxa" w:w="90"/>
            </w:tcMar>
          </w:tcPr>
          <w:p>
            <w:r>
              <w:rPr>
                <w:rFonts w:ascii="Arial" w:cs="Arial" w:eastAsia="Arial" w:hAnsi="Arial"/>
                <w:sz w:val="19"/>
                <w:szCs w:val="19"/>
              </w:rPr>
              <w:t xml:space="preserve">3M orders</w:t>
            </w:r>
          </w:p>
        </w:tc>
        <w:tc>
          <w:tcPr>
            <w:tcW w:type="dxa" w:w="3740"/>
            <w:tcMar>
              <w:top w:type="dxa" w:w="60"/>
              <w:left w:type="dxa" w:w="90"/>
              <w:bottom w:type="dxa" w:w="60"/>
              <w:right w:type="dxa" w:w="90"/>
            </w:tcMar>
          </w:tcPr>
          <w:p>
            <w:r>
              <w:rPr>
                <w:rFonts w:ascii="Arial" w:cs="Arial" w:eastAsia="Arial" w:hAnsi="Arial"/>
                <w:sz w:val="19"/>
                <w:szCs w:val="19"/>
              </w:rPr>
              <w:t xml:space="preserve">0.05 s</w:t>
            </w:r>
          </w:p>
        </w:tc>
      </w:tr>
      <w:tr>
        <w:tc>
          <w:tcPr>
            <w:tcW w:type="dxa" w:w="2600"/>
            <w:tcMar>
              <w:top w:type="dxa" w:w="60"/>
              <w:left w:type="dxa" w:w="90"/>
              <w:bottom w:type="dxa" w:w="60"/>
              <w:right w:type="dxa" w:w="90"/>
            </w:tcMar>
          </w:tcPr>
          <w:p>
            <w:r>
              <w:rPr>
                <w:rFonts w:ascii="Arial" w:cs="Arial" w:eastAsia="Arial" w:hAnsi="Arial"/>
                <w:sz w:val="19"/>
                <w:szCs w:val="19"/>
              </w:rPr>
              <w:t xml:space="preserve">Demo · Customers by State</w:t>
            </w:r>
          </w:p>
        </w:tc>
        <w:tc>
          <w:tcPr>
            <w:tcW w:type="dxa" w:w="3740"/>
            <w:tcMar>
              <w:top w:type="dxa" w:w="60"/>
              <w:left w:type="dxa" w:w="90"/>
              <w:bottom w:type="dxa" w:w="60"/>
              <w:right w:type="dxa" w:w="90"/>
            </w:tcMar>
          </w:tcPr>
          <w:p>
            <w:r>
              <w:rPr>
                <w:rFonts w:ascii="Arial" w:cs="Arial" w:eastAsia="Arial" w:hAnsi="Arial"/>
                <w:sz w:val="19"/>
                <w:szCs w:val="19"/>
              </w:rPr>
              <w:t xml:space="preserve">2M contacts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r>
        <w:tc>
          <w:tcPr>
            <w:tcW w:type="dxa" w:w="2600"/>
            <w:tcMar>
              <w:top w:type="dxa" w:w="60"/>
              <w:left w:type="dxa" w:w="90"/>
              <w:bottom w:type="dxa" w:w="60"/>
              <w:right w:type="dxa" w:w="90"/>
            </w:tcMar>
          </w:tcPr>
          <w:p>
            <w:r>
              <w:rPr>
                <w:rFonts w:ascii="Arial" w:cs="Arial" w:eastAsia="Arial" w:hAnsi="Arial"/>
                <w:sz w:val="19"/>
                <w:szCs w:val="19"/>
              </w:rPr>
              <w:t xml:space="preserve">Demo · Journey Conversion</w:t>
            </w:r>
          </w:p>
        </w:tc>
        <w:tc>
          <w:tcPr>
            <w:tcW w:type="dxa" w:w="3740"/>
            <w:tcMar>
              <w:top w:type="dxa" w:w="60"/>
              <w:left w:type="dxa" w:w="90"/>
              <w:bottom w:type="dxa" w:w="60"/>
              <w:right w:type="dxa" w:w="90"/>
            </w:tcMar>
          </w:tcPr>
          <w:p>
            <w:r>
              <w:rPr>
                <w:rFonts w:ascii="Arial" w:cs="Arial" w:eastAsia="Arial" w:hAnsi="Arial"/>
                <w:sz w:val="19"/>
                <w:szCs w:val="19"/>
              </w:rPr>
              <w:t xml:space="preserve">0.5M enrolments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bl>
    <w:p>
      <w:pPr>
        <w:spacing w:after="120"/>
      </w:pPr>
    </w:p>
    <w:p>
      <w:pPr>
        <w:pStyle w:val="ListParagraph"/>
        <w:numPr>
          <w:ilvl w:val="0"/>
          <w:numId w:val="3"/>
        </w:numPr>
        <w:spacing w:after="60"/>
      </w:pPr>
      <w:r>
        <w:rPr>
          <w:rFonts w:ascii="Arial" w:cs="Arial" w:eastAsia="Arial" w:hAnsi="Arial"/>
          <w:sz w:val="21"/>
          <w:szCs w:val="21"/>
        </w:rPr>
        <w:t xml:space="preserve">Opening a report a second time is almost instant (1 to 2 milliseconds): that is the app's result cache, not ClickHouse. To show ClickHouse itself again, change a filter (for example the date range) and run it.</w:t>
      </w:r>
    </w:p>
    <w:p>
      <w:pPr>
        <w:spacing w:after="120"/>
      </w:pPr>
      <w:r>
        <w:rPr>
          <w:rFonts w:ascii="Arial" w:cs="Arial" w:eastAsia="Arial" w:hAnsi="Arial"/>
          <w:b/>
          <w:bCs/>
          <w:sz w:val="21"/>
          <w:szCs w:val="21"/>
        </w:rPr>
        <w:t xml:space="preserve">4. Build a report live</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Insights → Reports</w:t>
      </w:r>
      <w:r>
        <w:rPr>
          <w:rFonts w:ascii="Arial" w:cs="Arial" w:eastAsia="Arial" w:hAnsi="Arial"/>
          <w:sz w:val="21"/>
          <w:szCs w:val="21"/>
        </w:rPr>
        <w:t xml:space="preserve">, start a new report on </w:t>
      </w:r>
      <w:r>
        <w:rPr>
          <w:rFonts w:ascii="Arial" w:cs="Arial" w:eastAsia="Arial" w:hAnsi="Arial"/>
          <w:b/>
          <w:bCs/>
          <w:sz w:val="21"/>
          <w:szCs w:val="21"/>
        </w:rPr>
        <w:t xml:space="preserve">Messages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Group by the month of </w:t>
      </w:r>
      <w:r>
        <w:rPr>
          <w:rFonts w:ascii="Arial" w:cs="Arial" w:eastAsia="Arial" w:hAnsi="Arial"/>
          <w:b/>
          <w:bCs/>
          <w:sz w:val="21"/>
          <w:szCs w:val="21"/>
        </w:rPr>
        <w:t xml:space="preserve">Created</w:t>
      </w:r>
      <w:r>
        <w:rPr>
          <w:rFonts w:ascii="Arial" w:cs="Arial" w:eastAsia="Arial" w:hAnsi="Arial"/>
          <w:sz w:val="21"/>
          <w:szCs w:val="21"/>
        </w:rPr>
        <w:t xml:space="preserve"> and by </w:t>
      </w:r>
      <w:r>
        <w:rPr>
          <w:rFonts w:ascii="Arial" w:cs="Arial" w:eastAsia="Arial" w:hAnsi="Arial"/>
          <w:b/>
          <w:bCs/>
          <w:sz w:val="21"/>
          <w:szCs w:val="21"/>
        </w:rPr>
        <w:t xml:space="preserve">Channel</w:t>
      </w:r>
      <w:r>
        <w:rPr>
          <w:rFonts w:ascii="Arial" w:cs="Arial" w:eastAsia="Arial" w:hAnsi="Arial"/>
          <w:sz w:val="21"/>
          <w:szCs w:val="21"/>
        </w:rPr>
        <w:t xml:space="preserve">; add the counts of sent, opened and clicked messages.</w:t>
      </w:r>
    </w:p>
    <w:p>
      <w:pPr>
        <w:pStyle w:val="ListParagraph"/>
        <w:numPr>
          <w:ilvl w:val="0"/>
          <w:numId w:val="3"/>
        </w:numPr>
        <w:spacing w:after="60"/>
      </w:pPr>
      <w:r>
        <w:rPr>
          <w:rFonts w:ascii="Arial" w:cs="Arial" w:eastAsia="Arial" w:hAnsi="Arial"/>
          <w:sz w:val="21"/>
          <w:szCs w:val="21"/>
        </w:rPr>
        <w:t xml:space="preserve">Run it: 25 million messages are grouped and counted in under a second.</w:t>
      </w:r>
    </w:p>
    <w:p>
      <w:pPr>
        <w:pStyle w:val="ListParagraph"/>
        <w:numPr>
          <w:ilvl w:val="0"/>
          <w:numId w:val="3"/>
        </w:numPr>
        <w:spacing w:after="60"/>
      </w:pPr>
      <w:r>
        <w:rPr>
          <w:rFonts w:ascii="Arial" w:cs="Arial" w:eastAsia="Arial" w:hAnsi="Arial"/>
          <w:sz w:val="21"/>
          <w:szCs w:val="21"/>
        </w:rPr>
        <w:t xml:space="preserve">Add a filter on one campaign, or switch to a chart: each change runs again just as quickly.</w:t>
      </w:r>
    </w:p>
    <w:p>
      <w:pPr>
        <w:spacing w:after="120"/>
      </w:pPr>
      <w:r>
        <w:rPr>
          <w:rFonts w:ascii="Arial" w:cs="Arial" w:eastAsia="Arial" w:hAnsi="Arial"/>
          <w:b/>
          <w:bCs/>
          <w:sz w:val="21"/>
          <w:szCs w:val="21"/>
        </w:rPr>
        <w:t xml:space="preserve">5. Open the dashboards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 → Dashboards → Demo · Marketing Command Centre</w:t>
      </w:r>
      <w:r>
        <w:rPr>
          <w:rFonts w:ascii="Arial" w:cs="Arial" w:eastAsia="Arial" w:hAnsi="Arial"/>
          <w:sz w:val="21"/>
          <w:szCs w:val="21"/>
        </w:rPr>
        <w:t xml:space="preserve">: every tile reads the large data at once.</w:t>
      </w:r>
    </w:p>
    <w:p>
      <w:pPr>
        <w:pStyle w:val="ListParagraph"/>
        <w:numPr>
          <w:ilvl w:val="0"/>
          <w:numId w:val="3"/>
        </w:numPr>
        <w:spacing w:after="60"/>
      </w:pPr>
      <w:r>
        <w:rPr>
          <w:rFonts w:ascii="Arial" w:cs="Arial" w:eastAsia="Arial" w:hAnsi="Arial"/>
          <w:b/>
          <w:bCs/>
          <w:sz w:val="21"/>
          <w:szCs w:val="21"/>
        </w:rPr>
        <w:t xml:space="preserve">Demo · Store Performance</w:t>
      </w:r>
      <w:r>
        <w:rPr>
          <w:rFonts w:ascii="Arial" w:cs="Arial" w:eastAsia="Arial" w:hAnsi="Arial"/>
          <w:sz w:val="21"/>
          <w:szCs w:val="21"/>
        </w:rPr>
        <w:t xml:space="preserve"> reads the POS uploads, which stay in PostgreSQL (see </w:t>
      </w:r>
      <w:r>
        <w:rPr>
          <w:rFonts w:ascii="Arial" w:cs="Arial" w:eastAsia="Arial" w:hAnsi="Arial"/>
          <w:i/>
          <w:iCs/>
          <w:sz w:val="21"/>
          <w:szCs w:val="21"/>
        </w:rPr>
        <w:t xml:space="preserve">Things to know</w:t>
      </w:r>
      <w:r>
        <w:rPr>
          <w:rFonts w:ascii="Arial" w:cs="Arial" w:eastAsia="Arial" w:hAnsi="Arial"/>
          <w:sz w:val="21"/>
          <w:szCs w:val="21"/>
        </w:rPr>
        <w:t xml:space="preserve">).</w:t>
      </w:r>
    </w:p>
    <w:p>
      <w:pPr>
        <w:spacing w:after="120"/>
      </w:pPr>
      <w:r>
        <w:rPr>
          <w:rFonts w:ascii="Arial" w:cs="Arial" w:eastAsia="Arial" w:hAnsi="Arial"/>
          <w:b/>
          <w:bCs/>
          <w:sz w:val="21"/>
          <w:szCs w:val="21"/>
        </w:rPr>
        <w:t xml:space="preserve">6. Check the speed in the Run Log</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Run Log</w:t>
      </w:r>
      <w:r>
        <w:rPr>
          <w:rFonts w:ascii="Arial" w:cs="Arial" w:eastAsia="Arial" w:hAnsi="Arial"/>
          <w:sz w:val="21"/>
          <w:szCs w:val="21"/>
        </w:rPr>
        <w:t xml:space="preserve"> (report administrators; the demo admin is one).</w:t>
      </w:r>
    </w:p>
    <w:p>
      <w:pPr>
        <w:pStyle w:val="ListParagraph"/>
        <w:numPr>
          <w:ilvl w:val="0"/>
          <w:numId w:val="3"/>
        </w:numPr>
        <w:spacing w:after="60"/>
      </w:pPr>
      <w:r>
        <w:rPr>
          <w:rFonts w:ascii="Arial" w:cs="Arial" w:eastAsia="Arial" w:hAnsi="Arial"/>
          <w:sz w:val="21"/>
          <w:szCs w:val="21"/>
        </w:rPr>
        <w:t xml:space="preserve">Each run is listed with its time and rows, so the timings can be shown rather than told.</w:t>
      </w:r>
    </w:p>
    <w:p>
      <w:pPr>
        <w:spacing w:after="120"/>
      </w:pPr>
      <w:r>
        <w:rPr>
          <w:rFonts w:ascii="Arial" w:cs="Arial" w:eastAsia="Arial" w:hAnsi="Arial"/>
          <w:b/>
          <w:bCs/>
          <w:sz w:val="21"/>
          <w:szCs w:val="21"/>
        </w:rPr>
        <w:t xml:space="preserve">7. Compare with PostgreSQL (optional)</w:t>
      </w:r>
    </w:p>
    <w:p>
      <w:pPr>
        <w:pStyle w:val="ListParagraph"/>
        <w:numPr>
          <w:ilvl w:val="0"/>
          <w:numId w:val="3"/>
        </w:numPr>
        <w:spacing w:after="60"/>
      </w:pPr>
      <w:r>
        <w:rPr>
          <w:rFonts w:ascii="Arial" w:cs="Arial" w:eastAsia="Arial" w:hAnsi="Arial"/>
          <w:sz w:val="21"/>
          <w:szCs w:val="21"/>
        </w:rPr>
        <w:t xml:space="preserve">In the back-office, on the CITYHT row of </w:t>
      </w:r>
      <w:r>
        <w:rPr>
          <w:rFonts w:ascii="Arial" w:cs="Arial" w:eastAsia="Arial" w:hAnsi="Arial"/>
          <w:b/>
          <w:bCs/>
          <w:sz w:val="21"/>
          <w:szCs w:val="21"/>
        </w:rPr>
        <w:t xml:space="preserve">Configuration → Report Engines</w:t>
      </w:r>
      <w:r>
        <w:rPr>
          <w:rFonts w:ascii="Arial" w:cs="Arial" w:eastAsia="Arial" w:hAnsi="Arial"/>
          <w:sz w:val="21"/>
          <w:szCs w:val="21"/>
        </w:rPr>
        <w:t xml:space="preserve">, press </w:t>
      </w:r>
      <w:r>
        <w:rPr>
          <w:rFonts w:ascii="Arial" w:cs="Arial" w:eastAsia="Arial" w:hAnsi="Arial"/>
          <w:b/>
          <w:bCs/>
          <w:sz w:val="21"/>
          <w:szCs w:val="21"/>
        </w:rPr>
        <w:t xml:space="preserve">Roll Back to PostgreSQL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Run the same report in the app: it now reads the small PostgreSQL sample only (about 12,700 messages), because the 25 million rows exist in ClickHouse alone.</w:t>
      </w:r>
    </w:p>
    <w:p>
      <w:pPr>
        <w:pStyle w:val="ListParagraph"/>
        <w:numPr>
          <w:ilvl w:val="0"/>
          <w:numId w:val="3"/>
        </w:numPr>
        <w:spacing w:after="60"/>
      </w:pPr>
      <w:r>
        <w:rPr>
          <w:rFonts w:ascii="Arial" w:cs="Arial" w:eastAsia="Arial" w:hAnsi="Arial"/>
          <w:sz w:val="21"/>
          <w:szCs w:val="21"/>
        </w:rPr>
        <w:t xml:space="preserve">To go back, press </w:t>
      </w:r>
      <w:r>
        <w:rPr>
          <w:rFonts w:ascii="Arial" w:cs="Arial" w:eastAsia="Arial" w:hAnsi="Arial"/>
          <w:b/>
          <w:bCs/>
          <w:sz w:val="21"/>
          <w:szCs w:val="21"/>
        </w:rPr>
        <w:t xml:space="preserve">Backfill ClickHouse</w:t>
      </w:r>
      <w:r>
        <w:rPr>
          <w:rFonts w:ascii="Arial" w:cs="Arial" w:eastAsia="Arial" w:hAnsi="Arial"/>
          <w:sz w:val="21"/>
          <w:szCs w:val="21"/>
        </w:rPr>
        <w:t xml:space="preserve"> (it copies the small sample again; the 25 million rows stay where they are), then </w:t>
      </w:r>
      <w:r>
        <w:rPr>
          <w:rFonts w:ascii="Arial" w:cs="Arial" w:eastAsia="Arial" w:hAnsi="Arial"/>
          <w:b/>
          <w:bCs/>
          <w:sz w:val="21"/>
          <w:szCs w:val="21"/>
        </w:rPr>
        <w:t xml:space="preserve">Activate ClickHouse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8. End the session</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End session</w:t>
      </w:r>
      <w:r>
        <w:rPr>
          <w:rFonts w:ascii="Arial" w:cs="Arial" w:eastAsia="Arial" w:hAnsi="Arial"/>
          <w:sz w:val="21"/>
          <w:szCs w:val="21"/>
        </w:rPr>
        <w:t xml:space="preserve"> on the support banner in the app, or let it expire.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Reconcile</w:t>
      </w:r>
      <w:r>
        <w:rPr>
          <w:rFonts w:ascii="Arial" w:cs="Arial" w:eastAsia="Arial" w:hAnsi="Arial"/>
          <w:sz w:val="21"/>
          <w:szCs w:val="21"/>
        </w:rPr>
        <w:t xml:space="preserve"> on the Report Engines row shows PostgreSQL far smaller than ClickHouse. That is by design: the large volume was generated straight into ClickHouse, so the dev server's PostgreSQL disk is not filled.</w:t>
      </w:r>
    </w:p>
    <w:p>
      <w:pPr>
        <w:pStyle w:val="ListParagraph"/>
        <w:numPr>
          <w:ilvl w:val="0"/>
          <w:numId w:val="2"/>
        </w:numPr>
        <w:spacing w:after="60"/>
      </w:pPr>
      <w:r>
        <w:rPr>
          <w:rFonts w:ascii="Arial" w:cs="Arial" w:eastAsia="Arial" w:hAnsi="Arial"/>
          <w:sz w:val="21"/>
          <w:szCs w:val="21"/>
        </w:rPr>
        <w:t xml:space="preserve">The quarter-hourly </w:t>
      </w:r>
      <w:r>
        <w:rPr>
          <w:rFonts w:ascii="Consolas" w:cs="Consolas" w:eastAsia="Consolas" w:hAnsi="Consolas"/>
          <w:sz w:val="21"/>
          <w:szCs w:val="21"/>
        </w:rPr>
        <w:t xml:space="preserve">refresh-clickhouse-reporting</w:t>
      </w:r>
      <w:r>
        <w:rPr>
          <w:rFonts w:ascii="Arial" w:cs="Arial" w:eastAsia="Arial" w:hAnsi="Arial"/>
          <w:sz w:val="21"/>
          <w:szCs w:val="21"/>
        </w:rPr>
        <w:t xml:space="preserve"> job keeps copying the sample's recent changes to ClickHouse; it never removes the generated rows.</w:t>
      </w:r>
    </w:p>
    <w:p>
      <w:pPr>
        <w:pStyle w:val="ListParagraph"/>
        <w:numPr>
          <w:ilvl w:val="0"/>
          <w:numId w:val="2"/>
        </w:numPr>
        <w:spacing w:after="60"/>
      </w:pPr>
      <w:r>
        <w:rPr>
          <w:rFonts w:ascii="Arial" w:cs="Arial" w:eastAsia="Arial" w:hAnsi="Arial"/>
          <w:sz w:val="21"/>
          <w:szCs w:val="21"/>
        </w:rPr>
        <w:t xml:space="preserve">The seven POS reports (store sales, returns, margins) read uploaded files, which Insights keeps in PostgreSQL whatever the engine; they are not part of the ClickHouse comparison.</w:t>
      </w:r>
    </w:p>
    <w:p>
      <w:pPr>
        <w:pStyle w:val="ListParagraph"/>
        <w:numPr>
          <w:ilvl w:val="0"/>
          <w:numId w:val="2"/>
        </w:numPr>
        <w:spacing w:after="60"/>
      </w:pPr>
      <w:r>
        <w:rPr>
          <w:rFonts w:ascii="Arial" w:cs="Arial" w:eastAsia="Arial" w:hAnsi="Arial"/>
          <w:sz w:val="21"/>
          <w:szCs w:val="21"/>
        </w:rPr>
        <w:t xml:space="preserve">The back-office Security page lists </w:t>
      </w:r>
      <w:r>
        <w:rPr>
          <w:rFonts w:ascii="Consolas" w:cs="Consolas" w:eastAsia="Consolas" w:hAnsi="Consolas"/>
          <w:sz w:val="21"/>
          <w:szCs w:val="21"/>
        </w:rPr>
        <w:t xml:space="preserve">demo.admin@cityht.example</w:t>
      </w:r>
      <w:r>
        <w:rPr>
          <w:rFonts w:ascii="Arial" w:cs="Arial" w:eastAsia="Arial" w:hAnsi="Arial"/>
          <w:sz w:val="21"/>
          <w:szCs w:val="21"/>
        </w:rPr>
        <w:t xml:space="preserve"> as an account that looks like a test account (Low). Accept the risk there with a reason such as </w:t>
      </w:r>
      <w:r>
        <w:rPr>
          <w:rFonts w:ascii="Arial" w:cs="Arial" w:eastAsia="Arial" w:hAnsi="Arial"/>
          <w:i/>
          <w:iCs/>
          <w:sz w:val="21"/>
          <w:szCs w:val="21"/>
        </w:rPr>
        <w:t xml:space="preserve">demo workspace on the dev server</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Campaigns cannot be sent from City HT: it has no sending engine.</w:t>
      </w:r>
    </w:p>
    <w:p>
      <w:pPr>
        <w:pStyle w:val="Heading2"/>
        <w:spacing w:after="120" w:before="240"/>
      </w:pPr>
      <w:r>
        <w:rPr>
          <w:rFonts w:ascii="Arial" w:cs="Arial" w:eastAsia="Arial" w:hAnsi="Arial"/>
        </w:rPr>
        <w:t xml:space="preserve">Rebuilding or removing the demo</w:t>
      </w:r>
    </w:p>
    <w:p>
      <w:pPr>
        <w:spacing w:after="120"/>
      </w:pPr>
      <w:r>
        <w:rPr>
          <w:rFonts w:ascii="Arial" w:cs="Arial" w:eastAsia="Arial" w:hAnsi="Arial"/>
          <w:sz w:val="21"/>
          <w:szCs w:val="21"/>
        </w:rPr>
        <w:t xml:space="preserve">The scripts that built it are on the dev server in </w:t>
      </w:r>
      <w:r>
        <w:rPr>
          <w:rFonts w:ascii="Consolas" w:cs="Consolas" w:eastAsia="Consolas" w:hAnsi="Consolas"/>
          <w:sz w:val="21"/>
          <w:szCs w:val="21"/>
        </w:rPr>
        <w:t xml:space="preserve">~/cep-demo</w:t>
      </w:r>
      <w:r>
        <w:rPr>
          <w:rFonts w:ascii="Arial" w:cs="Arial" w:eastAsia="Arial" w:hAnsi="Arial"/>
          <w:sz w:val="21"/>
          <w:szCs w:val="21"/>
        </w:rPr>
        <w:t xml:space="preserve"> (they are never pushed to the repository); each runs with </w:t>
      </w:r>
      <w:r>
        <w:rPr>
          <w:rFonts w:ascii="Consolas" w:cs="Consolas" w:eastAsia="Consolas" w:hAnsi="Consolas"/>
          <w:sz w:val="21"/>
          <w:szCs w:val="21"/>
        </w:rPr>
        <w:t xml:space="preserve">manage.py shell -c "exec(open(...).read())"</w:t>
      </w:r>
      <w:r>
        <w:rPr>
          <w:rFonts w:ascii="Arial" w:cs="Arial" w:eastAsia="Arial" w:hAnsi="Arial"/>
          <w:sz w:val="21"/>
          <w:szCs w:val="21"/>
        </w:rPr>
        <w:t xml:space="preserve"> under the production settings, from </w:t>
      </w:r>
      <w:r>
        <w:rPr>
          <w:rFonts w:ascii="Consolas" w:cs="Consolas" w:eastAsia="Consolas" w:hAnsi="Consolas"/>
          <w:sz w:val="21"/>
          <w:szCs w:val="21"/>
        </w:rPr>
        <w:t xml:space="preserve">/app/cep/backend</w:t>
      </w:r>
      <w:r>
        <w:rPr>
          <w:rFonts w:ascii="Arial" w:cs="Arial" w:eastAsia="Arial" w:hAnsi="Arial"/>
          <w:sz w:val="21"/>
          <w:szCs w:val="21"/>
        </w:rPr>
        <w:t xml:space="preserv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Script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create_cityht.py</w:t>
            </w:r>
          </w:p>
        </w:tc>
        <w:tc>
          <w:tcPr>
            <w:tcW w:type="dxa" w:w="7480"/>
            <w:tcMar>
              <w:top w:type="dxa" w:w="60"/>
              <w:left w:type="dxa" w:w="90"/>
              <w:bottom w:type="dxa" w:w="60"/>
              <w:right w:type="dxa" w:w="90"/>
            </w:tcMar>
          </w:tcPr>
          <w:p>
            <w:r>
              <w:rPr>
                <w:rFonts w:ascii="Arial" w:cs="Arial" w:eastAsia="Arial" w:hAnsi="Arial"/>
                <w:sz w:val="19"/>
                <w:szCs w:val="19"/>
              </w:rPr>
              <w:t xml:space="preserve">Creates the workspace and its demo admin; does nothing if they exist.</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seed_insights_demo.py</w:t>
            </w:r>
            <w:r>
              <w:rPr>
                <w:rFonts w:ascii="Arial" w:cs="Arial" w:eastAsia="Arial" w:hAnsi="Arial"/>
                <w:sz w:val="19"/>
                <w:szCs w:val="19"/>
              </w:rPr>
              <w:t xml:space="preserve"> with </w:t>
            </w:r>
            <w:r>
              <w:rPr>
                <w:rFonts w:ascii="Consolas" w:cs="Consolas" w:eastAsia="Consolas" w:hAnsi="Consolas"/>
                <w:sz w:val="19"/>
                <w:szCs w:val="19"/>
              </w:rPr>
              <w:t xml:space="preserve">DEMO_TENANT=CITYHT</w:t>
            </w:r>
          </w:p>
        </w:tc>
        <w:tc>
          <w:tcPr>
            <w:tcW w:type="dxa" w:w="7480"/>
            <w:tcMar>
              <w:top w:type="dxa" w:w="60"/>
              <w:left w:type="dxa" w:w="90"/>
              <w:bottom w:type="dxa" w:w="60"/>
              <w:right w:type="dxa" w:w="90"/>
            </w:tcMar>
          </w:tcPr>
          <w:p>
            <w:r>
              <w:rPr>
                <w:rFonts w:ascii="Arial" w:cs="Arial" w:eastAsia="Arial" w:hAnsi="Arial"/>
                <w:sz w:val="19"/>
                <w:szCs w:val="19"/>
              </w:rPr>
              <w:t xml:space="preserve">The PostgreSQL sample, reports and dashboards; </w:t>
            </w:r>
            <w:r>
              <w:rPr>
                <w:rFonts w:ascii="Consolas" w:cs="Consolas" w:eastAsia="Consolas" w:hAnsi="Consolas"/>
                <w:sz w:val="19"/>
                <w:szCs w:val="19"/>
              </w:rPr>
              <w:t xml:space="preserve">DEMO_MODE=clean</w:t>
            </w:r>
            <w:r>
              <w:rPr>
                <w:rFonts w:ascii="Arial" w:cs="Arial" w:eastAsia="Arial" w:hAnsi="Arial"/>
                <w:sz w:val="19"/>
                <w:szCs w:val="19"/>
              </w:rPr>
              <w:t xml:space="preserve"> removes them.</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cityht_backfill_vocab.py</w:t>
            </w:r>
          </w:p>
        </w:tc>
        <w:tc>
          <w:tcPr>
            <w:tcW w:type="dxa" w:w="7480"/>
            <w:tcMar>
              <w:top w:type="dxa" w:w="60"/>
              <w:left w:type="dxa" w:w="90"/>
              <w:bottom w:type="dxa" w:w="60"/>
              <w:right w:type="dxa" w:w="90"/>
            </w:tcMar>
          </w:tcPr>
          <w:p>
            <w:r>
              <w:rPr>
                <w:rFonts w:ascii="Arial" w:cs="Arial" w:eastAsia="Arial" w:hAnsi="Arial"/>
                <w:sz w:val="19"/>
                <w:szCs w:val="19"/>
              </w:rPr>
              <w:t xml:space="preserve">Copies the sample into ClickHouse (Backfill) and prints its values.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cityht_generate.py</w:t>
            </w:r>
          </w:p>
        </w:tc>
        <w:tc>
          <w:tcPr>
            <w:tcW w:type="dxa" w:w="7480"/>
            <w:tcMar>
              <w:top w:type="dxa" w:w="60"/>
              <w:left w:type="dxa" w:w="90"/>
              <w:bottom w:type="dxa" w:w="60"/>
              <w:right w:type="dxa" w:w="90"/>
            </w:tcMar>
          </w:tcPr>
          <w:p>
            <w:r>
              <w:rPr>
                <w:rFonts w:ascii="Arial" w:cs="Arial" w:eastAsia="Arial" w:hAnsi="Arial"/>
                <w:sz w:val="19"/>
                <w:szCs w:val="19"/>
              </w:rPr>
              <w:t xml:space="preserve">Removes and regenerates the large volume inside ClickHouse, merges the tables and sets the engine to ClickHouse (about 90 seconds).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cityht_timing.py</w:t>
            </w:r>
          </w:p>
        </w:tc>
        <w:tc>
          <w:tcPr>
            <w:tcW w:type="dxa" w:w="7480"/>
            <w:tcMar>
              <w:top w:type="dxa" w:w="60"/>
              <w:left w:type="dxa" w:w="90"/>
              <w:bottom w:type="dxa" w:w="60"/>
              <w:right w:type="dxa" w:w="90"/>
            </w:tcMar>
          </w:tcPr>
          <w:p>
            <w:r>
              <w:rPr>
                <w:rFonts w:ascii="Arial" w:cs="Arial" w:eastAsia="Arial" w:hAnsi="Arial"/>
                <w:sz w:val="19"/>
                <w:szCs w:val="19"/>
              </w:rPr>
              <w:t xml:space="preserve">Times the saved reports through the report runner.</w:t>
            </w:r>
          </w:p>
        </w:tc>
      </w:tr>
    </w:tbl>
    <w:p>
      <w:pPr>
        <w:spacing w:after="120"/>
      </w:pPr>
    </w:p>
    <w:p>
      <w:pPr>
        <w:spacing w:after="120"/>
      </w:pPr>
      <w:r>
        <w:rPr>
          <w:rFonts w:ascii="Arial" w:cs="Arial" w:eastAsia="Arial" w:hAnsi="Arial"/>
          <w:sz w:val="21"/>
          <w:szCs w:val="21"/>
        </w:rPr>
        <w:t xml:space="preserve">To remove the large volume only, roll the workspace back to PostgreSQL and delete the generated rows in ClickHouse (their ids start with </w:t>
      </w:r>
      <w:r>
        <w:rPr>
          <w:rFonts w:ascii="Consolas" w:cs="Consolas" w:eastAsia="Consolas" w:hAnsi="Consolas"/>
          <w:sz w:val="21"/>
          <w:szCs w:val="21"/>
        </w:rPr>
        <w:t xml:space="preserve">g</w:t>
      </w:r>
      <w:r>
        <w:rPr>
          <w:rFonts w:ascii="Arial" w:cs="Arial" w:eastAsia="Arial" w:hAnsi="Arial"/>
          <w:sz w:val="21"/>
          <w:szCs w:val="21"/>
        </w:rPr>
        <w:t xml:space="preserve">, </w:t>
      </w:r>
      <w:r>
        <w:rPr>
          <w:rFonts w:ascii="Consolas" w:cs="Consolas" w:eastAsia="Consolas" w:hAnsi="Consolas"/>
          <w:sz w:val="21"/>
          <w:szCs w:val="21"/>
        </w:rPr>
        <w:t xml:space="preserve">go</w:t>
      </w:r>
      <w:r>
        <w:rPr>
          <w:rFonts w:ascii="Arial" w:cs="Arial" w:eastAsia="Arial" w:hAnsi="Arial"/>
          <w:sz w:val="21"/>
          <w:szCs w:val="21"/>
        </w:rPr>
        <w:t xml:space="preserve">, </w:t>
      </w:r>
      <w:r>
        <w:rPr>
          <w:rFonts w:ascii="Consolas" w:cs="Consolas" w:eastAsia="Consolas" w:hAnsi="Consolas"/>
          <w:sz w:val="21"/>
          <w:szCs w:val="21"/>
        </w:rPr>
        <w:t xml:space="preserve">gj</w:t>
      </w:r>
      <w:r>
        <w:rPr>
          <w:rFonts w:ascii="Arial" w:cs="Arial" w:eastAsia="Arial" w:hAnsi="Arial"/>
          <w:sz w:val="21"/>
          <w:szCs w:val="21"/>
        </w:rPr>
        <w:t xml:space="preserve"> and </w:t>
      </w:r>
      <w:r>
        <w:rPr>
          <w:rFonts w:ascii="Consolas" w:cs="Consolas" w:eastAsia="Consolas" w:hAnsi="Consolas"/>
          <w:sz w:val="21"/>
          <w:szCs w:val="21"/>
        </w:rPr>
        <w:t xml:space="preserve">CHT-</w:t>
      </w:r>
      <w:r>
        <w:rPr>
          <w:rFonts w:ascii="Arial" w:cs="Arial" w:eastAsia="Arial" w:hAnsi="Arial"/>
          <w:sz w:val="21"/>
          <w:szCs w:val="21"/>
        </w:rPr>
        <w:t xml:space="preserve">), as the start of </w:t>
      </w:r>
      <w:r>
        <w:rPr>
          <w:rFonts w:ascii="Consolas" w:cs="Consolas" w:eastAsia="Consolas" w:hAnsi="Consolas"/>
          <w:sz w:val="21"/>
          <w:szCs w:val="21"/>
        </w:rPr>
        <w:t xml:space="preserve">cityht_generate.py</w:t>
      </w:r>
      <w:r>
        <w:rPr>
          <w:rFonts w:ascii="Arial" w:cs="Arial" w:eastAsia="Arial" w:hAnsi="Arial"/>
          <w:sz w:val="21"/>
          <w:szCs w:val="21"/>
        </w:rPr>
        <w:t xml:space="preserve"> does.</w:t>
      </w: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Report Datasets and Report Engines (switching any workspace between PostgreSQL and ClickHouse); Tenants and People and Access (the workspace and its user); Security (accepting the demo admin as a known risk).</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 A prompt may run to 100,000 characters and carry up to three documents (a spec as PDF, Word, Excel, CSV, text or Markdown) and five images, sent to the provider with the prompt and never stored; a PDF goes to the model as it is, a Word file as its text, an Excel workbook as its sheets' rows (500 a sheet at most). For one of a workspace's Report Databases the model may also be given the names and columns of tables not mapped yet; a draft on them is mapped as a dataset only when someone opens it.</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2026-10-23T17:15:12.005Z</dcterms:created>
  <dcterms:modified xsi:type="dcterms:W3CDTF">2026-10-23T17:15:12.005Z</dcterms:modified>
</cp:coreProperties>
</file>

<file path=docProps/custom.xml><?xml version="1.0" encoding="utf-8"?>
<Properties xmlns="http://schemas.openxmlformats.org/officeDocument/2006/custom-properties" xmlns:vt="http://schemas.openxmlformats.org/officeDocument/2006/docPropsVTypes"/>
</file>