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CEP Platform Guide</w:t>
      </w:r>
    </w:p>
    <w:p>
      <w:pPr>
        <w:spacing w:after="200"/>
      </w:pPr>
      <w:r>
        <w:rPr>
          <w:rFonts w:ascii="Arial" w:cs="Arial" w:eastAsia="Arial" w:hAnsi="Arial"/>
          <w:color w:val="555B6E"/>
          <w:sz w:val="28"/>
          <w:szCs w:val="28"/>
        </w:rPr>
        <w:t xml:space="preserve">For the platform team in the back-office</w:t>
      </w:r>
    </w:p>
    <w:p>
      <w:r>
        <w:rPr>
          <w:rFonts w:ascii="Arial" w:cs="Arial" w:eastAsia="Arial" w:hAnsi="Arial"/>
          <w:color w:val="555B6E"/>
          <w:sz w:val="20"/>
          <w:szCs w:val="20"/>
        </w:rPr>
        <w:t xml:space="preserve">Built 2026-10-03 from docs/manuals/platform-guide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p>
      <w:pPr>
        <w:spacing w:after="40"/>
        <w:ind w:left="0"/>
      </w:pPr>
      <w:r>
        <w:rPr>
          <w:rFonts w:ascii="Arial" w:cs="Arial" w:eastAsia="Arial" w:hAnsi="Arial"/>
          <w:sz w:val="22"/>
          <w:szCs w:val="22"/>
        </w:rPr>
        <w:t xml:space="preserve">The CEP Platform Guide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What the back-office does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Chapters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The CEP Platform Guide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This guide is for the platform team: the people who run the back-office at </w:t>
      </w:r>
      <w:r>
        <w:rPr>
          <w:rFonts w:ascii="Consolas" w:cs="Consolas" w:eastAsia="Consolas" w:hAnsi="Consolas"/>
          <w:sz w:val="21"/>
          <w:szCs w:val="21"/>
        </w:rPr>
        <w:t xml:space="preserve">/admin</w:t>
      </w:r>
      <w:r>
        <w:rPr>
          <w:rFonts w:ascii="Arial" w:cs="Arial" w:eastAsia="Arial" w:hAnsi="Arial"/>
          <w:sz w:val="21"/>
          <w:szCs w:val="21"/>
        </w:rPr>
        <w:t xml:space="preserve">, create workspaces for customers and keep the installation healthy. Workspace users have their own guide, the CEP User Guide.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What the back-office does</w:t>
      </w:r>
    </w:p>
    <w:tbl>
      <w:tblPr>
        <w:tblW w:type="dxa" w:w="10080"/>
        <w:tblBorders>
          <w:top w:val="single" w:color="D9DBE3" w:sz="4"/>
          <w:left w:val="none"/>
          <w:bottom w:val="single" w:color="D9DBE3" w:sz="4"/>
          <w:right w:val="none"/>
          <w:insideH w:val="single" w:color="E6E8EF" w:sz="4"/>
          <w:insideV w:val="none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748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lives there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Tenants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Every workspace: onboarding (the six-step flow), its readiness panel, its industry profile and feature switches, its settings, its subscription and invoices, moving or exporting its data.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Plans and billing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plans a workspace can be on, their limits, the monthly usage roll-up and the invoices it raises.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Users and roles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platform's own staff accounts, and a view of every workspace's users and roles.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Industry profiles, the platform's personalization tags inherited by every workspace, global parameters (typed fields), the platform's mail server.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Operations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Scheduled jobs and their runs, platform alerts, the health page, support sessions into a workspace, identity providers for single sign-on, the audit of definition changes.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Delivery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Every workspace's sending engines and the delivery log, read-only here.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Chapters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 chapters follow the back-office menu; each has the same shape as the User Guide's: what the page is for, who can use it, the fields and what each changes, how to, what happens behind the scenes, things to know.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Signing in and the two kinds of account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Tenants: the list, the readiness panel, a tenant's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Onboarding a tenant, step by step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Industry profiles and features: what each feature switches on in the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Plans, subscriptions, usage and invoices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Global parameters and what each one affects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platform's mail server and the mails the platform sends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Personalization tags and how a workspace inherits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Users, roles and support sessions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Scheduled jobs, alerts and the health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Single sign-on for a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Delivery engines across workspaces and the delivery log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These chapters are written in the next slices of the guide.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</w:pPr>
    <w:rPr>
      <w:rFonts w:ascii="Arial" w:cs="Arial" w:eastAsia="Arial" w:hAnsi="Arial"/>
      <w:b/>
      <w:bCs/>
      <w:color w:val="1F24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1F24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Arial" w:cs="Arial" w:eastAsia="Arial" w:hAnsi="Arial"/>
      <w:b/>
      <w:bCs/>
      <w:color w:val="2A3052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</w:pPr>
    <w:rPr>
      <w:rFonts w:ascii="Arial" w:cs="Arial" w:eastAsia="Arial" w:hAnsi="Arial"/>
      <w:b/>
      <w:bCs/>
      <w:color w:val="555B6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2026-10-03T17:03:40.017Z</dcterms:created>
  <dcterms:modified xsi:type="dcterms:W3CDTF">2026-10-03T17:03:40.017Z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