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200"/>
      </w:pPr>
      <w:r>
        <w:rPr>
          <w:rFonts w:ascii="Calibri" w:cs="Calibri" w:eastAsia="Calibri" w:hAnsi="Calibri"/>
          <w:b/>
          <w:bCs/>
          <w:color w:val="2753E4"/>
          <w:spacing w:val="40"/>
          <w:sz w:val="22"/>
          <w:szCs w:val="22"/>
        </w:rPr>
        <w:t xml:space="preserve">C360 PRODUCTION ROLLOUT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2937"/>
          <w:sz w:val="56"/>
          <w:szCs w:val="56"/>
        </w:rPr>
        <w:t xml:space="preserve">Insights in production</w:t>
      </w:r>
    </w:p>
    <w:p>
      <w:pPr>
        <w:pBdr>
          <w:bottom w:val="single" w:color="2753E4" w:sz="8" w:space="12"/>
        </w:pBdr>
        <w:spacing w:after="480"/>
      </w:pPr>
      <w:r>
        <w:rPr>
          <w:rFonts w:ascii="Calibri" w:cs="Calibri" w:eastAsia="Calibri" w:hAnsi="Calibri"/>
          <w:color w:val="6B7280"/>
          <w:sz w:val="26"/>
          <w:szCs w:val="26"/>
        </w:rPr>
        <w:t xml:space="preserve">A clean production database, a platform super user who can enter every workspace, a demo workspace with today's demo data, and reports on the customer's own MySQL database without slowing it down.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D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At a glance</w:t>
            </w:r>
          </w:p>
        </w:tc>
        <w:tc>
          <w:tcPr>
            <w:tcW w:type="dxa" w:w="64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D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Production server</w:t>
            </w:r>
          </w:p>
        </w:tc>
        <w:tc>
          <w:tcPr>
            <w:tcW w:type="dxa" w:w="64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7" w:val="clear"/>
              </w:rPr>
              <w:t xml:space="preserve">192.168.10.18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, with the database on the same server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Product</w:t>
            </w:r>
          </w:p>
        </w:tc>
        <w:tc>
          <w:tcPr>
            <w:tcW w:type="dxa" w:w="64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Insights only (the reports engine)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Platform super user</w:t>
            </w:r>
          </w:p>
        </w:tc>
        <w:tc>
          <w:tcPr>
            <w:tcW w:type="dxa" w:w="64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7" w:val="clear"/>
              </w:rPr>
              <w:t xml:space="preserve">platform@aiintelekt.com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Customer database</w:t>
            </w:r>
          </w:p>
        </w:tc>
        <w:tc>
          <w:tcPr>
            <w:tcW w:type="dxa" w:w="64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MySQL 5.7, no read replica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Plan of</w:t>
            </w:r>
          </w:p>
        </w:tc>
        <w:tc>
          <w:tcPr>
            <w:tcW w:type="dxa" w:w="64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22 October 2026 (updated with the answers of the same day)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Style w:val="Heading1"/>
        <w:keepNext/>
        <w:pageBreakBefore/>
        <w:spacing w:after="160" w:before="360"/>
      </w:pPr>
      <w:r>
        <w:rPr>
          <w:rFonts w:ascii="Calibri" w:cs="Calibri" w:eastAsia="Calibri" w:hAnsi="Calibri"/>
          <w:b/>
          <w:bCs/>
          <w:color w:val="2753E4"/>
          <w:sz w:val="32"/>
          <w:szCs w:val="32"/>
        </w:rPr>
        <w:t xml:space="preserve">1. Decisions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D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Topic</w:t>
            </w:r>
          </w:p>
        </w:tc>
        <w:tc>
          <w:tcPr>
            <w:tcW w:type="dxa" w:w="65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D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Decision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Server</w:t>
            </w:r>
          </w:p>
        </w:tc>
        <w:tc>
          <w:tcPr>
            <w:tcW w:type="dxa" w:w="65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A new production server,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7" w:val="clear"/>
              </w:rPr>
              <w:t xml:space="preserve">192.168.10.18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(reached at port 8811 today). The application and its PostgreSQL database run on the same machine. The dev server (10.0.0.51) and the release-test server (10.0.0.56) stay as they are.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Product</w:t>
            </w:r>
          </w:p>
        </w:tc>
        <w:tc>
          <w:tcPr>
            <w:tcW w:type="dxa" w:w="65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Insights only. Production workspaces are on the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Insights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plan, which includes the reports engine and not Engagement.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Platform super user</w:t>
            </w:r>
          </w:p>
        </w:tc>
        <w:tc>
          <w:tcPr>
            <w:tcW w:type="dxa" w:w="65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7" w:val="clear"/>
              </w:rPr>
              <w:t xml:space="preserve">platform@aiintelekt.com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, in its own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Platform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workspace: the back-office for every workspace, and a Switch Workspace menu in the app.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Switching workspace</w:t>
            </w:r>
          </w:p>
        </w:tc>
        <w:tc>
          <w:tcPr>
            <w:tcW w:type="dxa" w:w="65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Every switch is recorded and shown to that workspace's administrators, like Sign In As today.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Demo workspace</w:t>
            </w:r>
          </w:p>
        </w:tc>
        <w:tc>
          <w:tcPr>
            <w:tcW w:type="dxa" w:w="65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Today's NWA workspace, with its demo data, copied into production as its own workspace. None of NWA's sign-ins come with it: their accounts arrive disabled and without a password, kept only as the authors of the data. The super user reaches the demo through Switch Workspace.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Database scripts</w:t>
            </w:r>
          </w:p>
        </w:tc>
        <w:tc>
          <w:tcPr>
            <w:tcW w:type="dxa" w:w="65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One script builds the empty production database; a separate script loads the reference data and the first platform administrator; another loads the demo data.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Customer data</w:t>
            </w:r>
          </w:p>
        </w:tc>
        <w:tc>
          <w:tcPr>
            <w:tcW w:type="dxa" w:w="65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Reports read the customer's MySQL 5.7 database through Report Databases. It has no read replica, so the limits in section 3 apply, and a nightly copy into ClickHouse is recommended.</w:t>
            </w:r>
          </w:p>
        </w:tc>
      </w:tr>
    </w:tbl>
    <w:p>
      <w:pPr>
        <w:spacing w:after="140"/>
      </w:pPr>
    </w:p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  <w:b/>
          <w:bCs/>
          <w:color w:val="2753E4"/>
          <w:sz w:val="32"/>
          <w:szCs w:val="32"/>
        </w:rPr>
        <w:t xml:space="preserve">2. Work before the install</w:t>
      </w:r>
    </w:p>
    <w:p>
      <w:pPr>
        <w:spacing w:after="120" w:line="288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Six changes to the code, each its own pull request, tested before the install.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500"/>
        <w:gridCol w:w="4526"/>
        <w:gridCol w:w="1500"/>
      </w:tblGrid>
      <w:tr>
        <w:trPr>
          <w:tblHeader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D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#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D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Change</w:t>
            </w:r>
          </w:p>
        </w:tc>
        <w:tc>
          <w:tcPr>
            <w:tcW w:type="dxa" w:w="45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D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What it does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D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1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Production database scripts</w:t>
            </w:r>
          </w:p>
        </w:tc>
        <w:tc>
          <w:tcPr>
            <w:tcW w:type="dxa" w:w="45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7" w:val="clear"/>
              </w:rPr>
              <w:t xml:space="preserve">build_production_db.sh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(the empty database, without sample data),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7" w:val="clear"/>
              </w:rPr>
              <w:t xml:space="preserve">load_reference_data.sh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(production settings, the Platform workspace and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7" w:val="clear"/>
              </w:rPr>
              <w:t xml:space="preserve">platform@aiintelekt.com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),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7" w:val="clear"/>
              </w:rPr>
              <w:t xml:space="preserve">verify.sql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7" w:val="clear"/>
              </w:rPr>
              <w:t xml:space="preserve">apply_patch.sh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with a record of applied patches. Patch 0072 puts the core permissions into the schema (until now only the demo seed had them) and adds the Insights plan. Rehearsed on a throwaway database; a CI job builds one on every change.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Built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, awaiting commit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2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Insights-only workspaces</w:t>
            </w:r>
          </w:p>
        </w:tc>
        <w:tc>
          <w:tcPr>
            <w:tcW w:type="dxa" w:w="45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The Insights plan exists (patch 0072). Check every screen an Insights-only workspace reaches: the launcher, the first page after sign-in, Settings, the help; no Engagement page or menu item.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Next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3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Copy a workspace to another database</w:t>
            </w:r>
          </w:p>
        </w:tc>
        <w:tc>
          <w:tcPr>
            <w:tcW w:type="dxa" w:w="45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Export a workspace with every table and a checksum, load it into another installation (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7" w:val="clear"/>
              </w:rPr>
              <w:t xml:space="preserve">load_demo_data.sh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). NWA's people arrive disabled, without passwords, with placeholder addresses; the logs stay behind. Secrets do not travel: keys are entered again on production. Rehearsed with the local NWA: 38,506 rows in 108 tables, and all 20 demo reports run on the copy.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4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Switch Workspace</w:t>
            </w:r>
          </w:p>
        </w:tc>
        <w:tc>
          <w:tcPr>
            <w:tcW w:type="dxa" w:w="45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A menu for platform administrators with a search over every workspace. You enter as yourself with full rights; each switch is recorded and listed for the workspace's administrators. Plan, mockup with options, your pick, then the build.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Next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5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Protecting the customer's database</w:t>
            </w:r>
          </w:p>
        </w:tc>
        <w:tc>
          <w:tcPr>
            <w:tcW w:type="dxa" w:w="45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A time limit and a parallel-query cap set per connection, tighter for a production database than a test one; and the nightly copy of the mapped tables into ClickHouse, so working-hours reports never touch the MySQL database.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Next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6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Deployment guide</w:t>
            </w:r>
          </w:p>
        </w:tc>
        <w:tc>
          <w:tcPr>
            <w:tcW w:type="dxa" w:w="45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The C360 Deployment Guide 2.0: the layout the servers run now (the job scheduler instead of Celery, the separate Insights service), the new scripts, the MySQL reporting account.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Built</w:t>
            </w:r>
          </w:p>
        </w:tc>
      </w:tr>
    </w:tbl>
    <w:p>
      <w:pPr>
        <w:spacing w:after="140"/>
      </w:pPr>
    </w:p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  <w:b/>
          <w:bCs/>
          <w:color w:val="2753E4"/>
          <w:sz w:val="32"/>
          <w:szCs w:val="32"/>
        </w:rPr>
        <w:t xml:space="preserve">3. Reports on the customer's MySQL database</w:t>
      </w:r>
    </w:p>
    <w:p>
      <w:pPr>
        <w:spacing w:after="120" w:line="288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Insights reads the database the customer's business runs on. Without a read replica, the protection comes from the limits below, an account made for C360 alone, and, best, a nightly copy.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826"/>
        <w:gridCol w:w="1500"/>
      </w:tblGrid>
      <w:tr>
        <w:trPr>
          <w:tblHeader/>
        </w:trPr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D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Guard</w:t>
            </w:r>
          </w:p>
        </w:tc>
        <w:tc>
          <w:tcPr>
            <w:tcW w:type="dxa" w:w="48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D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What it does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D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Read-only session</w:t>
            </w:r>
          </w:p>
        </w:tc>
        <w:tc>
          <w:tcPr>
            <w:tcW w:type="dxa" w:w="48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Every query runs in a read-only transaction; Test Connection warns when the account can write.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In place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Time limit</w:t>
            </w:r>
          </w:p>
        </w:tc>
        <w:tc>
          <w:tcPr>
            <w:tcW w:type="dxa" w:w="48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A query stops after 15 seconds on MySQL itself (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7" w:val="clear"/>
              </w:rPr>
              <w:t xml:space="preserve">max_execution_time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).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In place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Row limits</w:t>
            </w:r>
          </w:p>
        </w:tc>
        <w:tc>
          <w:tcPr>
            <w:tcW w:type="dxa" w:w="48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200 rows in a preview, 5,000 in a run, 100,000 in an export.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In place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Parallel queries</w:t>
            </w:r>
          </w:p>
        </w:tc>
        <w:tc>
          <w:tcPr>
            <w:tcW w:type="dxa" w:w="48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At most 4 reports at once per workspace; the rest wait.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In place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Result cache</w:t>
            </w:r>
          </w:p>
        </w:tc>
        <w:tc>
          <w:tcPr>
            <w:tcW w:type="dxa" w:w="48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The same report again within a minute is answered from the cache.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In place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Per-connection limits</w:t>
            </w:r>
          </w:p>
        </w:tc>
        <w:tc>
          <w:tcPr>
            <w:tcW w:type="dxa" w:w="48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A time limit and a parallel-query cap on each connection.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To build (change 5)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Nightly copy</w:t>
            </w:r>
          </w:p>
        </w:tc>
        <w:tc>
          <w:tcPr>
            <w:tcW w:type="dxa" w:w="48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The mapped tables copied into ClickHouse each night; reports read the copy.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To build (change 5)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10" w:before="260"/>
      </w:pPr>
      <w:r>
        <w:rPr>
          <w:rFonts w:ascii="Calibri" w:cs="Calibri" w:eastAsia="Calibri" w:hAnsi="Calibri"/>
          <w:b/>
          <w:bCs/>
          <w:color w:val="1F2937"/>
          <w:sz w:val="25"/>
          <w:szCs w:val="25"/>
        </w:rPr>
        <w:t xml:space="preserve">On the customer's side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A reporting account for C360 alone, with its own connection cap, able to read only the tables reports need:</w:t>
      </w:r>
    </w:p>
    <w:p>
      <w:pPr>
        <w:keepLines/>
        <w:pBdr>
          <w:left w:val="single" w:color="2753E4" w:sz="12" w:space="6"/>
        </w:pBdr>
        <w:shd w:fill="F3F4F6" w:val="clear"/>
        <w:spacing w:after="0" w:before="40" w:line="250"/>
        <w:ind w:left="120" w:right="120"/>
      </w:pPr>
      <w:r>
        <w:rPr>
          <w:rFonts w:ascii="Consolas" w:cs="Consolas" w:eastAsia="Consolas" w:hAnsi="Consolas"/>
          <w:color w:val="0F172A"/>
          <w:sz w:val="17"/>
          <w:szCs w:val="17"/>
        </w:rPr>
        <w:t xml:space="preserve">CREATE USER 'c360_reports'@'192.168.10.18' IDENTIFIED BY '&lt;generated&gt;' WITH MAX_USER_CONNECTIONS 4;</w:t>
      </w:r>
    </w:p>
    <w:p>
      <w:pPr>
        <w:keepLines/>
        <w:pBdr>
          <w:left w:val="single" w:color="2753E4" w:sz="12" w:space="6"/>
        </w:pBdr>
        <w:shd w:fill="F3F4F6" w:val="clear"/>
        <w:spacing w:after="160" w:before="0" w:line="250"/>
        <w:ind w:left="120" w:right="120"/>
      </w:pPr>
      <w:r>
        <w:rPr>
          <w:rFonts w:ascii="Consolas" w:cs="Consolas" w:eastAsia="Consolas" w:hAnsi="Consolas"/>
          <w:color w:val="0F172A"/>
          <w:sz w:val="17"/>
          <w:szCs w:val="17"/>
        </w:rPr>
        <w:t xml:space="preserve">GRANT SELECT ON shopdb.* TO 'c360_reports'@'192.168.10.18';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Indexes on the columns reports filter and group on, above all dates.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Heavy reports scheduled outside business hours.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The MySQL port open to the production server only.</w:t>
      </w:r>
    </w:p>
    <w:p>
      <w:pPr>
        <w:pBdr>
          <w:left w:val="single" w:color="D97706" w:sz="18" w:space="6"/>
        </w:pBdr>
        <w:shd w:fill="FEF3C7" w:val="clear"/>
        <w:spacing w:after="160" w:before="80" w:line="280"/>
        <w:ind w:left="120" w:right="12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MySQL 5.7.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It has been out of support since October 2023. Plan its upgrade (or a replica on a supported version) with the customer.</w:t>
      </w:r>
    </w:p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  <w:b/>
          <w:bCs/>
          <w:color w:val="2753E4"/>
          <w:sz w:val="32"/>
          <w:szCs w:val="32"/>
        </w:rPr>
        <w:t xml:space="preserve">4. Server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Tag the release.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Tag main once the changes are merged (for example </w:t>
      </w:r>
      <w:r>
        <w:rPr>
          <w:rFonts w:ascii="Consolas" w:cs="Consolas" w:eastAsia="Consolas" w:hAnsi="Consolas"/>
          <w:color w:val="0F172A"/>
          <w:sz w:val="19"/>
          <w:szCs w:val="19"/>
          <w:shd w:fill="EEF2F7" w:val="clear"/>
        </w:rPr>
        <w:t xml:space="preserve">v1.2.0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) and deploy the tag, never a branch.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Prepare the machine.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Python 3.12 or later, Node 22 to build the front end, nginx, Redis 7 and PostgreSQL 18, a </w:t>
      </w:r>
      <w:r>
        <w:rPr>
          <w:rFonts w:ascii="Consolas" w:cs="Consolas" w:eastAsia="Consolas" w:hAnsi="Consolas"/>
          <w:color w:val="0F172A"/>
          <w:sz w:val="19"/>
          <w:szCs w:val="19"/>
          <w:shd w:fill="EEF2F7" w:val="clear"/>
        </w:rPr>
        <w:t xml:space="preserve">cep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service account, </w:t>
      </w:r>
      <w:r>
        <w:rPr>
          <w:rFonts w:ascii="Consolas" w:cs="Consolas" w:eastAsia="Consolas" w:hAnsi="Consolas"/>
          <w:color w:val="0F172A"/>
          <w:sz w:val="19"/>
          <w:szCs w:val="19"/>
          <w:shd w:fill="EEF2F7" w:val="clear"/>
        </w:rPr>
        <w:t xml:space="preserve">/opt/cep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for the code and </w:t>
      </w:r>
      <w:r>
        <w:rPr>
          <w:rFonts w:ascii="Consolas" w:cs="Consolas" w:eastAsia="Consolas" w:hAnsi="Consolas"/>
          <w:color w:val="0F172A"/>
          <w:sz w:val="19"/>
          <w:szCs w:val="19"/>
          <w:shd w:fill="EEF2F7" w:val="clear"/>
        </w:rPr>
        <w:t xml:space="preserve">/var/log/cep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for the logs. PostgreSQL and Redis listen on localhost only.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Install.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Clone at the tag, create the Python environment, build the front end.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Settings.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A production </w:t>
      </w:r>
      <w:r>
        <w:rPr>
          <w:rFonts w:ascii="Consolas" w:cs="Consolas" w:eastAsia="Consolas" w:hAnsi="Consolas"/>
          <w:color w:val="0F172A"/>
          <w:sz w:val="19"/>
          <w:szCs w:val="19"/>
          <w:shd w:fill="EEF2F7" w:val="clear"/>
        </w:rPr>
        <w:t xml:space="preserve">.env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readable by the service account only, with 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new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0F172A"/>
          <w:sz w:val="19"/>
          <w:szCs w:val="19"/>
          <w:shd w:fill="EEF2F7" w:val="clear"/>
        </w:rPr>
        <w:t xml:space="preserve">SECRET_KEY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F172A"/>
          <w:sz w:val="19"/>
          <w:szCs w:val="19"/>
          <w:shd w:fill="EEF2F7" w:val="clear"/>
        </w:rPr>
        <w:t xml:space="preserve">FIELD_ENCRYPTION_KEY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the server's address in the allowed hosts and URLs, and the production mail server.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Services.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System services for the API, the Insights engine and the job scheduler, each restarting on failure.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Web server.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nginx with HTTPS, the React files, and the proxy to the two services.</w:t>
      </w:r>
    </w:p>
    <w:p>
      <w:pPr>
        <w:spacing w:after="120" w:line="288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The commands are in the C360 Deployment Guide 2.0, sections 4 to 8.</w:t>
      </w:r>
    </w:p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  <w:b/>
          <w:bCs/>
          <w:color w:val="2753E4"/>
          <w:sz w:val="32"/>
          <w:szCs w:val="32"/>
        </w:rPr>
        <w:t xml:space="preserve">5. Database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Build.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Create the empty database and run </w:t>
      </w:r>
      <w:r>
        <w:rPr>
          <w:rFonts w:ascii="Consolas" w:cs="Consolas" w:eastAsia="Consolas" w:hAnsi="Consolas"/>
          <w:color w:val="0F172A"/>
          <w:sz w:val="19"/>
          <w:szCs w:val="19"/>
          <w:shd w:fill="EEF2F7" w:val="clear"/>
        </w:rPr>
        <w:t xml:space="preserve">build_production_db.sh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It asks for the passwords of the app's two database logins; the same go into </w:t>
      </w:r>
      <w:r>
        <w:rPr>
          <w:rFonts w:ascii="Consolas" w:cs="Consolas" w:eastAsia="Consolas" w:hAnsi="Consolas"/>
          <w:color w:val="0F172A"/>
          <w:sz w:val="19"/>
          <w:szCs w:val="19"/>
          <w:shd w:fill="EEF2F7" w:val="clear"/>
        </w:rPr>
        <w:t xml:space="preserve">.env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Reference data.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0F172A"/>
          <w:sz w:val="19"/>
          <w:szCs w:val="19"/>
          <w:shd w:fill="EEF2F7" w:val="clear"/>
        </w:rPr>
        <w:t xml:space="preserve">load_reference_data.sh platform@aiintelekt.com "Platform Admin"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: staff must use two-step verification, people are told about platform access, the public address; then the Platform workspace and the super user, whose password it asks for twice.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Check.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0F172A"/>
          <w:sz w:val="19"/>
          <w:szCs w:val="19"/>
          <w:shd w:fill="EEF2F7" w:val="clear"/>
        </w:rPr>
        <w:t xml:space="preserve">verify.sql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lists what is there and stops with the reason if anything is missing.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Two-step verification.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Sign in to the back-office as </w:t>
      </w:r>
      <w:r>
        <w:rPr>
          <w:rFonts w:ascii="Consolas" w:cs="Consolas" w:eastAsia="Consolas" w:hAnsi="Consolas"/>
          <w:color w:val="0F172A"/>
          <w:sz w:val="19"/>
          <w:szCs w:val="19"/>
          <w:shd w:fill="EEF2F7" w:val="clear"/>
        </w:rPr>
        <w:t xml:space="preserve">platform@aiintelekt.com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and set it up at once.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Backups.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A nightly backup copied off the server, and one restore tested before go-live.</w:t>
      </w:r>
    </w:p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  <w:b/>
          <w:bCs/>
          <w:color w:val="2753E4"/>
          <w:sz w:val="32"/>
          <w:szCs w:val="32"/>
        </w:rPr>
        <w:t xml:space="preserve">6. Workspaces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Platform settings.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Mail server, alert recipients, AI provider keys.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Demo workspace.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Export NWA on the dev server, copy the file across, run </w:t>
      </w:r>
      <w:r>
        <w:rPr>
          <w:rFonts w:ascii="Consolas" w:cs="Consolas" w:eastAsia="Consolas" w:hAnsi="Consolas"/>
          <w:color w:val="0F172A"/>
          <w:sz w:val="19"/>
          <w:szCs w:val="19"/>
          <w:shd w:fill="EEF2F7" w:val="clear"/>
        </w:rPr>
        <w:t xml:space="preserve">load_demo_data.sh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Enter its keys again and check its reports and dashboards.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Production workspace.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Onboard it in the back-office on the Insights plan. It starts empty; its first administrator gets an invitation.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Customer database.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In that workspace: Insights → Report Databases → Connect a Database, with the reporting account. Map the tables, build the first reports.</w:t>
      </w:r>
    </w:p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  <w:b/>
          <w:bCs/>
          <w:color w:val="2753E4"/>
          <w:sz w:val="32"/>
          <w:szCs w:val="32"/>
        </w:rPr>
        <w:t xml:space="preserve">7. Go-live checks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D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Check</w:t>
            </w:r>
          </w:p>
        </w:tc>
        <w:tc>
          <w:tcPr>
            <w:tcW w:type="dxa" w:w="58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D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Passes when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Django production check</w:t>
            </w:r>
          </w:p>
        </w:tc>
        <w:tc>
          <w:tcPr>
            <w:tcW w:type="dxa" w:w="58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7" w:val="clear"/>
              </w:rPr>
              <w:t xml:space="preserve">check --deploy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reports no issues.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Database</w:t>
            </w:r>
          </w:p>
        </w:tc>
        <w:tc>
          <w:tcPr>
            <w:tcW w:type="dxa" w:w="58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7" w:val="clear"/>
              </w:rPr>
              <w:t xml:space="preserve">verify.sql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passes.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Health</w:t>
            </w:r>
          </w:p>
        </w:tc>
        <w:tc>
          <w:tcPr>
            <w:tcW w:type="dxa" w:w="58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7" w:val="clear"/>
              </w:rPr>
              <w:t xml:space="preserve">/healthz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answers; the three services run with no errors in the logs.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Security page</w:t>
            </w:r>
          </w:p>
        </w:tc>
        <w:tc>
          <w:tcPr>
            <w:tcW w:type="dxa" w:w="58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No open findings.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Sign-in</w:t>
            </w:r>
          </w:p>
        </w:tc>
        <w:tc>
          <w:tcPr>
            <w:tcW w:type="dxa" w:w="58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The super user signs in with two-step verification, switches to the demo workspace and back.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Insights only</w:t>
            </w:r>
          </w:p>
        </w:tc>
        <w:tc>
          <w:tcPr>
            <w:tcW w:type="dxa" w:w="58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The production workspace shows Insights and nothing from Engagement.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Reports</w:t>
            </w:r>
          </w:p>
        </w:tc>
        <w:tc>
          <w:tcPr>
            <w:tcW w:type="dxa" w:w="58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A report on the customer's database runs within its limit; the Run Log shows it.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Backups</w:t>
            </w:r>
          </w:p>
        </w:tc>
        <w:tc>
          <w:tcPr>
            <w:tcW w:type="dxa" w:w="58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Last night's backup exists and the test restore worked.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Monitoring</w:t>
            </w:r>
          </w:p>
        </w:tc>
        <w:tc>
          <w:tcPr>
            <w:tcW w:type="dxa" w:w="58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The uptime check points at production and its alerts reach someone.</w:t>
            </w:r>
          </w:p>
        </w:tc>
      </w:tr>
    </w:tbl>
    <w:p>
      <w:pPr>
        <w:spacing w:after="140"/>
      </w:pPr>
    </w:p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  <w:b/>
          <w:bCs/>
          <w:color w:val="2753E4"/>
          <w:sz w:val="32"/>
          <w:szCs w:val="32"/>
        </w:rPr>
        <w:t xml:space="preserve">8. Later releases</w:t>
      </w:r>
    </w:p>
    <w:p>
      <w:pPr>
        <w:spacing w:after="120" w:line="288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Tag main, pull the tag on the server, apply new database patches with </w:t>
      </w:r>
      <w:r>
        <w:rPr>
          <w:rFonts w:ascii="Consolas" w:cs="Consolas" w:eastAsia="Consolas" w:hAnsi="Consolas"/>
          <w:color w:val="0F172A"/>
          <w:sz w:val="19"/>
          <w:szCs w:val="19"/>
          <w:shd w:fill="EEF2F7" w:val="clear"/>
        </w:rPr>
        <w:t xml:space="preserve">apply_patch.sh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before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restarting (each is recorded), rebuild the front end and restart the three services. Rolling back is checking out the previous tag: patches only add, so the old code still runs on the newer database.</w:t>
      </w:r>
    </w:p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  <w:b/>
          <w:bCs/>
          <w:color w:val="2753E4"/>
          <w:sz w:val="32"/>
          <w:szCs w:val="32"/>
        </w:rPr>
        <w:t xml:space="preserve">9. Open questions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D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Question</w:t>
            </w:r>
          </w:p>
        </w:tc>
        <w:tc>
          <w:tcPr>
            <w:tcW w:type="dxa" w:w="60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D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Why it matters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HTTPS for the production address</w:t>
            </w:r>
          </w:p>
        </w:tc>
        <w:tc>
          <w:tcPr>
            <w:tcW w:type="dxa" w:w="60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The address is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7" w:val="clear"/>
              </w:rPr>
              <w:t xml:space="preserve">http://192.168.10.18:8811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. Production settings send every request to HTTPS and keep sign-in cookies for HTTPS only, so sign-in does not hold on plain HTTP. It needs a name with a certificate, or a Cloudflare tunnel as the dev server uses.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Access to the server</w:t>
            </w:r>
          </w:p>
        </w:tc>
        <w:tc>
          <w:tcPr>
            <w:tcW w:type="dxa" w:w="60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An SSH login (user and key) with sudo, for the install.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The nightly copy</w:t>
            </w:r>
          </w:p>
        </w:tc>
        <w:tc>
          <w:tcPr>
            <w:tcW w:type="dxa" w:w="60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Whether to build the copy into ClickHouse now (recommended, since the MySQL database has no replica), and whether ClickHouse may run on the production server.</w:t>
            </w:r>
          </w:p>
        </w:tc>
      </w:tr>
    </w:tbl>
    <w:p>
      <w:pPr>
        <w:spacing w:after="140"/>
      </w:pPr>
    </w:p>
    <w:sectPr>
      <w:headerReference w:type="default" r:id="rId7"/>
      <w:footerReference w:type="default" r:id="rId8"/>
      <w:pgSz w:w="11906" w:h="16838" w:orient="portrait"/>
      <w:pgMar w:top="1440" w:right="1440" w:bottom="130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Calibri" w:cs="Calibri" w:eastAsia="Calibri" w:hAnsi="Calibri"/>
        <w:color w:val="6B7280"/>
        <w:sz w:val="17"/>
        <w:szCs w:val="17"/>
      </w:rPr>
      <w:t xml:space="preserve">Internal — no credentials</w:t>
    </w:r>
    <w:r>
      <w:rPr>
        <w:rFonts w:ascii="Calibri" w:cs="Calibri" w:eastAsia="Calibri" w:hAnsi="Calibri"/>
        <w:color w:val="6B7280"/>
        <w:sz w:val="17"/>
        <w:szCs w:val="17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1D5DB" w:sz="4" w:space="4"/>
      </w:pBdr>
    </w:pPr>
    <w:r>
      <w:rPr>
        <w:rFonts w:ascii="Calibri" w:cs="Calibri" w:eastAsia="Calibri" w:hAnsi="Calibri"/>
        <w:color w:val="6B7280"/>
        <w:sz w:val="17"/>
        <w:szCs w:val="17"/>
      </w:rPr>
      <w:t xml:space="preserve">C360 Production Rollout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C360 Production Rollout</dc:title>
  <dc:creator>C360</dc:creator>
  <dc:description>How C360 goes to production with Insights</dc:description>
  <cp:lastModifiedBy>Un-named</cp:lastModifiedBy>
  <cp:revision>1</cp:revision>
  <dcterms:created xsi:type="dcterms:W3CDTF">2026-10-22T11:34:00.802Z</dcterms:created>
  <dcterms:modified xsi:type="dcterms:W3CDTF">2026-10-22T11:34:00.803Z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