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200"/>
      </w:pPr>
      <w:r>
        <w:rPr>
          <w:rFonts w:ascii="Arial" w:cs="Arial" w:eastAsia="Arial" w:hAnsi="Arial"/>
          <w:b/>
          <w:bCs/>
          <w:color w:val="2753E4"/>
          <w:spacing w:val="40"/>
          <w:sz w:val="22"/>
          <w:szCs w:val="22"/>
        </w:rPr>
        <w:t xml:space="preserve">C360 INSIGHTS  ·  PLATFORM DEMO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F2440"/>
          <w:sz w:val="60"/>
          <w:szCs w:val="60"/>
        </w:rPr>
        <w:t xml:space="preserve">ClickHouse Demo Guide</w:t>
      </w:r>
    </w:p>
    <w:p>
      <w:pPr>
        <w:pBdr>
          <w:bottom w:val="single" w:color="2753E4" w:sz="8" w:space="12"/>
        </w:pBdr>
        <w:spacing w:after="480"/>
      </w:pPr>
      <w:r>
        <w:rPr>
          <w:rFonts w:ascii="Arial" w:cs="Arial" w:eastAsia="Arial" w:hAnsi="Arial"/>
          <w:color w:val="555B6E"/>
          <w:sz w:val="26"/>
          <w:szCs w:val="26"/>
        </w:rPr>
        <w:t xml:space="preserve">The City HT workspace: how to open it, what to show, and how fast Insights answers on 25 million messages</w:t>
      </w:r>
    </w:p>
    <w:tbl>
      <w:tblPr>
        <w:tblW w:type="dxa" w:w="10080"/>
        <w:tblBorders>
          <w:top w:val="none"/>
          <w:left w:val="none"/>
          <w:bottom w:val="none"/>
          <w:right w:val="none"/>
          <w:insideH w:val="none"/>
          <w:insideV w:val="single" w:color="D9DBE3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440"/>
                <w:sz w:val="48"/>
                <w:szCs w:val="48"/>
              </w:rPr>
              <w:t xml:space="preserve">25M</w:t>
            </w:r>
          </w:p>
          <w:p>
            <w:r>
              <w:rPr>
                <w:rFonts w:ascii="Arial" w:cs="Arial" w:eastAsia="Arial" w:hAnsi="Arial"/>
                <w:color w:val="555B6E"/>
                <w:sz w:val="18"/>
                <w:szCs w:val="18"/>
              </w:rPr>
              <w:t xml:space="preserve">Messages</w:t>
            </w:r>
          </w:p>
        </w:tc>
        <w:tc>
          <w:tcPr>
            <w:tcW w:type="dxa" w:w="2520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440"/>
                <w:sz w:val="48"/>
                <w:szCs w:val="48"/>
              </w:rPr>
              <w:t xml:space="preserve">3M</w:t>
            </w:r>
          </w:p>
          <w:p>
            <w:r>
              <w:rPr>
                <w:rFonts w:ascii="Arial" w:cs="Arial" w:eastAsia="Arial" w:hAnsi="Arial"/>
                <w:color w:val="555B6E"/>
                <w:sz w:val="18"/>
                <w:szCs w:val="18"/>
              </w:rPr>
              <w:t xml:space="preserve">Attributed orders and refunds</w:t>
            </w:r>
          </w:p>
        </w:tc>
        <w:tc>
          <w:tcPr>
            <w:tcW w:type="dxa" w:w="2520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440"/>
                <w:sz w:val="48"/>
                <w:szCs w:val="48"/>
              </w:rPr>
              <w:t xml:space="preserve">2M</w:t>
            </w:r>
          </w:p>
          <w:p>
            <w:r>
              <w:rPr>
                <w:rFonts w:ascii="Arial" w:cs="Arial" w:eastAsia="Arial" w:hAnsi="Arial"/>
                <w:color w:val="555B6E"/>
                <w:sz w:val="18"/>
                <w:szCs w:val="18"/>
              </w:rPr>
              <w:t xml:space="preserve">Contacts</w:t>
            </w:r>
          </w:p>
        </w:tc>
        <w:tc>
          <w:tcPr>
            <w:tcW w:type="dxa" w:w="2520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2440"/>
                <w:sz w:val="48"/>
                <w:szCs w:val="48"/>
              </w:rPr>
              <w:t xml:space="preserve">0.5M</w:t>
            </w:r>
          </w:p>
          <w:p>
            <w:r>
              <w:rPr>
                <w:rFonts w:ascii="Arial" w:cs="Arial" w:eastAsia="Arial" w:hAnsi="Arial"/>
                <w:color w:val="555B6E"/>
                <w:sz w:val="18"/>
                <w:szCs w:val="18"/>
              </w:rPr>
              <w:t xml:space="preserve">Journey enrolments</w:t>
            </w:r>
          </w:p>
        </w:tc>
      </w:tr>
    </w:tbl>
    <w:p>
      <w:pPr>
        <w:spacing w:after="360"/>
      </w:pPr>
    </w:p>
    <w:p>
      <w:pPr>
        <w:spacing w:after="240" w:line="300"/>
      </w:pPr>
      <w:r>
        <w:rPr>
          <w:rFonts w:ascii="Arial" w:cs="Arial" w:eastAsia="Arial" w:hAnsi="Arial"/>
          <w:sz w:val="22"/>
          <w:szCs w:val="22"/>
        </w:rPr>
        <w:t xml:space="preserve">Showing how fast Insights stays on a large workspace once its reports run on ClickHouse. City HT carries 25 million messages, 3 million orders, 2 million contacts and half a million journey enrolments; its saved reports over the 25 million messages answer in well under a second.</w:t>
      </w:r>
    </w:p>
    <w:p>
      <w:pPr>
        <w:pBdr>
          <w:left w:val="single" w:color="2753E4" w:sz="18" w:space="8"/>
        </w:pBdr>
        <w:shd w:fill="F1F4FD" w:color="auto" w:val="clear"/>
        <w:spacing w:after="200" w:before="60" w:line="276"/>
        <w:ind w:left="120" w:right="120"/>
      </w:pPr>
      <w:r>
        <w:rPr>
          <w:rFonts w:ascii="Arial" w:cs="Arial" w:eastAsia="Arial" w:hAnsi="Arial"/>
          <w:b/>
          <w:bCs/>
          <w:color w:val="1F2440"/>
          <w:sz w:val="20"/>
          <w:szCs w:val="20"/>
        </w:rPr>
        <w:t xml:space="preserve">Where  </w:t>
      </w:r>
      <w:r>
        <w:rPr>
          <w:rFonts w:ascii="Arial" w:cs="Arial" w:eastAsia="Arial" w:hAnsi="Arial"/>
          <w:sz w:val="20"/>
          <w:szCs w:val="20"/>
        </w:rPr>
        <w:t xml:space="preserve">the dev server (</w:t>
      </w:r>
      <w:r>
        <w:rPr>
          <w:rFonts w:ascii="Consolas" w:cs="Consolas" w:eastAsia="Consolas" w:hAnsi="Consolas"/>
          <w:color w:val="2A3052"/>
          <w:sz w:val="19"/>
          <w:szCs w:val="19"/>
        </w:rPr>
        <w:t xml:space="preserve">cepdev.aiintelekt.com</w:t>
      </w:r>
      <w:r>
        <w:rPr>
          <w:rFonts w:ascii="Arial" w:cs="Arial" w:eastAsia="Arial" w:hAnsi="Arial"/>
          <w:sz w:val="20"/>
          <w:szCs w:val="20"/>
        </w:rPr>
        <w:t xml:space="preserve">): the workspace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CITYHT</w:t>
      </w:r>
      <w:r>
        <w:rPr>
          <w:rFonts w:ascii="Arial" w:cs="Arial" w:eastAsia="Arial" w:hAnsi="Arial"/>
          <w:sz w:val="20"/>
          <w:szCs w:val="20"/>
        </w:rPr>
        <w:t xml:space="preserve">, opened from People and Access → Users; its engine under Configuration → Report Engines.</w:t>
      </w:r>
    </w:p>
    <w:p>
      <w:pPr>
        <w:spacing w:after="120" w:line="276"/>
      </w:pPr>
      <w:r>
        <w:rPr>
          <w:rFonts w:ascii="Arial" w:cs="Arial" w:eastAsia="Arial" w:hAnsi="Arial"/>
          <w:color w:val="555B6E"/>
          <w:sz w:val="19"/>
          <w:szCs w:val="19"/>
        </w:rPr>
        <w:t xml:space="preserve">8 demo steps. Built 2026-10-21 from the Platform Guide chapter "ClickHouse Demo Workspace (City HT)", so it matches the back-office help. Names in </w:t>
      </w:r>
      <w:r>
        <w:rPr>
          <w:rFonts w:ascii="Arial" w:cs="Arial" w:eastAsia="Arial" w:hAnsi="Arial"/>
          <w:b/>
          <w:bCs/>
          <w:color w:val="555B6E"/>
          <w:sz w:val="19"/>
          <w:szCs w:val="19"/>
        </w:rPr>
        <w:t xml:space="preserve">bold</w:t>
      </w:r>
      <w:r>
        <w:rPr>
          <w:rFonts w:ascii="Arial" w:cs="Arial" w:eastAsia="Arial" w:hAnsi="Arial"/>
          <w:color w:val="555B6E"/>
          <w:sz w:val="19"/>
          <w:szCs w:val="19"/>
        </w:rPr>
        <w:t xml:space="preserve"> are what you see on the screen: a button, a menu item or a field.</w:t>
      </w:r>
    </w:p>
    <w:p>
      <w:r>
        <w:br w:type="page"/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What this is for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Showing how fast Insights stays on a large workspace once its reports run on ClickHouse. City HT carries 25 million messages, 3 million orders, 2 million contacts and half a million journey enrolments; its saved reports over the 25 million messages answer in well under a second.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It is a demo workspace on the dev server only: nothing in it is real, and it is not on the release-test or production servers.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What is in it</w:t>
      </w:r>
    </w:p>
    <w:tbl>
      <w:tblPr>
        <w:tblW w:type="dxa" w:w="10080"/>
        <w:tblBorders>
          <w:top w:val="single" w:color="D9DBE3" w:sz="4"/>
          <w:left w:val="none"/>
          <w:bottom w:val="single" w:color="D9DBE3" w:sz="4"/>
          <w:right w:val="none"/>
          <w:insideH w:val="single" w:color="E6E8EF" w:sz="4"/>
          <w:insideV w:val="none"/>
        </w:tblBorders>
      </w:tblPr>
      <w:tblGrid>
        <w:gridCol w:w="4097"/>
        <w:gridCol w:w="2992"/>
        <w:gridCol w:w="2991"/>
      </w:tblGrid>
      <w:tr>
        <w:trPr>
          <w:tblHeader/>
        </w:trPr>
        <w:tc>
          <w:tcPr>
            <w:tcW w:type="dxa" w:w="4097"/>
            <w:shd w:fill="EEF1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440"/>
                <w:sz w:val="18"/>
                <w:szCs w:val="18"/>
              </w:rPr>
              <w:t xml:space="preserve">Data</w:t>
            </w:r>
          </w:p>
        </w:tc>
        <w:tc>
          <w:tcPr>
            <w:tcW w:type="dxa" w:w="2992"/>
            <w:shd w:fill="EEF1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440"/>
                <w:sz w:val="18"/>
                <w:szCs w:val="18"/>
              </w:rPr>
              <w:t xml:space="preserve">Rows</w:t>
            </w:r>
          </w:p>
        </w:tc>
        <w:tc>
          <w:tcPr>
            <w:tcW w:type="dxa" w:w="2991"/>
            <w:shd w:fill="EEF1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440"/>
                <w:sz w:val="18"/>
                <w:szCs w:val="18"/>
              </w:rPr>
              <w:t xml:space="preserve">Where it lives</w:t>
            </w:r>
          </w:p>
        </w:tc>
      </w:tr>
      <w:tr>
        <w:trPr>
          <w:cantSplit/>
        </w:trPr>
        <w:tc>
          <w:tcPr>
            <w:tcW w:type="dxa" w:w="409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Messages (email and texts)</w:t>
            </w:r>
          </w:p>
        </w:tc>
        <w:tc>
          <w:tcPr>
            <w:tcW w:type="dxa" w:w="299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25,012,727</w:t>
            </w:r>
          </w:p>
        </w:tc>
        <w:tc>
          <w:tcPr>
            <w:tcW w:type="dxa" w:w="29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ClickHouse</w:t>
            </w:r>
          </w:p>
        </w:tc>
      </w:tr>
      <w:tr>
        <w:trPr>
          <w:cantSplit/>
        </w:trPr>
        <w:tc>
          <w:tcPr>
            <w:tcW w:type="dxa" w:w="409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Attributed orders and refunds</w:t>
            </w:r>
          </w:p>
        </w:tc>
        <w:tc>
          <w:tcPr>
            <w:tcW w:type="dxa" w:w="299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3,002,188</w:t>
            </w:r>
          </w:p>
        </w:tc>
        <w:tc>
          <w:tcPr>
            <w:tcW w:type="dxa" w:w="29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ClickHouse</w:t>
            </w:r>
          </w:p>
        </w:tc>
      </w:tr>
      <w:tr>
        <w:trPr>
          <w:cantSplit/>
        </w:trPr>
        <w:tc>
          <w:tcPr>
            <w:tcW w:type="dxa" w:w="409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Contacts</w:t>
            </w:r>
          </w:p>
        </w:tc>
        <w:tc>
          <w:tcPr>
            <w:tcW w:type="dxa" w:w="299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2,001,500</w:t>
            </w:r>
          </w:p>
        </w:tc>
        <w:tc>
          <w:tcPr>
            <w:tcW w:type="dxa" w:w="29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ClickHouse</w:t>
            </w:r>
          </w:p>
        </w:tc>
      </w:tr>
      <w:tr>
        <w:trPr>
          <w:cantSplit/>
        </w:trPr>
        <w:tc>
          <w:tcPr>
            <w:tcW w:type="dxa" w:w="409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Journey enrolments</w:t>
            </w:r>
          </w:p>
        </w:tc>
        <w:tc>
          <w:tcPr>
            <w:tcW w:type="dxa" w:w="299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501,220</w:t>
            </w:r>
          </w:p>
        </w:tc>
        <w:tc>
          <w:tcPr>
            <w:tcW w:type="dxa" w:w="29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ClickHouse</w:t>
            </w:r>
          </w:p>
        </w:tc>
      </w:tr>
      <w:tr>
        <w:trPr>
          <w:cantSplit/>
        </w:trPr>
        <w:tc>
          <w:tcPr>
            <w:tcW w:type="dxa" w:w="409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small working sample: 1,500 customers, 5 lists, 13 campaigns over 15 months, 2 journeys, POS sales and returns uploads</w:t>
            </w:r>
          </w:p>
        </w:tc>
        <w:tc>
          <w:tcPr>
            <w:tcW w:type="dxa" w:w="299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thousands</w:t>
            </w:r>
          </w:p>
        </w:tc>
        <w:tc>
          <w:tcPr>
            <w:tcW w:type="dxa" w:w="29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PostgreSQL (and copied to ClickHouse)</w:t>
            </w:r>
          </w:p>
        </w:tc>
      </w:tr>
      <w:tr>
        <w:trPr>
          <w:cantSplit/>
        </w:trPr>
        <w:tc>
          <w:tcPr>
            <w:tcW w:type="dxa" w:w="409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 "Demo ·" reports in a Demo folder, and 2 dashboards</w:t>
            </w:r>
          </w:p>
        </w:tc>
        <w:tc>
          <w:tcPr>
            <w:tcW w:type="dxa" w:w="299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</w:p>
        </w:tc>
        <w:tc>
          <w:tcPr>
            <w:tcW w:type="dxa" w:w="29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PostgreSQL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Arial" w:cs="Arial" w:eastAsia="Arial" w:hAnsi="Arial"/>
        </w:rPr>
        <w:t xml:space="preserve">The large volume covers the last 24 months, busier towards today, on the sample's own campaigns (a weekly newsletter, seasonal email campaigns, e-receipts, two text campaigns) and journeys (Welcome Series, Win-Back), with realistic rates: about 23% of emails opened, 4.7% clicked, 1.8% bounced; 6% of orders refunded; 28% of orders credited to a campaign.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Who can use it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Platform staff, through </w:t>
      </w:r>
      <w:r>
        <w:rPr>
          <w:rFonts w:ascii="Arial" w:cs="Arial" w:eastAsia="Arial" w:hAnsi="Arial"/>
          <w:b/>
          <w:bCs/>
        </w:rPr>
        <w:t xml:space="preserve">Sign In As</w:t>
      </w:r>
      <w:r>
        <w:rPr>
          <w:rFonts w:ascii="Arial" w:cs="Arial" w:eastAsia="Arial" w:hAnsi="Arial"/>
        </w:rPr>
        <w:t xml:space="preserve"> on the workspace's one user, </w:t>
      </w:r>
      <w:r>
        <w:rPr>
          <w:rFonts w:ascii="Consolas" w:cs="Consolas" w:eastAsia="Consolas" w:hAnsi="Consolas"/>
          <w:color w:val="2A3052"/>
          <w:sz w:val="20"/>
          <w:szCs w:val="20"/>
        </w:rPr>
        <w:t xml:space="preserve">demo.admin@cityht.example</w:t>
      </w:r>
      <w:r>
        <w:rPr>
          <w:rFonts w:ascii="Arial" w:cs="Arial" w:eastAsia="Arial" w:hAnsi="Arial"/>
        </w:rPr>
        <w:t xml:space="preserve"> (Workspace Admin). That user has no password, so nobody can sign in as it directly.</w:t>
      </w:r>
    </w:p>
    <w:p>
      <w:pPr>
        <w:pStyle w:val="Heading1"/>
        <w:keepNext/>
        <w:pageBreakBefore/>
      </w:pPr>
      <w:r>
        <w:rPr>
          <w:rFonts w:ascii="Arial" w:cs="Arial" w:eastAsia="Arial" w:hAnsi="Arial"/>
        </w:rPr>
        <w:t xml:space="preserve">Step by step</w:t>
      </w:r>
    </w:p>
    <w:p>
      <w:pPr>
        <w:keepNext/>
        <w:spacing w:after="20" w:before="280"/>
      </w:pPr>
      <w:r>
        <w:rPr>
          <w:rFonts w:ascii="Arial" w:cs="Arial" w:eastAsia="Arial" w:hAnsi="Arial"/>
          <w:b/>
          <w:bCs/>
          <w:color w:val="2753E4"/>
          <w:spacing w:val="30"/>
          <w:sz w:val="17"/>
          <w:szCs w:val="17"/>
        </w:rPr>
        <w:t xml:space="preserve">STEP 1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Open the workspace</w:t>
      </w:r>
    </w:p>
    <w:p>
      <w:pPr>
        <w:pStyle w:val="ListParagraph"/>
        <w:keepNext/>
        <w:keepLines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In the back-office, open </w:t>
      </w:r>
      <w:r>
        <w:rPr>
          <w:rFonts w:ascii="Arial" w:cs="Arial" w:eastAsia="Arial" w:hAnsi="Arial"/>
          <w:b/>
          <w:bCs/>
        </w:rPr>
        <w:t xml:space="preserve">People and Access → Users</w:t>
      </w:r>
      <w:r>
        <w:rPr>
          <w:rFonts w:ascii="Arial" w:cs="Arial" w:eastAsia="Arial" w:hAnsi="Arial"/>
        </w:rPr>
        <w:t xml:space="preserve"> and search for </w:t>
      </w:r>
      <w:r>
        <w:rPr>
          <w:rFonts w:ascii="Consolas" w:cs="Consolas" w:eastAsia="Consolas" w:hAnsi="Consolas"/>
          <w:color w:val="2A3052"/>
          <w:sz w:val="20"/>
          <w:szCs w:val="20"/>
        </w:rPr>
        <w:t xml:space="preserve">demo.admin@cityht.example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keepNext/>
        <w:keepLines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Open the user and choose </w:t>
      </w:r>
      <w:r>
        <w:rPr>
          <w:rFonts w:ascii="Arial" w:cs="Arial" w:eastAsia="Arial" w:hAnsi="Arial"/>
          <w:b/>
          <w:bCs/>
        </w:rPr>
        <w:t xml:space="preserve">Sign In as This User (support session)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keepNext/>
        <w:keepLines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Write a reason (for example </w:t>
      </w:r>
      <w:r>
        <w:rPr>
          <w:rFonts w:ascii="Arial" w:cs="Arial" w:eastAsia="Arial" w:hAnsi="Arial"/>
          <w:i/>
          <w:iCs/>
        </w:rPr>
        <w:t xml:space="preserve">ClickHouse demo</w:t>
      </w:r>
      <w:r>
        <w:rPr>
          <w:rFonts w:ascii="Arial" w:cs="Arial" w:eastAsia="Arial" w:hAnsi="Arial"/>
        </w:rPr>
        <w:t xml:space="preserve">), keep the access </w:t>
      </w:r>
      <w:r>
        <w:rPr>
          <w:rFonts w:ascii="Arial" w:cs="Arial" w:eastAsia="Arial" w:hAnsi="Arial"/>
          <w:b/>
          <w:bCs/>
        </w:rPr>
        <w:t xml:space="preserve">read-only</w:t>
      </w:r>
      <w:r>
        <w:rPr>
          <w:rFonts w:ascii="Arial" w:cs="Arial" w:eastAsia="Arial" w:hAnsi="Arial"/>
        </w:rPr>
        <w:t xml:space="preserve"> unless you will change something, and confirm.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160" w:line="276"/>
      </w:pPr>
      <w:r>
        <w:rPr>
          <w:rFonts w:ascii="Arial" w:cs="Arial" w:eastAsia="Arial" w:hAnsi="Arial"/>
        </w:rPr>
        <w:t xml:space="preserve">The app opens as City HT, with the support banner at the top.</w:t>
      </w:r>
    </w:p>
    <w:p>
      <w:pPr>
        <w:keepNext/>
        <w:spacing w:after="20" w:before="280"/>
      </w:pPr>
      <w:r>
        <w:rPr>
          <w:rFonts w:ascii="Arial" w:cs="Arial" w:eastAsia="Arial" w:hAnsi="Arial"/>
          <w:b/>
          <w:bCs/>
          <w:color w:val="2753E4"/>
          <w:spacing w:val="30"/>
          <w:sz w:val="17"/>
          <w:szCs w:val="17"/>
        </w:rPr>
        <w:t xml:space="preserve">STEP 2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Show that the workspace runs on ClickHouse</w:t>
      </w:r>
    </w:p>
    <w:p>
      <w:pPr>
        <w:pStyle w:val="ListParagraph"/>
        <w:keepNext/>
        <w:keepLines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</w:rPr>
        <w:t xml:space="preserve">In the back-office, open </w:t>
      </w:r>
      <w:r>
        <w:rPr>
          <w:rFonts w:ascii="Arial" w:cs="Arial" w:eastAsia="Arial" w:hAnsi="Arial"/>
          <w:b/>
          <w:bCs/>
        </w:rPr>
        <w:t xml:space="preserve">Configuration → Report Engines</w:t>
      </w:r>
      <w:r>
        <w:rPr>
          <w:rFonts w:ascii="Arial" w:cs="Arial" w:eastAsia="Arial" w:hAnsi="Arial"/>
        </w:rPr>
        <w:t xml:space="preserve"> and the CITYHT row: engine </w:t>
      </w:r>
      <w:r>
        <w:rPr>
          <w:rFonts w:ascii="Arial" w:cs="Arial" w:eastAsia="Arial" w:hAnsi="Arial"/>
          <w:b/>
          <w:bCs/>
        </w:rPr>
        <w:t xml:space="preserve">clickhouse</w:t>
      </w:r>
      <w:r>
        <w:rPr>
          <w:rFonts w:ascii="Arial" w:cs="Arial" w:eastAsia="Arial" w:hAnsi="Arial"/>
        </w:rPr>
        <w:t xml:space="preserve">, status </w:t>
      </w:r>
      <w:r>
        <w:rPr>
          <w:rFonts w:ascii="Arial" w:cs="Arial" w:eastAsia="Arial" w:hAnsi="Arial"/>
          <w:b/>
          <w:bCs/>
        </w:rPr>
        <w:t xml:space="preserve">ACTIVE</w:t>
      </w:r>
      <w:r>
        <w:rPr>
          <w:rFonts w:ascii="Arial" w:cs="Arial" w:eastAsia="Arial" w:hAnsi="Arial"/>
        </w:rPr>
        <w:t xml:space="preserve">, freshness </w:t>
      </w:r>
      <w:r>
        <w:rPr>
          <w:rFonts w:ascii="Arial" w:cs="Arial" w:eastAsia="Arial" w:hAnsi="Arial"/>
          <w:b/>
          <w:bCs/>
        </w:rPr>
        <w:t xml:space="preserve">QUARTER_HOUR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keepNext w:val="false"/>
        <w:keepLines/>
        <w:numPr>
          <w:ilvl w:val="0"/>
          <w:numId w:val="3"/>
        </w:numPr>
        <w:spacing w:after="160" w:line="276"/>
      </w:pPr>
      <w:r>
        <w:rPr>
          <w:rFonts w:ascii="Arial" w:cs="Arial" w:eastAsia="Arial" w:hAnsi="Arial"/>
        </w:rPr>
        <w:t xml:space="preserve">In the app, every Insights report says under its title that the data is as of the last quarter hour.</w:t>
      </w:r>
    </w:p>
    <w:p>
      <w:pPr>
        <w:keepNext/>
        <w:spacing w:after="20" w:before="280"/>
      </w:pPr>
      <w:r>
        <w:rPr>
          <w:rFonts w:ascii="Arial" w:cs="Arial" w:eastAsia="Arial" w:hAnsi="Arial"/>
          <w:b/>
          <w:bCs/>
          <w:color w:val="2753E4"/>
          <w:spacing w:val="30"/>
          <w:sz w:val="17"/>
          <w:szCs w:val="17"/>
        </w:rPr>
        <w:t xml:space="preserve">STEP 3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Run the saved reports</w:t>
      </w:r>
    </w:p>
    <w:p>
      <w:pPr>
        <w:pStyle w:val="ListParagraph"/>
        <w:keepNext/>
        <w:keepLines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</w:rPr>
        <w:t xml:space="preserve">In the app, open </w:t>
      </w:r>
      <w:r>
        <w:rPr>
          <w:rFonts w:ascii="Arial" w:cs="Arial" w:eastAsia="Arial" w:hAnsi="Arial"/>
          <w:b/>
          <w:bCs/>
        </w:rPr>
        <w:t xml:space="preserve">Insights → Reports</w:t>
      </w:r>
      <w:r>
        <w:rPr>
          <w:rFonts w:ascii="Arial" w:cs="Arial" w:eastAsia="Arial" w:hAnsi="Arial"/>
        </w:rPr>
        <w:t xml:space="preserve"> and the </w:t>
      </w:r>
      <w:r>
        <w:rPr>
          <w:rFonts w:ascii="Arial" w:cs="Arial" w:eastAsia="Arial" w:hAnsi="Arial"/>
          <w:b/>
          <w:bCs/>
        </w:rPr>
        <w:t xml:space="preserve">Demo</w:t>
      </w:r>
      <w:r>
        <w:rPr>
          <w:rFonts w:ascii="Arial" w:cs="Arial" w:eastAsia="Arial" w:hAnsi="Arial"/>
        </w:rPr>
        <w:t xml:space="preserve"> folder.</w:t>
      </w:r>
    </w:p>
    <w:p>
      <w:pPr>
        <w:pStyle w:val="ListParagraph"/>
        <w:keepNext w:val="false"/>
        <w:keepLines/>
        <w:numPr>
          <w:ilvl w:val="0"/>
          <w:numId w:val="4"/>
        </w:numPr>
        <w:spacing w:after="160" w:line="276"/>
      </w:pPr>
      <w:r>
        <w:rPr>
          <w:rFonts w:ascii="Arial" w:cs="Arial" w:eastAsia="Arial" w:hAnsi="Arial"/>
        </w:rPr>
        <w:t xml:space="preserve">Open the reports in this order, each a different kind of question over the large data:</w:t>
      </w:r>
    </w:p>
    <w:tbl>
      <w:tblPr>
        <w:tblW w:type="dxa" w:w="10080"/>
        <w:tblBorders>
          <w:top w:val="single" w:color="D9DBE3" w:sz="4"/>
          <w:left w:val="none"/>
          <w:bottom w:val="single" w:color="D9DBE3" w:sz="4"/>
          <w:right w:val="none"/>
          <w:insideH w:val="single" w:color="E6E8EF" w:sz="4"/>
          <w:insideV w:val="none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shd w:fill="EEF1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440"/>
                <w:sz w:val="18"/>
                <w:szCs w:val="18"/>
              </w:rPr>
              <w:t xml:space="preserve">Report</w:t>
            </w:r>
          </w:p>
        </w:tc>
        <w:tc>
          <w:tcPr>
            <w:tcW w:type="dxa" w:w="3360"/>
            <w:shd w:fill="EEF1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440"/>
                <w:sz w:val="18"/>
                <w:szCs w:val="18"/>
              </w:rPr>
              <w:t xml:space="preserve">What it reads</w:t>
            </w:r>
          </w:p>
        </w:tc>
        <w:tc>
          <w:tcPr>
            <w:tcW w:type="dxa" w:w="3360"/>
            <w:shd w:fill="EEF1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2440"/>
                <w:sz w:val="18"/>
                <w:szCs w:val="18"/>
              </w:rPr>
              <w:t xml:space="preserve">First run (measured)</w:t>
            </w:r>
          </w:p>
        </w:tc>
      </w:tr>
      <w:tr>
        <w:trPr>
          <w:cantSplit/>
        </w:trPr>
        <w:tc>
          <w:tcPr>
            <w:tcW w:type="dxa" w:w="3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Demo · Channel Mix by Quarter</w:t>
            </w:r>
          </w:p>
        </w:tc>
        <w:tc>
          <w:tcPr>
            <w:tcW w:type="dxa" w:w="3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25M messages, grouped by quarter and channel</w:t>
            </w:r>
          </w:p>
        </w:tc>
        <w:tc>
          <w:tcPr>
            <w:tcW w:type="dxa" w:w="3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0.66 s</w:t>
            </w:r>
          </w:p>
        </w:tc>
      </w:tr>
      <w:tr>
        <w:trPr>
          <w:cantSplit/>
        </w:trPr>
        <w:tc>
          <w:tcPr>
            <w:tcW w:type="dxa" w:w="3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Demo · Email Funnel by Campaign</w:t>
            </w:r>
          </w:p>
        </w:tc>
        <w:tc>
          <w:tcPr>
            <w:tcW w:type="dxa" w:w="3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25M messages: sent, delivered, opened, clicked per campaign</w:t>
            </w:r>
          </w:p>
        </w:tc>
        <w:tc>
          <w:tcPr>
            <w:tcW w:type="dxa" w:w="3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0.54 s</w:t>
            </w:r>
          </w:p>
        </w:tc>
      </w:tr>
      <w:tr>
        <w:trPr>
          <w:cantSplit/>
        </w:trPr>
        <w:tc>
          <w:tcPr>
            <w:tcW w:type="dxa" w:w="3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Demo · Campaign Detail</w:t>
            </w:r>
          </w:p>
        </w:tc>
        <w:tc>
          <w:tcPr>
            <w:tcW w:type="dxa" w:w="3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25M messages, every campaign and run</w:t>
            </w:r>
          </w:p>
        </w:tc>
        <w:tc>
          <w:tcPr>
            <w:tcW w:type="dxa" w:w="3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0.80 s</w:t>
            </w:r>
          </w:p>
        </w:tc>
      </w:tr>
      <w:tr>
        <w:trPr>
          <w:cantSplit/>
        </w:trPr>
        <w:tc>
          <w:tcPr>
            <w:tcW w:type="dxa" w:w="3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Demo · What Drives Clicks</w:t>
            </w:r>
          </w:p>
        </w:tc>
        <w:tc>
          <w:tcPr>
            <w:tcW w:type="dxa" w:w="3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25M messages, Key Influencers</w:t>
            </w:r>
          </w:p>
        </w:tc>
        <w:tc>
          <w:tcPr>
            <w:tcW w:type="dxa" w:w="3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0.74 s</w:t>
            </w:r>
          </w:p>
        </w:tc>
      </w:tr>
      <w:tr>
        <w:trPr>
          <w:cantSplit/>
        </w:trPr>
        <w:tc>
          <w:tcPr>
            <w:tcW w:type="dxa" w:w="3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Demo · Weekly Sends vs the Week Before</w:t>
            </w:r>
          </w:p>
        </w:tc>
        <w:tc>
          <w:tcPr>
            <w:tcW w:type="dxa" w:w="3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25M messages, a week-on-week comparison</w:t>
            </w:r>
          </w:p>
        </w:tc>
        <w:tc>
          <w:tcPr>
            <w:tcW w:type="dxa" w:w="3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0.56 s</w:t>
            </w:r>
          </w:p>
        </w:tc>
      </w:tr>
      <w:tr>
        <w:trPr>
          <w:cantSplit/>
        </w:trPr>
        <w:tc>
          <w:tcPr>
            <w:tcW w:type="dxa" w:w="3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Demo · Attributed Revenue by Month</w:t>
            </w:r>
          </w:p>
        </w:tc>
        <w:tc>
          <w:tcPr>
            <w:tcW w:type="dxa" w:w="3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3M orders</w:t>
            </w:r>
          </w:p>
        </w:tc>
        <w:tc>
          <w:tcPr>
            <w:tcW w:type="dxa" w:w="3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0.05 s</w:t>
            </w:r>
          </w:p>
        </w:tc>
      </w:tr>
      <w:tr>
        <w:trPr>
          <w:cantSplit/>
        </w:trPr>
        <w:tc>
          <w:tcPr>
            <w:tcW w:type="dxa" w:w="3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Demo · Customers by State</w:t>
            </w:r>
          </w:p>
        </w:tc>
        <w:tc>
          <w:tcPr>
            <w:tcW w:type="dxa" w:w="3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2M contacts</w:t>
            </w:r>
          </w:p>
        </w:tc>
        <w:tc>
          <w:tcPr>
            <w:tcW w:type="dxa" w:w="3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0.03 s</w:t>
            </w:r>
          </w:p>
        </w:tc>
      </w:tr>
      <w:tr>
        <w:trPr>
          <w:cantSplit/>
        </w:trPr>
        <w:tc>
          <w:tcPr>
            <w:tcW w:type="dxa" w:w="3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Demo · Journey Conversion</w:t>
            </w:r>
          </w:p>
        </w:tc>
        <w:tc>
          <w:tcPr>
            <w:tcW w:type="dxa" w:w="3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0.5M enrolments</w:t>
            </w:r>
          </w:p>
        </w:tc>
        <w:tc>
          <w:tcPr>
            <w:tcW w:type="dxa" w:w="3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0.03 s</w:t>
            </w:r>
          </w:p>
        </w:tc>
      </w:tr>
    </w:tbl>
    <w:p>
      <w:pPr>
        <w:spacing w:after="160"/>
      </w:pPr>
    </w:p>
    <w:p>
      <w:pPr>
        <w:pStyle w:val="ListParagraph"/>
        <w:keepNext w:val="false"/>
        <w:keepLines/>
        <w:numPr>
          <w:ilvl w:val="0"/>
          <w:numId w:val="4"/>
        </w:numPr>
        <w:spacing w:after="160" w:line="276"/>
      </w:pPr>
      <w:r>
        <w:rPr>
          <w:rFonts w:ascii="Arial" w:cs="Arial" w:eastAsia="Arial" w:hAnsi="Arial"/>
        </w:rPr>
        <w:t xml:space="preserve">Opening a report a second time is almost instant (1 to 2 milliseconds): that is the app's result cache, not ClickHouse. To show ClickHouse itself again, change a filter (for example the date range) and run it.</w:t>
      </w:r>
    </w:p>
    <w:p>
      <w:pPr>
        <w:keepNext/>
        <w:spacing w:after="20" w:before="280"/>
      </w:pPr>
      <w:r>
        <w:rPr>
          <w:rFonts w:ascii="Arial" w:cs="Arial" w:eastAsia="Arial" w:hAnsi="Arial"/>
          <w:b/>
          <w:bCs/>
          <w:color w:val="2753E4"/>
          <w:spacing w:val="30"/>
          <w:sz w:val="17"/>
          <w:szCs w:val="17"/>
        </w:rPr>
        <w:t xml:space="preserve">STEP 4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Build a report live</w:t>
      </w:r>
    </w:p>
    <w:p>
      <w:pPr>
        <w:pStyle w:val="ListParagraph"/>
        <w:keepNext/>
        <w:keepLines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</w:rPr>
        <w:t xml:space="preserve">In </w:t>
      </w:r>
      <w:r>
        <w:rPr>
          <w:rFonts w:ascii="Arial" w:cs="Arial" w:eastAsia="Arial" w:hAnsi="Arial"/>
          <w:b/>
          <w:bCs/>
        </w:rPr>
        <w:t xml:space="preserve">Insights → Reports</w:t>
      </w:r>
      <w:r>
        <w:rPr>
          <w:rFonts w:ascii="Arial" w:cs="Arial" w:eastAsia="Arial" w:hAnsi="Arial"/>
        </w:rPr>
        <w:t xml:space="preserve">, start a new report on </w:t>
      </w:r>
      <w:r>
        <w:rPr>
          <w:rFonts w:ascii="Arial" w:cs="Arial" w:eastAsia="Arial" w:hAnsi="Arial"/>
          <w:b/>
          <w:bCs/>
        </w:rPr>
        <w:t xml:space="preserve">Messages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keepNext/>
        <w:keepLines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</w:rPr>
        <w:t xml:space="preserve">Group by the month of </w:t>
      </w:r>
      <w:r>
        <w:rPr>
          <w:rFonts w:ascii="Arial" w:cs="Arial" w:eastAsia="Arial" w:hAnsi="Arial"/>
          <w:b/>
          <w:bCs/>
        </w:rPr>
        <w:t xml:space="preserve">Created</w:t>
      </w:r>
      <w:r>
        <w:rPr>
          <w:rFonts w:ascii="Arial" w:cs="Arial" w:eastAsia="Arial" w:hAnsi="Arial"/>
        </w:rPr>
        <w:t xml:space="preserve"> and by </w:t>
      </w:r>
      <w:r>
        <w:rPr>
          <w:rFonts w:ascii="Arial" w:cs="Arial" w:eastAsia="Arial" w:hAnsi="Arial"/>
          <w:b/>
          <w:bCs/>
        </w:rPr>
        <w:t xml:space="preserve">Channel</w:t>
      </w:r>
      <w:r>
        <w:rPr>
          <w:rFonts w:ascii="Arial" w:cs="Arial" w:eastAsia="Arial" w:hAnsi="Arial"/>
        </w:rPr>
        <w:t xml:space="preserve">; add the counts of sent, opened and clicked messages.</w:t>
      </w:r>
    </w:p>
    <w:p>
      <w:pPr>
        <w:pStyle w:val="ListParagraph"/>
        <w:keepNext/>
        <w:keepLines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</w:rPr>
        <w:t xml:space="preserve">Run it: 25 million messages are grouped and counted in under a second.</w:t>
      </w:r>
    </w:p>
    <w:p>
      <w:pPr>
        <w:pStyle w:val="ListParagraph"/>
        <w:keepNext w:val="false"/>
        <w:keepLines/>
        <w:numPr>
          <w:ilvl w:val="0"/>
          <w:numId w:val="5"/>
        </w:numPr>
        <w:spacing w:after="160" w:line="276"/>
      </w:pPr>
      <w:r>
        <w:rPr>
          <w:rFonts w:ascii="Arial" w:cs="Arial" w:eastAsia="Arial" w:hAnsi="Arial"/>
        </w:rPr>
        <w:t xml:space="preserve">Add a filter on one campaign, or switch to a chart: each change runs again just as quickly.</w:t>
      </w:r>
    </w:p>
    <w:p>
      <w:pPr>
        <w:keepNext/>
        <w:spacing w:after="20" w:before="280"/>
      </w:pPr>
      <w:r>
        <w:rPr>
          <w:rFonts w:ascii="Arial" w:cs="Arial" w:eastAsia="Arial" w:hAnsi="Arial"/>
          <w:b/>
          <w:bCs/>
          <w:color w:val="2753E4"/>
          <w:spacing w:val="30"/>
          <w:sz w:val="17"/>
          <w:szCs w:val="17"/>
        </w:rPr>
        <w:t xml:space="preserve">STEP 5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Open the dashboards</w:t>
      </w:r>
    </w:p>
    <w:p>
      <w:pPr>
        <w:pStyle w:val="ListParagraph"/>
        <w:keepNext/>
        <w:keepLines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</w:rPr>
        <w:t xml:space="preserve">Open </w:t>
      </w:r>
      <w:r>
        <w:rPr>
          <w:rFonts w:ascii="Arial" w:cs="Arial" w:eastAsia="Arial" w:hAnsi="Arial"/>
          <w:b/>
          <w:bCs/>
        </w:rPr>
        <w:t xml:space="preserve">Insights → Dashboards → Demo · Marketing Command Centre</w:t>
      </w:r>
      <w:r>
        <w:rPr>
          <w:rFonts w:ascii="Arial" w:cs="Arial" w:eastAsia="Arial" w:hAnsi="Arial"/>
        </w:rPr>
        <w:t xml:space="preserve">: every tile reads the large data at once.</w:t>
      </w:r>
    </w:p>
    <w:p>
      <w:pPr>
        <w:pStyle w:val="ListParagraph"/>
        <w:keepNext w:val="false"/>
        <w:keepLines/>
        <w:numPr>
          <w:ilvl w:val="0"/>
          <w:numId w:val="6"/>
        </w:numPr>
        <w:spacing w:after="160" w:line="276"/>
      </w:pPr>
      <w:r>
        <w:rPr>
          <w:rFonts w:ascii="Arial" w:cs="Arial" w:eastAsia="Arial" w:hAnsi="Arial"/>
          <w:b/>
          <w:bCs/>
        </w:rPr>
        <w:t xml:space="preserve">Demo · Store Performance</w:t>
      </w:r>
      <w:r>
        <w:rPr>
          <w:rFonts w:ascii="Arial" w:cs="Arial" w:eastAsia="Arial" w:hAnsi="Arial"/>
        </w:rPr>
        <w:t xml:space="preserve"> reads the POS uploads, which stay in PostgreSQL (see </w:t>
      </w:r>
      <w:r>
        <w:rPr>
          <w:rFonts w:ascii="Arial" w:cs="Arial" w:eastAsia="Arial" w:hAnsi="Arial"/>
          <w:i/>
          <w:iCs/>
        </w:rPr>
        <w:t xml:space="preserve">Things to know</w:t>
      </w:r>
      <w:r>
        <w:rPr>
          <w:rFonts w:ascii="Arial" w:cs="Arial" w:eastAsia="Arial" w:hAnsi="Arial"/>
        </w:rPr>
        <w:t xml:space="preserve">).</w:t>
      </w:r>
    </w:p>
    <w:p>
      <w:pPr>
        <w:keepNext/>
        <w:spacing w:after="20" w:before="280"/>
      </w:pPr>
      <w:r>
        <w:rPr>
          <w:rFonts w:ascii="Arial" w:cs="Arial" w:eastAsia="Arial" w:hAnsi="Arial"/>
          <w:b/>
          <w:bCs/>
          <w:color w:val="2753E4"/>
          <w:spacing w:val="30"/>
          <w:sz w:val="17"/>
          <w:szCs w:val="17"/>
        </w:rPr>
        <w:t xml:space="preserve">STEP 6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Check the speed in the Run Log</w:t>
      </w:r>
    </w:p>
    <w:p>
      <w:pPr>
        <w:pStyle w:val="ListParagraph"/>
        <w:keepNext/>
        <w:keepLines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</w:rPr>
        <w:t xml:space="preserve">In the app, open </w:t>
      </w:r>
      <w:r>
        <w:rPr>
          <w:rFonts w:ascii="Arial" w:cs="Arial" w:eastAsia="Arial" w:hAnsi="Arial"/>
          <w:b/>
          <w:bCs/>
        </w:rPr>
        <w:t xml:space="preserve">Insights → Run Log</w:t>
      </w:r>
      <w:r>
        <w:rPr>
          <w:rFonts w:ascii="Arial" w:cs="Arial" w:eastAsia="Arial" w:hAnsi="Arial"/>
        </w:rPr>
        <w:t xml:space="preserve"> (report administrators; the demo admin is one).</w:t>
      </w:r>
    </w:p>
    <w:p>
      <w:pPr>
        <w:pStyle w:val="ListParagraph"/>
        <w:keepNext w:val="false"/>
        <w:keepLines/>
        <w:numPr>
          <w:ilvl w:val="0"/>
          <w:numId w:val="7"/>
        </w:numPr>
        <w:spacing w:after="160" w:line="276"/>
      </w:pPr>
      <w:r>
        <w:rPr>
          <w:rFonts w:ascii="Arial" w:cs="Arial" w:eastAsia="Arial" w:hAnsi="Arial"/>
        </w:rPr>
        <w:t xml:space="preserve">Each run is listed with its time and rows, so the timings can be shown rather than told.</w:t>
      </w:r>
    </w:p>
    <w:p>
      <w:pPr>
        <w:keepNext/>
        <w:spacing w:after="20" w:before="280"/>
      </w:pPr>
      <w:r>
        <w:rPr>
          <w:rFonts w:ascii="Arial" w:cs="Arial" w:eastAsia="Arial" w:hAnsi="Arial"/>
          <w:b/>
          <w:bCs/>
          <w:color w:val="2753E4"/>
          <w:spacing w:val="30"/>
          <w:sz w:val="17"/>
          <w:szCs w:val="17"/>
        </w:rPr>
        <w:t xml:space="preserve">STEP 7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Compare with PostgreSQL (optional)</w:t>
      </w:r>
    </w:p>
    <w:p>
      <w:pPr>
        <w:pStyle w:val="ListParagraph"/>
        <w:keepNext/>
        <w:keepLines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</w:rPr>
        <w:t xml:space="preserve">In the back-office, on the CITYHT row of </w:t>
      </w:r>
      <w:r>
        <w:rPr>
          <w:rFonts w:ascii="Arial" w:cs="Arial" w:eastAsia="Arial" w:hAnsi="Arial"/>
          <w:b/>
          <w:bCs/>
        </w:rPr>
        <w:t xml:space="preserve">Configuration → Report Engines</w:t>
      </w:r>
      <w:r>
        <w:rPr>
          <w:rFonts w:ascii="Arial" w:cs="Arial" w:eastAsia="Arial" w:hAnsi="Arial"/>
        </w:rPr>
        <w:t xml:space="preserve">, press </w:t>
      </w:r>
      <w:r>
        <w:rPr>
          <w:rFonts w:ascii="Arial" w:cs="Arial" w:eastAsia="Arial" w:hAnsi="Arial"/>
          <w:b/>
          <w:bCs/>
        </w:rPr>
        <w:t xml:space="preserve">Roll Back to PostgreSQL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keepNext/>
        <w:keepLines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</w:rPr>
        <w:t xml:space="preserve">Run the same report in the app: it now reads the small PostgreSQL sample only (about 12,700 messages), because the 25 million rows exist in ClickHouse alone.</w:t>
      </w:r>
    </w:p>
    <w:p>
      <w:pPr>
        <w:pStyle w:val="ListParagraph"/>
        <w:keepNext w:val="false"/>
        <w:keepLines/>
        <w:numPr>
          <w:ilvl w:val="0"/>
          <w:numId w:val="8"/>
        </w:numPr>
        <w:spacing w:after="160" w:line="276"/>
      </w:pPr>
      <w:r>
        <w:rPr>
          <w:rFonts w:ascii="Arial" w:cs="Arial" w:eastAsia="Arial" w:hAnsi="Arial"/>
        </w:rPr>
        <w:t xml:space="preserve">To go back, press </w:t>
      </w:r>
      <w:r>
        <w:rPr>
          <w:rFonts w:ascii="Arial" w:cs="Arial" w:eastAsia="Arial" w:hAnsi="Arial"/>
          <w:b/>
          <w:bCs/>
        </w:rPr>
        <w:t xml:space="preserve">Backfill ClickHouse</w:t>
      </w:r>
      <w:r>
        <w:rPr>
          <w:rFonts w:ascii="Arial" w:cs="Arial" w:eastAsia="Arial" w:hAnsi="Arial"/>
        </w:rPr>
        <w:t xml:space="preserve"> (it copies the small sample again; the 25 million rows stay where they are), then </w:t>
      </w:r>
      <w:r>
        <w:rPr>
          <w:rFonts w:ascii="Arial" w:cs="Arial" w:eastAsia="Arial" w:hAnsi="Arial"/>
          <w:b/>
          <w:bCs/>
        </w:rPr>
        <w:t xml:space="preserve">Activate ClickHouse</w:t>
      </w:r>
      <w:r>
        <w:rPr>
          <w:rFonts w:ascii="Arial" w:cs="Arial" w:eastAsia="Arial" w:hAnsi="Arial"/>
        </w:rPr>
        <w:t xml:space="preserve">.</w:t>
      </w:r>
    </w:p>
    <w:p>
      <w:pPr>
        <w:keepNext/>
        <w:spacing w:after="20" w:before="280"/>
      </w:pPr>
      <w:r>
        <w:rPr>
          <w:rFonts w:ascii="Arial" w:cs="Arial" w:eastAsia="Arial" w:hAnsi="Arial"/>
          <w:b/>
          <w:bCs/>
          <w:color w:val="2753E4"/>
          <w:spacing w:val="30"/>
          <w:sz w:val="17"/>
          <w:szCs w:val="17"/>
        </w:rPr>
        <w:t xml:space="preserve">STEP 8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End the session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Press </w:t>
      </w:r>
      <w:r>
        <w:rPr>
          <w:rFonts w:ascii="Arial" w:cs="Arial" w:eastAsia="Arial" w:hAnsi="Arial"/>
          <w:b/>
          <w:bCs/>
        </w:rPr>
        <w:t xml:space="preserve">End session</w:t>
      </w:r>
      <w:r>
        <w:rPr>
          <w:rFonts w:ascii="Arial" w:cs="Arial" w:eastAsia="Arial" w:hAnsi="Arial"/>
        </w:rPr>
        <w:t xml:space="preserve"> on the support banner in the app, or let it expire.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Things to know</w:t>
      </w:r>
    </w:p>
    <w:p>
      <w:pPr>
        <w:pStyle w:val="ListParagraph"/>
        <w:keepNext w:val="false"/>
        <w:keepLines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Reconcile</w:t>
      </w:r>
      <w:r>
        <w:rPr>
          <w:rFonts w:ascii="Arial" w:cs="Arial" w:eastAsia="Arial" w:hAnsi="Arial"/>
        </w:rPr>
        <w:t xml:space="preserve"> on the Report Engines row shows PostgreSQL far smaller than ClickHouse. That is by design: the large volume was generated straight into ClickHouse, so the dev server's PostgreSQL disk is not filled.</w:t>
      </w:r>
    </w:p>
    <w:p>
      <w:pPr>
        <w:pStyle w:val="ListParagraph"/>
        <w:keepNext w:val="false"/>
        <w:keepLines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</w:rPr>
        <w:t xml:space="preserve">The quarter-hourly </w:t>
      </w:r>
      <w:r>
        <w:rPr>
          <w:rFonts w:ascii="Consolas" w:cs="Consolas" w:eastAsia="Consolas" w:hAnsi="Consolas"/>
          <w:color w:val="2A3052"/>
          <w:sz w:val="20"/>
          <w:szCs w:val="20"/>
        </w:rPr>
        <w:t xml:space="preserve">refresh-clickhouse-reporting</w:t>
      </w:r>
      <w:r>
        <w:rPr>
          <w:rFonts w:ascii="Arial" w:cs="Arial" w:eastAsia="Arial" w:hAnsi="Arial"/>
        </w:rPr>
        <w:t xml:space="preserve"> job keeps copying the sample's recent changes to ClickHouse; it never removes the generated rows.</w:t>
      </w:r>
    </w:p>
    <w:p>
      <w:pPr>
        <w:pStyle w:val="ListParagraph"/>
        <w:keepNext w:val="false"/>
        <w:keepLines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</w:rPr>
        <w:t xml:space="preserve">The seven POS reports (store sales, returns, margins) read uploaded files, which Insights keeps in PostgreSQL whatever the engine; they are not part of the ClickHouse comparison.</w:t>
      </w:r>
    </w:p>
    <w:p>
      <w:pPr>
        <w:pStyle w:val="ListParagraph"/>
        <w:keepNext w:val="false"/>
        <w:keepLines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</w:rPr>
        <w:t xml:space="preserve">The back-office Security page lists </w:t>
      </w:r>
      <w:r>
        <w:rPr>
          <w:rFonts w:ascii="Consolas" w:cs="Consolas" w:eastAsia="Consolas" w:hAnsi="Consolas"/>
          <w:color w:val="2A3052"/>
          <w:sz w:val="20"/>
          <w:szCs w:val="20"/>
        </w:rPr>
        <w:t xml:space="preserve">demo.admin@cityht.example</w:t>
      </w:r>
      <w:r>
        <w:rPr>
          <w:rFonts w:ascii="Arial" w:cs="Arial" w:eastAsia="Arial" w:hAnsi="Arial"/>
        </w:rPr>
        <w:t xml:space="preserve"> as an account that looks like a test account (Low). Accept the risk there with a reason such as </w:t>
      </w:r>
      <w:r>
        <w:rPr>
          <w:rFonts w:ascii="Arial" w:cs="Arial" w:eastAsia="Arial" w:hAnsi="Arial"/>
          <w:i/>
          <w:iCs/>
        </w:rPr>
        <w:t xml:space="preserve">demo workspace on the dev server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keepNext w:val="false"/>
        <w:keepLines/>
        <w:numPr>
          <w:ilvl w:val="0"/>
          <w:numId w:val="9"/>
        </w:numPr>
        <w:spacing w:after="160" w:line="276"/>
      </w:pPr>
      <w:r>
        <w:rPr>
          <w:rFonts w:ascii="Arial" w:cs="Arial" w:eastAsia="Arial" w:hAnsi="Arial"/>
        </w:rPr>
        <w:t xml:space="preserve">Campaigns cannot be sent from City HT: it has no sending engine.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Rebuilding or removing the demo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The scripts that built it are on the dev server in </w:t>
      </w:r>
      <w:r>
        <w:rPr>
          <w:rFonts w:ascii="Consolas" w:cs="Consolas" w:eastAsia="Consolas" w:hAnsi="Consolas"/>
          <w:color w:val="2A3052"/>
          <w:sz w:val="20"/>
          <w:szCs w:val="20"/>
        </w:rPr>
        <w:t xml:space="preserve">~/cep-demo</w:t>
      </w:r>
      <w:r>
        <w:rPr>
          <w:rFonts w:ascii="Arial" w:cs="Arial" w:eastAsia="Arial" w:hAnsi="Arial"/>
        </w:rPr>
        <w:t xml:space="preserve"> (they are never pushed to the repository); each runs with </w:t>
      </w:r>
      <w:r>
        <w:rPr>
          <w:rFonts w:ascii="Consolas" w:cs="Consolas" w:eastAsia="Consolas" w:hAnsi="Consolas"/>
          <w:color w:val="2A3052"/>
          <w:sz w:val="20"/>
          <w:szCs w:val="20"/>
        </w:rPr>
        <w:t xml:space="preserve">manage.py shell -c "exec(open(...).read())"</w:t>
      </w:r>
      <w:r>
        <w:rPr>
          <w:rFonts w:ascii="Arial" w:cs="Arial" w:eastAsia="Arial" w:hAnsi="Arial"/>
        </w:rPr>
        <w:t xml:space="preserve"> under the production settings, from </w:t>
      </w:r>
      <w:r>
        <w:rPr>
          <w:rFonts w:ascii="Consolas" w:cs="Consolas" w:eastAsia="Consolas" w:hAnsi="Consolas"/>
          <w:color w:val="2A3052"/>
          <w:sz w:val="20"/>
          <w:szCs w:val="20"/>
        </w:rPr>
        <w:t xml:space="preserve">/app/cep/backend</w:t>
      </w:r>
      <w:r>
        <w:rPr>
          <w:rFonts w:ascii="Arial" w:cs="Arial" w:eastAsia="Arial" w:hAnsi="Arial"/>
        </w:rPr>
        <w:t xml:space="preserve">.</w:t>
      </w:r>
    </w:p>
    <w:tbl>
      <w:tblPr>
        <w:tblW w:type="dxa" w:w="10080"/>
        <w:tblBorders>
          <w:top w:val="single" w:color="D9DBE3" w:sz="4"/>
          <w:left w:val="none"/>
          <w:bottom w:val="single" w:color="D9DBE3" w:sz="4"/>
          <w:right w:val="none"/>
          <w:insideH w:val="single" w:color="E6E8EF" w:sz="4"/>
          <w:insideV w:val="none"/>
        </w:tblBorders>
      </w:tblPr>
      <w:tblGrid>
        <w:gridCol w:w="4147"/>
        <w:gridCol w:w="5933"/>
      </w:tblGrid>
      <w:tr>
        <w:trPr>
          <w:tblHeader/>
        </w:trPr>
        <w:tc>
          <w:tcPr>
            <w:tcW w:type="dxa" w:w="4147"/>
            <w:shd w:fill="EEF1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440"/>
                <w:sz w:val="18"/>
                <w:szCs w:val="18"/>
              </w:rPr>
              <w:t xml:space="preserve">Script</w:t>
            </w:r>
          </w:p>
        </w:tc>
        <w:tc>
          <w:tcPr>
            <w:tcW w:type="dxa" w:w="5933"/>
            <w:shd w:fill="EEF1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440"/>
                <w:sz w:val="18"/>
                <w:szCs w:val="18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414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A3052"/>
                <w:sz w:val="18"/>
                <w:szCs w:val="18"/>
              </w:rPr>
              <w:t xml:space="preserve">create_cityht.py</w:t>
            </w:r>
          </w:p>
        </w:tc>
        <w:tc>
          <w:tcPr>
            <w:tcW w:type="dxa" w:w="593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Creates the workspace and its demo admin; does nothing if they exist.</w:t>
            </w:r>
          </w:p>
        </w:tc>
      </w:tr>
      <w:tr>
        <w:trPr>
          <w:cantSplit/>
        </w:trPr>
        <w:tc>
          <w:tcPr>
            <w:tcW w:type="dxa" w:w="414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A3052"/>
                <w:sz w:val="18"/>
                <w:szCs w:val="18"/>
              </w:rPr>
              <w:t xml:space="preserve">seed_insights_demo.py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with </w:t>
            </w:r>
            <w:r>
              <w:rPr>
                <w:rFonts w:ascii="Consolas" w:cs="Consolas" w:eastAsia="Consolas" w:hAnsi="Consolas"/>
                <w:color w:val="2A3052"/>
                <w:sz w:val="18"/>
                <w:szCs w:val="18"/>
              </w:rPr>
              <w:t xml:space="preserve">DEMO_TENANT=CITYHT</w:t>
            </w:r>
          </w:p>
        </w:tc>
        <w:tc>
          <w:tcPr>
            <w:tcW w:type="dxa" w:w="593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 PostgreSQL sample, reports and dashboards; </w:t>
            </w:r>
            <w:r>
              <w:rPr>
                <w:rFonts w:ascii="Consolas" w:cs="Consolas" w:eastAsia="Consolas" w:hAnsi="Consolas"/>
                <w:color w:val="2A3052"/>
                <w:sz w:val="18"/>
                <w:szCs w:val="18"/>
              </w:rPr>
              <w:t xml:space="preserve">DEMO_MODE=clean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removes them.</w:t>
            </w:r>
          </w:p>
        </w:tc>
      </w:tr>
      <w:tr>
        <w:trPr>
          <w:cantSplit/>
        </w:trPr>
        <w:tc>
          <w:tcPr>
            <w:tcW w:type="dxa" w:w="414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A3052"/>
                <w:sz w:val="18"/>
                <w:szCs w:val="18"/>
              </w:rPr>
              <w:t xml:space="preserve">cityht_backfill_vocab.py</w:t>
            </w:r>
          </w:p>
        </w:tc>
        <w:tc>
          <w:tcPr>
            <w:tcW w:type="dxa" w:w="593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Copies the sample into ClickHouse (Backfill) and prints its values.</w:t>
            </w:r>
          </w:p>
        </w:tc>
      </w:tr>
      <w:tr>
        <w:trPr>
          <w:cantSplit/>
        </w:trPr>
        <w:tc>
          <w:tcPr>
            <w:tcW w:type="dxa" w:w="414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A3052"/>
                <w:sz w:val="18"/>
                <w:szCs w:val="18"/>
              </w:rPr>
              <w:t xml:space="preserve">cityht_generate.py</w:t>
            </w:r>
          </w:p>
        </w:tc>
        <w:tc>
          <w:tcPr>
            <w:tcW w:type="dxa" w:w="593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Removes and regenerates the large volume inside ClickHouse, merges the tables and sets the engine to ClickHouse (about 90 seconds).</w:t>
            </w:r>
          </w:p>
        </w:tc>
      </w:tr>
      <w:tr>
        <w:trPr>
          <w:cantSplit/>
        </w:trPr>
        <w:tc>
          <w:tcPr>
            <w:tcW w:type="dxa" w:w="414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2A3052"/>
                <w:sz w:val="18"/>
                <w:szCs w:val="18"/>
              </w:rPr>
              <w:t xml:space="preserve">cityht_timing.py</w:t>
            </w:r>
          </w:p>
        </w:tc>
        <w:tc>
          <w:tcPr>
            <w:tcW w:type="dxa" w:w="593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Times the saved reports through the report runner.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Arial" w:cs="Arial" w:eastAsia="Arial" w:hAnsi="Arial"/>
        </w:rPr>
        <w:t xml:space="preserve">To remove the large volume only, roll the workspace back to PostgreSQL and delete the generated rows in ClickHouse (their ids start with </w:t>
      </w:r>
      <w:r>
        <w:rPr>
          <w:rFonts w:ascii="Consolas" w:cs="Consolas" w:eastAsia="Consolas" w:hAnsi="Consolas"/>
          <w:color w:val="2A3052"/>
          <w:sz w:val="20"/>
          <w:szCs w:val="20"/>
        </w:rPr>
        <w:t xml:space="preserve">g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2A3052"/>
          <w:sz w:val="20"/>
          <w:szCs w:val="20"/>
        </w:rPr>
        <w:t xml:space="preserve">go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2A3052"/>
          <w:sz w:val="20"/>
          <w:szCs w:val="20"/>
        </w:rPr>
        <w:t xml:space="preserve">gj</w:t>
      </w:r>
      <w:r>
        <w:rPr>
          <w:rFonts w:ascii="Arial" w:cs="Arial" w:eastAsia="Arial" w:hAnsi="Arial"/>
        </w:rPr>
        <w:t xml:space="preserve"> and </w:t>
      </w:r>
      <w:r>
        <w:rPr>
          <w:rFonts w:ascii="Consolas" w:cs="Consolas" w:eastAsia="Consolas" w:hAnsi="Consolas"/>
          <w:color w:val="2A3052"/>
          <w:sz w:val="20"/>
          <w:szCs w:val="20"/>
        </w:rPr>
        <w:t xml:space="preserve">CHT-</w:t>
      </w:r>
      <w:r>
        <w:rPr>
          <w:rFonts w:ascii="Arial" w:cs="Arial" w:eastAsia="Arial" w:hAnsi="Arial"/>
        </w:rPr>
        <w:t xml:space="preserve">), as the start of </w:t>
      </w:r>
      <w:r>
        <w:rPr>
          <w:rFonts w:ascii="Consolas" w:cs="Consolas" w:eastAsia="Consolas" w:hAnsi="Consolas"/>
          <w:color w:val="2A3052"/>
          <w:sz w:val="20"/>
          <w:szCs w:val="20"/>
        </w:rPr>
        <w:t xml:space="preserve">cityht_generate.py</w:t>
      </w:r>
      <w:r>
        <w:rPr>
          <w:rFonts w:ascii="Arial" w:cs="Arial" w:eastAsia="Arial" w:hAnsi="Arial"/>
        </w:rPr>
        <w:t xml:space="preserve"> does.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Related chapters in the Platform Guide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Report Datasets and Report Engines (switching any workspace between PostgreSQL and ClickHouse); Tenants and People and Access (the workspace and its user); Security (accepting the demo admin as a known risk).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500" w:footer="5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55B6E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BE3" w:sz="4" w:space="6"/>
      </w:pBdr>
    </w:pPr>
    <w:r>
      <w:rPr>
        <w:rFonts w:ascii="Arial" w:cs="Arial" w:eastAsia="Arial" w:hAnsi="Arial"/>
        <w:color w:val="555B6E"/>
        <w:sz w:val="16"/>
        <w:szCs w:val="16"/>
      </w:rPr>
      <w:t xml:space="preserve">C360 Insights  ·  ClickHouse Demo Guide (City HT)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  <w:rPr>
        <w:b/>
        <w:bCs/>
        <w:color w:val="2753E4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244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0"/>
      <w:outlineLvl w:val="1"/>
    </w:pPr>
    <w:rPr>
      <w:rFonts w:ascii="Arial" w:cs="Arial" w:eastAsia="Arial" w:hAnsi="Arial"/>
      <w:b/>
      <w:bCs/>
      <w:color w:val="1F24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C360 Insights: ClickHouse Demo Guide (City HT)</dc:title>
  <dc:creator>C360</dc:creator>
  <dc:description>How to present the City HT ClickHouse demo, step by step</dc:description>
  <cp:lastModifiedBy>Un-named</cp:lastModifiedBy>
  <cp:revision>1</cp:revision>
  <dcterms:created xsi:type="dcterms:W3CDTF">2026-10-21T12:14:14.876Z</dcterms:created>
  <dcterms:modified xsi:type="dcterms:W3CDTF">2026-10-21T12:14:14.876Z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