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1.6  ·  24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Release status, 24 September 2026.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is the branch of record and carries everything: the contact list and campaign modules, the shared UI restyle, the campaign calendar view, the idle session timeout, the receipt layout editor's API, the dashboard totals and campaign-results performance work, the public-address global parameter (patch 0018), and the template designer release (PR #15, commit </w:t>
      </w:r>
      <w:r>
        <w:rPr>
          <w:rFonts w:ascii="Consolas" w:cs="Consolas" w:eastAsia="Consolas" w:hAnsi="Consolas"/>
          <w:color w:val="0F172A"/>
          <w:sz w:val="19"/>
          <w:szCs w:val="19"/>
          <w:shd w:fill="EEF2F7" w:val="clear"/>
        </w:rPr>
        <w:t xml:space="preserve">78f7788</w:t>
      </w:r>
      <w:r>
        <w:rPr>
          <w:rFonts w:ascii="Calibri" w:cs="Calibri" w:eastAsia="Calibri" w:hAnsi="Calibri"/>
          <w:color w:val="1F2937"/>
          <w:sz w:val="21"/>
          <w:szCs w:val="21"/>
        </w:rPr>
        <w:t xml:space="preserve">): a new endpoint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 that makes a DRAFT copy of a template (its latest design or message becomes version 1 of the copy; the Templates page calls it from the row menu's Duplicate), a fix for the false "saved by someone else (now at version 0)" conflict on every second designer save, and designer autosave. That release changes Python and frontend code only — no schema patch — so deploying it is a pull and a restart of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(section 3.3 for the general procedure). The dev server 10.0.0.43 (</w:t>
      </w:r>
      <w:r>
        <w:rPr>
          <w:rFonts w:ascii="Consolas" w:cs="Consolas" w:eastAsia="Consolas" w:hAnsi="Consolas"/>
          <w:color w:val="0F172A"/>
          <w:sz w:val="19"/>
          <w:szCs w:val="19"/>
          <w:shd w:fill="EEF2F7" w:val="clear"/>
        </w:rPr>
        <w:t xml:space="preserve">cepdev.aiintelekt.com</w:t>
      </w:r>
      <w:r>
        <w:rPr>
          <w:rFonts w:ascii="Calibri" w:cs="Calibri" w:eastAsia="Calibri" w:hAnsi="Calibri"/>
          <w:color w:val="1F2937"/>
          <w:sz w:val="21"/>
          <w:szCs w:val="21"/>
        </w:rPr>
        <w:t xml:space="preserve">) deploys from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and runs it. Database patches 0001–0017 are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is the one this release adds (section 3.1). Confirm the commit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deploying.</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0001–0017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and the three logins exist. Patch 0018 (the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global parameter) ships with this release and is not yet applied as of this version of the guide: apply it with the release that brings the parameter live (section 3.3), then set the parameter (section 10).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0008_smtp_delivery_provider.sql</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 Once the installation runs, the global parameter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(section 10) takes precedence over this value; this is the bootstrap.</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Public address (patch 0018 and newer).</w:t>
      </w:r>
      <w:r>
        <w:rPr>
          <w:rFonts w:ascii="Calibri" w:cs="Calibri" w:eastAsia="Calibri" w:hAnsi="Calibri"/>
          <w:color w:val="1F2937"/>
          <w:sz w:val="21"/>
          <w:szCs w:val="21"/>
        </w:rPr>
        <w:t xml:space="preserve"> Configuration → Global parameters: set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to the https address the outside world reaches this installation at, no trailing slash (e.g. </w:t>
      </w:r>
      <w:r>
        <w:rPr>
          <w:rFonts w:ascii="Consolas" w:cs="Consolas" w:eastAsia="Consolas" w:hAnsi="Consolas"/>
          <w:color w:val="0F172A"/>
          <w:sz w:val="19"/>
          <w:szCs w:val="19"/>
          <w:shd w:fill="EEF2F7" w:val="clear"/>
        </w:rPr>
        <w:t xml:space="preserve">https://cep.example.com</w:t>
      </w:r>
      <w:r>
        <w:rPr>
          <w:rFonts w:ascii="Calibri" w:cs="Calibri" w:eastAsia="Calibri" w:hAnsi="Calibri"/>
          <w:color w:val="1F2937"/>
          <w:sz w:val="21"/>
          <w:szCs w:val="21"/>
        </w:rPr>
        <w:t xml:space="preserve">). The webhook callback addresses shown under Settings → Delivery, the unsubscribe link in marketing emails and the single sign-on redirect URI are built from it, so set it before registering any of those with a provider; it takes effect within a minute. Empty, the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 variable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applies.</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 including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-X POST -H "X-Tenant: &lt;workspace code&gt;" https://app.cep.example.com/api/v1/templates/00000000-0000-4000-8000-000000000000/clone/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clone route is served and asks for a sign-in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PR #15). Signed in, Templates → row menu → Duplicate creates "&lt;name&gt; (copy)" as a draft and opens it.</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and Configuration are green; Scheduled jobs become "Healthy" within their interval.</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2026-09-24T18:22:11.550Z</dcterms:created>
  <dcterms:modified xsi:type="dcterms:W3CDTF">2026-09-24T18:22:11.551Z</dcterms:modified>
</cp:coreProperties>
</file>

<file path=docProps/custom.xml><?xml version="1.0" encoding="utf-8"?>
<Properties xmlns="http://schemas.openxmlformats.org/officeDocument/2006/custom-properties" xmlns:vt="http://schemas.openxmlformats.org/officeDocument/2006/docPropsVTypes"/>
</file>