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24A1E"/>
          <w:sz w:val="56"/>
          <w:szCs w:val="56"/>
        </w:rPr>
        <w:t xml:space="preserve">Arabian Kitchen</w:t>
      </w:r>
    </w:p>
    <w:p>
      <w:pPr>
        <w:spacing w:after="40"/>
      </w:pPr>
      <w:r>
        <w:rPr>
          <w:color w:val="5B584E"/>
          <w:sz w:val="26"/>
          <w:szCs w:val="26"/>
        </w:rPr>
        <w:t xml:space="preserve">Sales &amp; Operations — Analysis and Recommendations</w:t>
      </w:r>
    </w:p>
    <w:p>
      <w:pPr>
        <w:spacing w:after="60"/>
      </w:pPr>
      <w:r>
        <w:rPr>
          <w:i/>
          <w:iCs/>
          <w:color w:val="5B584E"/>
          <w:sz w:val="20"/>
          <w:szCs w:val="20"/>
        </w:rPr>
        <w:t xml:space="preserve">Prepared by Bharathy S · Data Analyst · Chennai</w:t>
      </w:r>
    </w:p>
    <w:p>
      <w:pPr>
        <w:spacing w:after="400"/>
      </w:pPr>
      <w:r>
        <w:rPr>
          <w:i/>
          <w:iCs/>
          <w:color w:val="5B584E"/>
          <w:sz w:val="18"/>
          <w:szCs w:val="18"/>
        </w:rPr>
        <w:t xml:space="preserve">Self-initiated case study — independent project, not a real client engagement.</w:t>
      </w:r>
    </w:p>
    <w:p>
      <w:pPr>
        <w:pStyle w:val="Heading1"/>
        <w:pBdr>
          <w:bottom w:val="single" w:color="D9D5C7" w:sz="4" w:space="6"/>
        </w:pBdr>
        <w:spacing w:after="160" w:before="360"/>
      </w:pPr>
      <w:r>
        <w:rPr>
          <w:b/>
          <w:bCs/>
          <w:color w:val="211F1A"/>
          <w:sz w:val="30"/>
          <w:szCs w:val="30"/>
        </w:rPr>
        <w:t xml:space="preserve">Executive Summary</w:t>
      </w:r>
    </w:p>
    <w:p>
      <w:pPr>
        <w:spacing w:after="180"/>
      </w:pPr>
      <w:r>
        <w:rPr>
          <w:color w:val="211F1A"/>
          <w:sz w:val="22"/>
          <w:szCs w:val="22"/>
        </w:rPr>
        <w:t xml:space="preserve">This report analyzes 18 months of order-level data (March 2025 – August 2026) for Arabian Kitchen, a simulated Middle Eastern restaurant in Chennai serving dine-in, takeaway, and delivery customers. The dataset was cleaned from ~80,000 raw records down to 79,052 valid sales transactions, then analyzed for demand patterns, revenue drivers, and menu profitability.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D9D5C7" w:sz="4"/>
              <w:left w:val="single" w:color="D9D5C7" w:sz="4"/>
              <w:bottom w:val="single" w:color="D9D5C7" w:sz="4"/>
              <w:right w:val="single" w:color="D9D5C7" w:sz="4"/>
            </w:tcBorders>
            <w:shd w:fill="F7F5E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b/>
                <w:bCs/>
                <w:color w:val="B24A1E"/>
                <w:sz w:val="28"/>
                <w:szCs w:val="28"/>
              </w:rPr>
              <w:t xml:space="preserve">₹2.28 Cr</w:t>
            </w:r>
          </w:p>
          <w:p>
            <w:r>
              <w:rPr>
                <w:color w:val="5B584E"/>
                <w:sz w:val="16"/>
                <w:szCs w:val="16"/>
              </w:rPr>
              <w:t xml:space="preserve">Total revenue</w:t>
            </w:r>
          </w:p>
        </w:tc>
        <w:tc>
          <w:tcPr>
            <w:tcW w:type="dxa" w:w="2250"/>
            <w:tcBorders>
              <w:top w:val="single" w:color="D9D5C7" w:sz="4"/>
              <w:left w:val="single" w:color="D9D5C7" w:sz="4"/>
              <w:bottom w:val="single" w:color="D9D5C7" w:sz="4"/>
              <w:right w:val="single" w:color="D9D5C7" w:sz="4"/>
            </w:tcBorders>
            <w:shd w:fill="F7F5E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b/>
                <w:bCs/>
                <w:color w:val="B24A1E"/>
                <w:sz w:val="28"/>
                <w:szCs w:val="28"/>
              </w:rPr>
              <w:t xml:space="preserve">39,547</w:t>
            </w:r>
          </w:p>
          <w:p>
            <w:r>
              <w:rPr>
                <w:color w:val="5B584E"/>
                <w:sz w:val="16"/>
                <w:szCs w:val="16"/>
              </w:rPr>
              <w:t xml:space="preserve">Total orders</w:t>
            </w:r>
          </w:p>
        </w:tc>
        <w:tc>
          <w:tcPr>
            <w:tcW w:type="dxa" w:w="2250"/>
            <w:tcBorders>
              <w:top w:val="single" w:color="D9D5C7" w:sz="4"/>
              <w:left w:val="single" w:color="D9D5C7" w:sz="4"/>
              <w:bottom w:val="single" w:color="D9D5C7" w:sz="4"/>
              <w:right w:val="single" w:color="D9D5C7" w:sz="4"/>
            </w:tcBorders>
            <w:shd w:fill="F7F5E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b/>
                <w:bCs/>
                <w:color w:val="B24A1E"/>
                <w:sz w:val="28"/>
                <w:szCs w:val="28"/>
              </w:rPr>
              <w:t xml:space="preserve">12:00 PM</w:t>
            </w:r>
          </w:p>
          <w:p>
            <w:r>
              <w:rPr>
                <w:color w:val="5B584E"/>
                <w:sz w:val="16"/>
                <w:szCs w:val="16"/>
              </w:rPr>
              <w:t xml:space="preserve">Peak hour</w:t>
            </w:r>
          </w:p>
        </w:tc>
        <w:tc>
          <w:tcPr>
            <w:tcW w:type="dxa" w:w="2250"/>
            <w:tcBorders>
              <w:top w:val="single" w:color="D9D5C7" w:sz="4"/>
              <w:left w:val="single" w:color="D9D5C7" w:sz="4"/>
              <w:bottom w:val="single" w:color="D9D5C7" w:sz="4"/>
              <w:right w:val="single" w:color="D9D5C7" w:sz="4"/>
            </w:tcBorders>
            <w:shd w:fill="F7F5E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b/>
                <w:bCs/>
                <w:color w:val="B24A1E"/>
                <w:sz w:val="28"/>
                <w:szCs w:val="28"/>
              </w:rPr>
              <w:t xml:space="preserve">Delivery (50%)</w:t>
            </w:r>
          </w:p>
          <w:p>
            <w:r>
              <w:rPr>
                <w:color w:val="5B584E"/>
                <w:sz w:val="16"/>
                <w:szCs w:val="16"/>
              </w:rPr>
              <w:t xml:space="preserve">Top channel</w:t>
            </w:r>
          </w:p>
        </w:tc>
      </w:tr>
    </w:tbl>
    <w:p>
      <w:pPr>
        <w:pStyle w:val="Heading1"/>
        <w:pBdr>
          <w:bottom w:val="single" w:color="D9D5C7" w:sz="4" w:space="6"/>
        </w:pBdr>
        <w:spacing w:after="160" w:before="360"/>
      </w:pPr>
      <w:r>
        <w:rPr>
          <w:b/>
          <w:bCs/>
          <w:color w:val="211F1A"/>
          <w:sz w:val="30"/>
          <w:szCs w:val="30"/>
        </w:rPr>
        <w:t xml:space="preserve">Sales Patterns</w:t>
      </w:r>
    </w:p>
    <w:p>
      <w:pPr>
        <w:spacing w:after="180"/>
      </w:pPr>
      <w:r>
        <w:rPr>
          <w:color w:val="211F1A"/>
          <w:sz w:val="22"/>
          <w:szCs w:val="22"/>
        </w:rPr>
        <w:t xml:space="preserve">Weekend revenue (Friday–Sunday) runs roughly 80% higher than weekday revenue, driven by both higher order volume and larger group orders. Lunch hour (12:00 PM) is the single highest-revenue hour of the day, ahead of the dinner window — a detail worth reflecting in staffing schedules.</w:t>
      </w:r>
    </w:p>
    <w:p>
      <w:pPr>
        <w:spacing w:after="200"/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D9D5C7" w:sz="4" w:space="6"/>
        </w:pBdr>
        <w:spacing w:after="160" w:before="360"/>
      </w:pPr>
      <w:r>
        <w:rPr>
          <w:b/>
          <w:bCs/>
          <w:color w:val="211F1A"/>
          <w:sz w:val="30"/>
          <w:szCs w:val="30"/>
        </w:rPr>
        <w:t xml:space="preserve">Order Channel Mix</w:t>
      </w:r>
    </w:p>
    <w:p>
      <w:pPr>
        <w:spacing w:after="180"/>
      </w:pPr>
      <w:r>
        <w:rPr>
          <w:color w:val="211F1A"/>
          <w:sz w:val="22"/>
          <w:szCs w:val="22"/>
        </w:rPr>
        <w:t xml:space="preserve">Delivery accounts for just over half of total revenue (50.2%), split roughly evenly between Swiggy and Zomato, with a small share coming through direct/phone orders. Dine-in contributes 35%, and takeaway the remaining 15%.</w:t>
      </w:r>
    </w:p>
    <w:p>
      <w:pPr>
        <w:spacing w:after="20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D9D5C7" w:sz="4" w:space="6"/>
        </w:pBdr>
        <w:spacing w:after="160" w:before="360"/>
      </w:pPr>
      <w:r>
        <w:rPr>
          <w:b/>
          <w:bCs/>
          <w:color w:val="211F1A"/>
          <w:sz w:val="30"/>
          <w:szCs w:val="30"/>
        </w:rPr>
        <w:t xml:space="preserve">Menu Engineering: What to Promote vs. Drop</w:t>
      </w:r>
    </w:p>
    <w:p>
      <w:pPr>
        <w:spacing w:after="180"/>
      </w:pPr>
      <w:r>
        <w:rPr>
          <w:color w:val="211F1A"/>
          <w:sz w:val="22"/>
          <w:szCs w:val="22"/>
        </w:rPr>
        <w:t xml:space="preserve">Each menu item was classified using the standard restaurant menu-engineering framework — popularity (units sold) against estimated contribution margin per unit — into four groups: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Stars — high popularity, high margin: protect and promote, never discount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Plowhorses — high popularity, thin margin: candidates for a small price increase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Puzzles — high margin, underordered: reposition on the menu or push via staff recommendations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Dogs — low popularity, low margin: candidates to simplify, rework, or drop</w:t>
      </w:r>
    </w:p>
    <w:p>
      <w:pPr>
        <w:spacing w:after="120"/>
      </w:pPr>
    </w:p>
    <w:p>
      <w:pPr>
        <w:spacing w:after="200"/>
        <w:jc w:val="center"/>
      </w:pPr>
      <w:r>
        <w:drawing>
          <wp:inline distT="0" distB="0" distL="0" distR="0">
            <wp:extent cx="4572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1800"/>
      </w:tblGrid>
      <w:tr>
        <w:trPr>
          <w:tblHeader/>
        </w:trPr>
        <w:tc>
          <w:tcPr>
            <w:tcW w:type="dxa" w:w="3600"/>
            <w:shd w:fill="211F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shd w:fill="211F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1800"/>
            <w:shd w:fill="211F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Units sold</w:t>
            </w:r>
          </w:p>
        </w:tc>
        <w:tc>
          <w:tcPr>
            <w:tcW w:type="dxa" w:w="1800"/>
            <w:shd w:fill="211F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margin/unit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Chicken Biryani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B24A1E"/>
                <w:sz w:val="18"/>
                <w:szCs w:val="18"/>
              </w:rPr>
              <w:t xml:space="preserve">Star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14772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₹136</w:t>
            </w:r>
          </w:p>
        </w:tc>
      </w:tr>
      <w:tr>
        <w:tc>
          <w:tcPr>
            <w:tcW w:type="dxa" w:w="36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Mutton Biryani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B24A1E"/>
                <w:sz w:val="18"/>
                <w:szCs w:val="18"/>
              </w:rPr>
              <w:t xml:space="preserve">Star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11282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₹174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Chicken Kebab Platter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B24A1E"/>
                <w:sz w:val="18"/>
                <w:szCs w:val="18"/>
              </w:rPr>
              <w:t xml:space="preserve">Star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7522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₹139</w:t>
            </w:r>
          </w:p>
        </w:tc>
      </w:tr>
      <w:tr>
        <w:tc>
          <w:tcPr>
            <w:tcW w:type="dxa" w:w="36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Chicken Shawarma Plate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B24A1E"/>
                <w:sz w:val="18"/>
                <w:szCs w:val="18"/>
              </w:rPr>
              <w:t xml:space="preserve">Star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7990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₹122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Chicken Shawarma Roll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C5F58"/>
                <w:sz w:val="18"/>
                <w:szCs w:val="18"/>
              </w:rPr>
              <w:t xml:space="preserve">Plowhorse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13250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₹86</w:t>
            </w:r>
          </w:p>
        </w:tc>
      </w:tr>
      <w:tr>
        <w:tc>
          <w:tcPr>
            <w:tcW w:type="dxa" w:w="36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Mutton Shawarma Roll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C5F58"/>
                <w:sz w:val="18"/>
                <w:szCs w:val="18"/>
              </w:rPr>
              <w:t xml:space="preserve">Plowhorse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6969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₹106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Lemon Mint Cooler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C5F58"/>
                <w:sz w:val="18"/>
                <w:szCs w:val="18"/>
              </w:rPr>
              <w:t xml:space="preserve">Plowhorse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8672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₹49</w:t>
            </w:r>
          </w:p>
        </w:tc>
      </w:tr>
      <w:tr>
        <w:tc>
          <w:tcPr>
            <w:tcW w:type="dxa" w:w="36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Karak Chai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C5F58"/>
                <w:sz w:val="18"/>
                <w:szCs w:val="18"/>
              </w:rPr>
              <w:t xml:space="preserve">Plowhorse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10413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₹33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Arabic Mandi Chicken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A8672"/>
                <w:sz w:val="18"/>
                <w:szCs w:val="18"/>
              </w:rPr>
              <w:t xml:space="preserve">Puzzle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6185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₹162</w:t>
            </w:r>
          </w:p>
        </w:tc>
      </w:tr>
      <w:tr>
        <w:tc>
          <w:tcPr>
            <w:tcW w:type="dxa" w:w="36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Mixed Grill Platter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A8672"/>
                <w:sz w:val="18"/>
                <w:szCs w:val="18"/>
              </w:rPr>
              <w:t xml:space="preserve">Puzzle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4102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₹203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Chicken Kabsa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A8672"/>
                <w:sz w:val="18"/>
                <w:szCs w:val="18"/>
              </w:rPr>
              <w:t xml:space="preserve">Puzzle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4241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₹156</w:t>
            </w:r>
          </w:p>
        </w:tc>
      </w:tr>
      <w:tr>
        <w:tc>
          <w:tcPr>
            <w:tcW w:type="dxa" w:w="36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Veg Biryani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A8672"/>
                <w:sz w:val="18"/>
                <w:szCs w:val="18"/>
              </w:rPr>
              <w:t xml:space="preserve">Puzzle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4672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₹112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Falafel Plate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A8672"/>
                <w:sz w:val="18"/>
                <w:szCs w:val="18"/>
              </w:rPr>
              <w:t xml:space="preserve">Puzzle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3502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₹116</w:t>
            </w:r>
          </w:p>
        </w:tc>
      </w:tr>
      <w:tr>
        <w:tc>
          <w:tcPr>
            <w:tcW w:type="dxa" w:w="36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Hummus with Pita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A33B2E"/>
                <w:sz w:val="18"/>
                <w:szCs w:val="18"/>
              </w:rPr>
              <w:t xml:space="preserve">Dog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6110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₹102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Manakish Cheese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A33B2E"/>
                <w:sz w:val="18"/>
                <w:szCs w:val="18"/>
              </w:rPr>
              <w:t xml:space="preserve">Dog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5465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₹86</w:t>
            </w:r>
          </w:p>
        </w:tc>
      </w:tr>
      <w:tr>
        <w:tc>
          <w:tcPr>
            <w:tcW w:type="dxa" w:w="36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Falafel Roll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A33B2E"/>
                <w:sz w:val="18"/>
                <w:szCs w:val="18"/>
              </w:rPr>
              <w:t xml:space="preserve">Dog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5552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₹73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Falooda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A33B2E"/>
                <w:sz w:val="18"/>
                <w:szCs w:val="18"/>
              </w:rPr>
              <w:t xml:space="preserve">Dog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4791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₹63</w:t>
            </w:r>
          </w:p>
        </w:tc>
      </w:tr>
      <w:tr>
        <w:tc>
          <w:tcPr>
            <w:tcW w:type="dxa" w:w="36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Baklava (2 pcs)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A33B2E"/>
                <w:sz w:val="18"/>
                <w:szCs w:val="18"/>
              </w:rPr>
              <w:t xml:space="preserve">Dog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3593</w:t>
            </w:r>
          </w:p>
        </w:tc>
        <w:tc>
          <w:tcPr>
            <w:tcW w:type="dxa" w:w="1800"/>
            <w:shd w:fill="F7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₹70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Manakish Zaatar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A33B2E"/>
                <w:sz w:val="18"/>
                <w:szCs w:val="18"/>
              </w:rPr>
              <w:t xml:space="preserve">Dog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2651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211F1A"/>
                <w:sz w:val="18"/>
                <w:szCs w:val="18"/>
              </w:rPr>
              <w:t xml:space="preserve">₹79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9D5C7" w:sz="4" w:space="6"/>
        </w:pBdr>
        <w:spacing w:after="160" w:before="360"/>
      </w:pPr>
      <w:r>
        <w:rPr>
          <w:b/>
          <w:bCs/>
          <w:color w:val="211F1A"/>
          <w:sz w:val="30"/>
          <w:szCs w:val="30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Protect the four Star items (Chicken Biryani, Mutton Biryani, Chicken Kebab Platter, Chicken Shawarma Plate) — they drive the bulk of profit and should stay prominent on the menu without discounting.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Consider a modest price increase on Plowhorse items, especially Chicken Shawarma Roll and Karak Chai — both sell in very high volume but carry thin margins, so demand is likely to absorb a small price move.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Give Puzzle items better placement or staff recommendations — Mixed Grill Platter and Arabic Mandi Chicken carry the highest margins on the menu but are comparatively underordered; a menu redesign or upsell script could meaningfully lift profit with little added cost.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Review the Dog items (Manakish Zaatar, Baklava, Falooda, Falafel Roll) for simplification — either rework the recipe/cost, bundle with a Star item, or phase out to streamline kitchen operations.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Shift toward digital payments — cash still leads payment mode over UPI and card, which is unusual for a delivery-heavy business; encouraging UPI/card adoption would simplify reconciliation.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Align staffing with the lunch peak (12:00 PM) and weekend surge (Fri–Sun) rather than assuming dinner is the busiest period.</w:t>
      </w:r>
    </w:p>
    <w:p>
      <w:pPr>
        <w:pStyle w:val="Heading1"/>
        <w:pBdr>
          <w:bottom w:val="single" w:color="D9D5C7" w:sz="4" w:space="6"/>
        </w:pBdr>
        <w:spacing w:after="160" w:before="360"/>
      </w:pPr>
      <w:r>
        <w:rPr>
          <w:b/>
          <w:bCs/>
          <w:color w:val="211F1A"/>
          <w:sz w:val="30"/>
          <w:szCs w:val="30"/>
        </w:rPr>
        <w:t xml:space="preserve">Next Steps</w:t>
      </w:r>
    </w:p>
    <w:p>
      <w:pPr>
        <w:spacing w:after="180"/>
      </w:pPr>
      <w:r>
        <w:rPr>
          <w:color w:val="211F1A"/>
          <w:sz w:val="22"/>
          <w:szCs w:val="22"/>
        </w:rPr>
        <w:t xml:space="preserve">This analysis is based on a simulated dataset built to mirror realistic restaurant operations. Fine-tuning is still in progress — planned next steps include refining the interactive dashboard, validating the food-cost assumptions used for margin estimates, and expanding the analysis to cover customer repeat-order behavior.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e27fbf2580bae92bfbeed2938314f0e08b5f52.png"/><Relationship Id="rId8" Type="http://schemas.openxmlformats.org/officeDocument/2006/relationships/image" Target="media/657d693f5dd649684cff4d98abc20e455ffcfcc6.png"/><Relationship Id="rId9" Type="http://schemas.openxmlformats.org/officeDocument/2006/relationships/image" Target="media/44d2bd319eb69a8abf839fcb3b8a150c05386434.png"/><Relationship Id="rId10" Type="http://schemas.openxmlformats.org/officeDocument/2006/relationships/image" Target="media/0152555d89783e9795fabdcee24882b6d5ed6ee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2026-09-27T06:03:11.311Z</dcterms:created>
  <dcterms:modified xsi:type="dcterms:W3CDTF">2026-09-27T06:03:11.311Z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