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优秀目标函数及其约束案例"/>
    <w:p>
      <w:pPr>
        <w:pStyle w:val="Heading1"/>
        <w:spacing w:after="280"/>
        <w:jc w:val="center"/>
      </w:pPr>
      <w:r>
        <w:rPr>
          <w:rFonts w:ascii="Arial" w:hAnsi="Arial" w:eastAsia="黑体"/>
          <w:b/>
          <w:color w:val="000000"/>
          <w:sz w:val="36"/>
        </w:rPr>
        <w:t xml:space="preserve">优秀目标函数及其约束案例</w:t>
      </w:r>
    </w:p>
    <w:p>
      <w:pPr>
        <w:pStyle w:val="BlockText"/>
        <w:jc w:val="both"/>
        <w:shd w:fill="F2F2F2"/>
      </w:pPr>
      <w:r>
        <w:rPr>
          <w:rFonts w:ascii="Times New Roman" w:hAnsi="Times New Roman" w:eastAsia="宋体"/>
          <w:color w:val="000000"/>
          <w:sz w:val="21"/>
        </w:rPr>
        <w:t xml:space="preserve">本文仅整理原文中与</w:t>
      </w:r>
      <w:r>
        <w:rPr>
          <w:rFonts w:ascii="Times New Roman" w:hAnsi="Times New Roman" w:eastAsia="宋体"/>
          <w:b/>
          <w:bCs/>
          <w:color w:val="000000"/>
          <w:sz w:val="21"/>
        </w:rPr>
        <w:t xml:space="preserve">目标函数、决策变量和约束条件</w:t>
      </w:r>
      <w:r>
        <w:rPr>
          <w:rFonts w:ascii="Times New Roman" w:hAnsi="Times New Roman" w:eastAsia="宋体"/>
          <w:color w:val="000000"/>
          <w:sz w:val="21"/>
        </w:rPr>
        <w:t xml:space="preserve">直接相关的建模内容，省略预测模型等无关部分。公式编号沿用原文，便于对照学习。</w:t>
      </w:r>
    </w:p>
    <w:bookmarkStart w:id="25" w:name="案例一确定信息条件下的日前购电优化模型"/>
    <w:p>
      <w:pPr>
        <w:pStyle w:val="Heading2"/>
      </w:pPr>
      <w:r>
        <w:rPr>
          <w:rFonts w:ascii="Arial" w:hAnsi="Arial" w:eastAsia="黑体"/>
          <w:b/>
          <w:color w:val="000000"/>
          <w:sz w:val="30"/>
        </w:rPr>
        <w:t xml:space="preserve">案例一：确定信息条件下的日前购电优化模型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由前述净负荷功率变化可以看出，微网在不同时间段存在明显的电力供需不匹配现象：中午光伏出力较高，部分时段出现光伏发电量超过小区负荷的情况，而傍晚及夜间随着光伏出力下降，系统净负荷显著增加。与此同时，外网电价在一天内具有较明显的峰谷差异，因此可以利用储能设备在时间维度上转移电能，即在低电价或光伏富余时段进行充电，在高电价及净负荷较高时段进行放电，从而减少高价时段的外网购电量。</w:t>
      </w:r>
    </w:p>
    <w:p>
      <w:pPr>
        <w:pStyle w:val="BodyText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问题一中每天的电价和小区负荷保持不变，且在每日 0:00 已知当天光伏发电预测数据，因此可将其视为确定信息条件下的日前购电优化问题。模型以一天总购电费用最低为优化目标，在满足小区用电需求的同时，对外网购电和储能充放电进行联合调度。</w:t>
      </w:r>
    </w:p>
    <w:p>
      <w:pPr>
        <w:pStyle w:val="BodyText"/>
        <w:keepLines/>
        <w:spacing w:before="60" w:after="120"/>
        <w:ind w:firstLine="0"/>
        <w:jc w:val="center"/>
      </w:pPr>
      <w:r>
        <w:t xml:space="preserve">题目要求储能在 0:00 与 24:00 的储电量保持一致。附件数据时间分辨率为 10 min，因此将一天划分为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t xml:space="preserve">个调度时段，记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144</m:t>
        </m:r>
      </m:oMath>
      <w:r>
        <w:t xml:space="preserve">，单个调度周期为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h。</w:t>
      </w:r>
    </w:p>
    <w:bookmarkStart w:id="20" w:name="目标函数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1. 目标函数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问题一要求微网在满足负荷需求和储能运行约束的前提下，使全天外网购电费用最小，因此目标函数写为：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144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t>Δ</m:t>
          </m:r>
          <m:r>
            <m:t>t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  <w:keepLines/>
        <w:spacing w:before="60" w:after="120"/>
        <w:ind w:firstLine="0"/>
        <w:jc w:val="center"/>
      </w:pPr>
      <w:r>
        <w:t xml:space="preserve">式中，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表示微网全天从外部电网购电所产生的总费用；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为第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个调度时段的外网电价，单位为元/kWh；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为购电功率；</w:t>
      </w:r>
      <m:oMath>
        <m:r>
          <m:t>Δ</m:t>
        </m:r>
        <m:r>
          <m:t>t</m:t>
        </m:r>
      </m:oMath>
      <w:r>
        <w:t xml:space="preserve"> </w:t>
      </w:r>
      <w:r>
        <w:t xml:space="preserve">为单个调度时段长度，取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h。</w:t>
      </w:r>
    </w:p>
    <w:bookmarkEnd w:id="20"/>
    <w:bookmarkStart w:id="21" w:name="约束条件-1功率平衡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2. 约束条件 1：功率平衡约束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在任一调度时段内，微网的电力来源与电力消耗应保持实时平衡。考虑外网购电、光伏实际消纳、储能充放电以及小区负荷之间的功率交换关系，有：</w:t>
      </w:r>
    </w:p>
    <w:p>
      <w:pPr>
        <w:pStyle w:val="BodyText"/>
        <w:ind w:firstLine="0"/>
        <w:jc w:val="center"/>
      </w:pPr>
      <w:r>
        <w:rPr>
          <w:rFonts w:ascii="Times New Roman" w:hAnsi="Times New Roman" w:eastAsia="宋体"/>
          <w:b/>
          <w:bCs/>
          <w:color w:val="000000"/>
          <w:sz w:val="23"/>
        </w:rPr>
        <w:t xml:space="preserve">电力来源 = 电力消耗</w:t>
      </w:r>
    </w:p>
    <w:p>
      <w:pPr>
        <w:pStyle w:val="BodyText"/>
        <w:ind w:firstLine="0"/>
        <w:jc w:val="center"/>
      </w:pPr>
      <w:r>
        <w:rPr>
          <w:rFonts w:ascii="Times New Roman" w:hAnsi="Times New Roman" w:eastAsia="宋体"/>
          <w:b/>
          <w:bCs/>
          <w:color w:val="000000"/>
          <w:sz w:val="23"/>
        </w:rPr>
        <w:t xml:space="preserve">购电 + 光伏 - 弃光 + 放电 = 负荷 + 充电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t>P</m:t>
              </m:r>
              <m:r>
                <m:t>V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p>
          </m:sSub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  <w:keepLines/>
        <w:spacing w:before="60" w:after="120"/>
        <w:ind w:firstLine="0"/>
        <w:jc w:val="center"/>
      </w:pPr>
      <w:r>
        <w:t xml:space="preserve">式中，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和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P</m:t>
            </m:r>
            <m:r>
              <m:t>V</m:t>
            </m:r>
          </m:sup>
        </m:sSubSup>
      </m:oMath>
      <w:r>
        <w:t xml:space="preserve"> </w:t>
      </w:r>
      <w:r>
        <w:t xml:space="preserve">分别为第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个时段的小区负荷功率和光伏预测功率；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p>
        </m:sSubSup>
      </m:oMath>
      <w:r>
        <w:t xml:space="preserve"> </w:t>
      </w:r>
      <w:r>
        <w:t xml:space="preserve">表示该时段未被负荷或储能吸收的光伏功率；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bSup>
      </m:oMath>
      <w:r>
        <w:t xml:space="preserve"> </w:t>
      </w:r>
      <w:r>
        <w:t xml:space="preserve">和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p>
        </m:sSubSup>
      </m:oMath>
      <w:r>
        <w:t xml:space="preserve"> </w:t>
      </w:r>
      <w:r>
        <w:t xml:space="preserve">分别为储能充电功率和放电功率。</w:t>
      </w:r>
    </w:p>
    <w:bookmarkEnd w:id="21"/>
    <w:bookmarkStart w:id="22" w:name="约束条件-2外网购电非负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3. 约束条件 2：外网购电非负约束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题目仅涉及微网从外网购电，未给出微网向外网反向售电的交易机制，因此将外网购电功率限制为非负：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≥</m:t>
          </m:r>
          <m:r>
            <m:t>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该约束可避免模型通过负购电功率产生向外网售电的情形。</w:t>
      </w:r>
    </w:p>
    <w:bookmarkEnd w:id="22"/>
    <w:bookmarkStart w:id="23" w:name="约束条件-3弃光功率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4. 约束条件 3：弃光功率约束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当光伏发电功率可以被小区负荷和储能设备完全消纳时，弃光功率为 0；当光伏发电量超过当前负荷需求，且储能设备受到容量上限或最大充电功率限制而无法继续吸收时，允许产生一定弃光功率：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t>P</m:t>
              </m:r>
              <m:r>
                <m:t>V</m:t>
              </m:r>
            </m:sup>
          </m:sSub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该约束保证弃光功率不超过该时段的光伏预测功率，使实际利用的光伏功率始终处于合理范围内。</w:t>
      </w:r>
    </w:p>
    <w:bookmarkEnd w:id="23"/>
    <w:bookmarkStart w:id="24" w:name="约束条件-4储能运行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5. 约束条件 4：储能运行约束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储能额定容量为 12000 kWh。为保护电池，实际储电量保持在 1200～10800 kWh 范围内；最大充、放电功率均为 5000 kW；充、放电效率均为 90%。相应约束为：</w:t>
      </w:r>
    </w:p>
    <w:p>
      <w:pPr>
        <w:pStyle w:val="BodyText"/>
        <w:keepLines/>
        <w:spacing w:before="60" w:after="120"/>
        <w:ind w:firstLine="0"/>
        <w:jc w:val="center"/>
      </w:pPr>
      <w:r>
        <w:t xml:space="preserve">原文式（5）为一组储能运行约束。为便于作为建模案例学习，将其展开如下（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144</m:t>
        </m:r>
      </m:oMath>
      <w:r>
        <w:t xml:space="preserve">）：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0.9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p>
          </m:sSubSup>
          <m:r>
            <m:t>Δ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sup>
              </m:sSubSup>
              <m:r>
                <m:t>Δ</m:t>
              </m:r>
              <m:r>
                <m:t>t</m:t>
              </m:r>
            </m:num>
            <m:den>
              <m:r>
                <m:t>0.9</m:t>
              </m:r>
            </m:den>
          </m:f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1200</m:t>
          </m:r>
          <m:r>
            <m:rPr>
              <m:sty m:val="p"/>
            </m:rPr>
            <m:t>≤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10800</m:t>
          </m:r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≤</m:t>
          </m:r>
          <m:r>
            <m:t>5000</m:t>
          </m:r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≤</m:t>
          </m:r>
          <m:r>
            <m:t>5000</m:t>
          </m:r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144</m:t>
              </m:r>
            </m:sub>
          </m:sSub>
          <m:r>
            <m:rPr>
              <m:sty m:val="p"/>
            </m:rPr>
            <m:t>=</m:t>
          </m:r>
          <m:r>
            <m:t>6000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  <w:keepLines/>
        <w:spacing w:before="60" w:after="120"/>
        <w:ind w:firstLine="0"/>
        <w:jc w:val="center"/>
      </w:pPr>
      <w:r>
        <w:t xml:space="preserve">其中，第一式为 SOC 状态转移方程，表示“本时段储电量 = 上一时段储电量 + 本时段充电量 - 本时段放电量”；第二式限制储能运行电量始终处于安全区间；第三、四式分别限制最大充电功率和最大放电功率；第五式令</w:t>
      </w:r>
      <w:r>
        <w:t xml:space="preserve"> </w:t>
      </w:r>
      <m:oMath>
        <m:r>
          <m:t>S</m:t>
        </m:r>
        <m:r>
          <m:t>O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t>O</m:t>
        </m:r>
        <m:sSub>
          <m:e>
            <m:r>
              <m:t>C</m:t>
            </m:r>
          </m:e>
          <m:sub>
            <m:r>
              <m:t>144</m:t>
            </m:r>
          </m:sub>
        </m:sSub>
        <m:r>
          <m:rPr>
            <m:sty m:val="p"/>
          </m:rPr>
          <m:t>=</m:t>
        </m:r>
        <m:r>
          <m:t>6000</m:t>
        </m:r>
      </m:oMath>
      <w:r>
        <w:t xml:space="preserve">，使储能设备在 24:00 恢复至日初储电状态，从而保证日内调度过程具有完整的能量闭合性。</w:t>
      </w:r>
    </w:p>
    <w:bookmarkEnd w:id="24"/>
    <w:bookmarkEnd w:id="25"/>
    <w:bookmarkStart w:id="31" w:name="案例二考虑负荷光伏不确定场景的日前优化模型"/>
    <w:p>
      <w:pPr>
        <w:pStyle w:val="Heading2"/>
        <w:pageBreakBefore/>
      </w:pPr>
      <w:r>
        <w:rPr>
          <w:rFonts w:ascii="Arial" w:hAnsi="Arial" w:eastAsia="黑体"/>
          <w:b/>
          <w:color w:val="000000"/>
          <w:sz w:val="30"/>
        </w:rPr>
        <w:t xml:space="preserve">案例二：考虑负荷—光伏不确定场景的日前优化模型</w:t>
      </w:r>
    </w:p>
    <w:p>
      <w:pPr>
        <w:pStyle w:val="FirstParagraph"/>
        <w:keepLines/>
        <w:spacing w:before="60" w:after="120"/>
        <w:ind w:firstLine="0"/>
        <w:jc w:val="center"/>
      </w:pPr>
      <w:r>
        <w:t xml:space="preserve">问题二中的总成本由两部分构成：第一部分为第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天 0:00 已经确定的全天计划购电费用，该部分与实际发生的场景无关；第二部分为不同负荷—光伏场景下可能产生的紧急购电费用。由于各随机场景具有不同的紧急购电量，因此采用场景概率对紧急购电费用进行加权，构造期望总购电费用最小目标。</w:t>
      </w:r>
    </w:p>
    <w:bookmarkStart w:id="26" w:name="目标函数-1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1. 目标函数</w:t>
      </w:r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144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144</m:t>
                  </m:r>
                </m:sup>
                <m:e>
                  <m:r>
                    <m:t>5</m:t>
                  </m:r>
                </m:e>
              </m:nary>
            </m:e>
          </m:nary>
          <m:sSub>
            <m:e>
              <m:r>
                <m:t>p</m:t>
              </m:r>
            </m:e>
            <m:sub>
              <m:r>
                <m:t>t</m:t>
              </m:r>
            </m:sub>
          </m:sSub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</m:sup>
          </m:sSubSup>
          <m:r>
            <m:t>Δ</m:t>
          </m:r>
          <m:r>
            <m:t>t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</m:oMath>
      </m:oMathPara>
    </w:p>
    <w:p>
      <w:pPr>
        <w:pStyle w:val="FirstParagraph"/>
        <w:keepLines/>
        <w:spacing w:before="60" w:after="120"/>
        <w:ind w:firstLine="0"/>
        <w:jc w:val="center"/>
      </w:pPr>
      <w:r>
        <w:t xml:space="preserve">式中，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为第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个时段的外网电价；</w:t>
      </w:r>
      <m:oMath>
        <m:sSubSup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为第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天全天计划购电功率；</w:t>
      </w:r>
      <m:oMath>
        <m:sSubSup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</m:sup>
        </m:sSubSup>
      </m:oMath>
      <w:r>
        <w:t xml:space="preserve"> </w:t>
      </w:r>
      <w:r>
        <w:t xml:space="preserve">为场景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下的紧急购电功率。紧急购电价格取正常交易电价的 5 倍，使模型在“提高全天计划购电量所增加的正常购电费用”与“降低紧急购电风险所获得的收益”之间进行权衡。</w:t>
      </w:r>
    </w:p>
    <w:bookmarkEnd w:id="26"/>
    <w:bookmarkStart w:id="27" w:name="约束条件-1场景功率平衡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2. 约束条件 1：场景功率平衡约束</w:t>
      </w:r>
    </w:p>
    <w:p>
      <w:pPr>
        <w:pStyle w:val="FirstParagraph"/>
        <w:keepLines/>
        <w:spacing w:before="60" w:after="120"/>
        <w:ind w:firstLine="0"/>
        <w:jc w:val="center"/>
      </w:pPr>
      <w:r>
        <w:t xml:space="preserve">对于任意场景</w:t>
      </w:r>
      <w:r>
        <w:t xml:space="preserve"> </w:t>
      </w:r>
      <m:oMath>
        <m:r>
          <m:t>s</m:t>
        </m:r>
      </m:oMath>
      <w:r>
        <w:t xml:space="preserve">，每个 10 min 调度时段内均必须满足电力供需平衡。与案例一相比，此处增加紧急购电这一补救电源，因此有：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P</m:t>
              </m:r>
              <m:r>
                <m:t>V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p>
          </m:sSub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</m:oMath>
      </m:oMathPara>
    </w:p>
    <w:p>
      <w:pPr>
        <w:pStyle w:val="FirstParagraph"/>
        <w:keepLines/>
        <w:spacing w:before="60" w:after="120"/>
        <w:ind w:firstLine="0"/>
        <w:jc w:val="center"/>
      </w:pPr>
      <w:r>
        <w:t xml:space="preserve">其中，</w:t>
      </w:r>
      <m:oMath>
        <m:sSubSup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为场景无关变量，即无论最终发生哪一种场景，0:00 确定的全天计划均不能随之改变；</w:t>
      </w:r>
      <m:oMath>
        <m:sSubSup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</m:sup>
        </m:sSubSup>
      </m:oMath>
      <w:r>
        <w:t xml:space="preserve"> </w:t>
      </w:r>
      <w:r>
        <w:t xml:space="preserve">以及光伏实际利用功率、充放电功率等均为场景相关变量。若计划购电、光伏和储能放电已经能够满足负荷，则</w:t>
      </w:r>
      <w:r>
        <w:t xml:space="preserve"> </w:t>
      </w:r>
      <m:oMath>
        <m:sSubSup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；若仍存在供电缺口，则由紧急购电自动补充。</w:t>
      </w:r>
    </w:p>
    <w:bookmarkEnd w:id="27"/>
    <w:bookmarkStart w:id="28" w:name="约束条件-2购电功率非负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3. 约束条件 2：购电功率非负约束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全天计划购电和紧急购电均表示微网从外网获取的功率，因此取值均应非负：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,</m:t>
          </m:r>
          <m:r>
            <m:t>s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</m:e>
          </m:d>
        </m:oMath>
      </m:oMathPara>
    </w:p>
    <w:bookmarkEnd w:id="28"/>
    <w:bookmarkStart w:id="29" w:name="约束条件-3场景弃光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4. 约束条件 3：场景弃光约束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当场景中的光伏功率超过当前负荷需求以及储能吸收能力时，允许产生一定弃光，因此设置：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t>P</m:t>
              </m:r>
              <m:r>
                <m:t>V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,</m:t>
          </m:r>
          <m:r>
            <m:t>s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</m:e>
          </m:d>
        </m:oMath>
      </m:oMathPara>
    </w:p>
    <w:bookmarkEnd w:id="29"/>
    <w:bookmarkStart w:id="30" w:name="储能场景运行约束"/>
    <w:p>
      <w:pPr>
        <w:pStyle w:val="Heading3"/>
      </w:pPr>
      <w:r>
        <w:rPr>
          <w:rFonts w:ascii="Arial" w:hAnsi="Arial" w:eastAsia="黑体"/>
          <w:b/>
          <w:color w:val="000000"/>
          <w:sz w:val="26"/>
        </w:rPr>
        <w:t xml:space="preserve">5. 储能场景运行约束</w:t>
      </w:r>
    </w:p>
    <w:p>
      <w:pPr>
        <w:pStyle w:val="FirstParagraph"/>
        <w:ind w:firstLine="420"/>
        <w:jc w:val="both"/>
      </w:pPr>
      <w:r>
        <w:rPr>
          <w:rFonts w:ascii="Times New Roman" w:hAnsi="Times New Roman" w:eastAsia="宋体"/>
          <w:color w:val="000000"/>
          <w:sz w:val="23"/>
        </w:rPr>
        <w:t xml:space="preserve">问题二沿用案例一中的储能物理参数，包括 90% 的充、放电效率，1200～10800 kWh 的储电量安全范围，以及 5000 kW 的最大充、放电功率。由于各负荷—光伏场景不同，储能设备面对的实时供需状态也不同，因此储能充放电功率及 SOC 均设置为场景相关变量：</w:t>
      </w:r>
    </w:p>
    <w:p>
      <w:pPr>
        <w:pStyle w:val="BodyText"/>
        <w:keepLines/>
        <w:spacing w:before="60" w:after="120"/>
        <w:ind w:firstLine="0"/>
        <w:jc w:val="center"/>
      </w:pPr>
      <w:r>
        <w:t xml:space="preserve">原文式（12）为一组场景相关的储能运行约束。为便于学习，将其展开如下（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,</m:t>
        </m:r>
        <m:r>
          <m:t>s</m:t>
        </m:r>
      </m:oMath>
      <w:r>
        <w:t xml:space="preserve">）：</w:t>
      </w:r>
    </w:p>
    <w:p>
      <w:pPr>
        <w:pStyle w:val="BodyText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r>
            <m:t>0.9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p>
          </m:sSubSup>
          <m:r>
            <m:t>Δ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sup>
              </m:sSubSup>
              <m:r>
                <m:t>Δ</m:t>
              </m:r>
              <m:r>
                <m:t>t</m:t>
              </m:r>
            </m:num>
            <m:den>
              <m:r>
                <m:t>0.9</m:t>
              </m:r>
            </m:den>
          </m:f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1200</m:t>
          </m:r>
          <m:r>
            <m:rPr>
              <m:sty m:val="p"/>
            </m:rPr>
            <m:t>≤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10800</m:t>
          </m:r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≤</m:t>
          </m:r>
          <m:r>
            <m:t>5000</m:t>
          </m:r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≤</m:t>
          </m:r>
          <m:r>
            <m:t>5000</m:t>
          </m:r>
        </m:oMath>
      </m:oMathPara>
    </w:p>
    <w:p>
      <w:pPr>
        <w:pStyle w:val="FirstParagraph"/>
        <w:keepLines/>
        <w:spacing w:before="60" w:after="120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144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12</m:t>
              </m:r>
            </m:e>
          </m:d>
        </m:oMath>
      </m:oMathPara>
    </w:p>
    <w:p>
      <w:pPr>
        <w:pStyle w:val="FirstParagraph"/>
        <w:keepLines/>
        <w:spacing w:before="60" w:after="120"/>
        <w:ind w:firstLine="0"/>
        <w:jc w:val="center"/>
      </w:pPr>
      <w:r>
        <w:t xml:space="preserve">其中，第一式为场景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下储能 SOC 状态转移方程；第二式限制储能运行电量始终处于安全区间；第三、四式分别限制最大充电功率和最大放电功率；第五式要求首末时段 SOC 相等，以保证单日调度前后的储能能量闭合。</w:t>
      </w:r>
    </w:p>
    <w:bookmarkEnd w:id="30"/>
    <w:bookmarkEnd w:id="31"/>
    <w:bookmarkEnd w:id="32"/>
    <w:sectPr>
      <w:footerReference w:type="default" r:id="rId9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Times New Roman" w:hAnsi="Times New Roman" w:eastAsia="宋体"/>
      <w:b w:val="0"/>
      <w:color w:val="000000"/>
      <w:sz w:val="23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</w:pPr>
    <w:rPr>
      <w:rFonts w:ascii="Times New Roman" w:hAnsi="Times New Roman" w:eastAsia="宋体"/>
      <w:b w:val="0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</w:pPr>
    <w:rPr>
      <w:rFonts w:ascii="Times New Roman" w:hAnsi="Times New Roman" w:eastAsia="宋体"/>
      <w:b w:val="0"/>
      <w:color w:val="000000"/>
      <w:sz w:val="23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00" w:line="336" w:lineRule="auto"/>
      <w:ind w:firstLine="0" w:left="397" w:right="397"/>
    </w:pPr>
    <w:rPr>
      <w:rFonts w:ascii="Times New Roman" w:hAnsi="Times New Roman" w:eastAsia="宋体"/>
      <w:b w:val="0"/>
      <w:color w:val="00000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优秀目标函数及其约束案例</dc:title>
  <dc:creator/>
  <cp:keywords/>
  <dcterms:created xsi:type="dcterms:W3CDTF">2026-09-11T05:22:50Z</dcterms:created>
  <dcterms:modified xsi:type="dcterms:W3CDTF">2026-09-11T05:22:50Z</dcterms:modified>
  <dc:subject>数学建模优化模型写作案例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