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65"/>
        <w:gridCol w:w="839"/>
        <w:gridCol w:w="1389"/>
        <w:gridCol w:w="1181"/>
      </w:tblGrid>
      <w:tr>
        <w:trPr>
          <w:trHeight w:val="61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Between 19 to 40 years 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Between 41 to 60 years 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60 years 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ART initiation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Late initiator of 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Early initiator of 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0.31, 20.3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3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Baseline bacterial infections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57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Baseline TB infection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0.10, 8.69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TB medication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0.19, 15.2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Bactrim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0.92, 29.3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WHO clinical diagnosed HIV-1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0.60, 30.7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Baseline viral load (copies/mL)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51 - 1000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Baseline CD4+ cell counts (cells per microliter)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20 - 100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101 - 200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201 - 500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0.45, 2.47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0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501 - 1007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0.06, 5.49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Haemoglobin count (grams per decilitre)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Less than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body43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Greater than 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0.57, 1.91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2024-03-09T10:18:39Z</dcterms:modified>
  <cp:category/>
</cp:coreProperties>
</file>