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4"/>
        <w:gridCol w:w="839"/>
        <w:gridCol w:w="1389"/>
        <w:gridCol w:w="1181"/>
      </w:tblGrid>
      <w:tr>
        <w:trPr>
          <w:trHeight w:val="61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Between 19 to 30 years 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Between 31 to 40 years 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Between 41 to 50 years 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Greater than 50 years 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Monthly income (South African Rands)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&lt;R3 000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&gt;R10 000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R3 000 to R10 000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WHO clinical diagnosed HIV-1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Baseline TB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Haemoglobin count (grams per decilitre)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Less than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Greater than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ART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Late initiator of ART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Early initiator of ART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1.13, 3.87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2024-03-09T10:11:27Z</dcterms:modified>
  <cp:category/>
</cp:coreProperties>
</file>