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810"/>
        <w:gridCol w:w="2061"/>
        <w:gridCol w:w="2245"/>
        <w:gridCol w:w="2123"/>
        <w:gridCol w:w="2153"/>
        <w:gridCol w:w="1181"/>
      </w:tblGrid>
      <w:tr>
        <w:trPr>
          <w:trHeight w:val="617" w:hRule="auto"/>
          <w:tblHeader/>
        </w:trPr>
        header 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534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CD4&lt;500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402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CD4&gt;500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83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(Missing)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Sex, n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378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272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 (87%)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(in Years), Median (IQR: 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(IQR: 29 - 44)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(IQR: 29 - 44)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(IQR: 26 - 40)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(IQR: 27 - 48)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71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ranges,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Less than or equal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Between 21 and 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Between 41 and 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Greater than 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Marital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</w:tr>
      <w:tr>
        <w:trPr>
          <w:trHeight w:val="61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Divorced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346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Education,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 formal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Primary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Secondary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194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Some post-secondary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Some primary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Some secondary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Monthly income (ZAR),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Greater than R10 000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Less than R3 000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Not applicable (students and unemployed)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265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R3 000 to R10 000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Employment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263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Unemployed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265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Geographical area lived in when acquired HIV infection,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Gauteng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KwaZulu Natal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Lesotho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Limpopo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420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327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Mpumalanga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North 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Zimbabwe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Probable Year of HIV infection,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</w:tr>
      <w:tr>
        <w:trPr>
          <w:trHeight w:val="617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2002 - 2014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2015-2017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WHO clinical diagnosed HIV-1 Stage,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</w:tr>
      <w:tr>
        <w:trPr>
          <w:trHeight w:val="61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409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311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Tuberculosis infection,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439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317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Cryptococcus infection,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527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Herpes infection,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528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397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Bacterial infections,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462 (87%)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333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Fungal infection,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528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396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Non-communicable diseases (hypertension, diabetes, and asthma),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17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523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396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ARV regimen,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ABC/3TC/EFV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AZT/3TC/EFV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TDF/FTC/EFV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529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397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TB medication (RHZE and INH),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7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455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331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Acyclovir (Antiviral),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Antibiotics (Augmentin, Amoxicillin, Ceftriaxone, cloxacillin, erythromycin, flagyl),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526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394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Medication for non-communicable diseases,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17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529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Bactrim,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444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Vitamin and mineral supplements,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344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248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Flucozole (antifungal),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528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396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CD4 measurement pre-ART initiation (cells per µl blood),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Less than 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50 - 100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101 – 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201 – 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351 – 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501 – 1024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Percentage CD4+ cells pre-ART initiation,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Less than 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5% – 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11% –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21% – 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31% – 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41% – 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Haemoglobin measurements pre-ART initiation (grams per decilitre),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4 - 6.4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6.5 - 7.9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8 - 10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10.1 - 12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Greater than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Viral load measurement pre-ART initiation (viral count per ml blood),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Not detected –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20 – 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51 - 1000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1001 - 7283606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381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312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 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(IQR) for continuous variables; n (%) for categorical variables</w:t>
            </w:r>
          </w:p>
        </w:tc>
      </w:tr>
      <w:tr>
        <w:trPr>
          <w:trHeight w:val="360" w:hRule="auto"/>
        </w:trPr>
        footer 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test; Kruskal-Wallis rank sum test; Fisher's exact test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2024-03-09T10:09:24Z</dcterms:modified>
  <cp:category/>
</cp:coreProperties>
</file>