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2A63" w14:textId="77777777" w:rsidR="00317A98" w:rsidRPr="00317A98" w:rsidRDefault="00317A98" w:rsidP="00317A98">
      <w:pPr>
        <w:rPr>
          <w:b/>
          <w:bCs/>
        </w:rPr>
      </w:pPr>
      <w:r w:rsidRPr="00317A98">
        <w:rPr>
          <w:b/>
          <w:bCs/>
        </w:rPr>
        <w:t>Project Report: Multi-</w:t>
      </w:r>
      <w:proofErr w:type="spellStart"/>
      <w:r w:rsidRPr="00317A98">
        <w:rPr>
          <w:b/>
          <w:bCs/>
        </w:rPr>
        <w:t>Omic</w:t>
      </w:r>
      <w:proofErr w:type="spellEnd"/>
      <w:r w:rsidRPr="00317A98">
        <w:rPr>
          <w:b/>
          <w:bCs/>
        </w:rPr>
        <w:t xml:space="preserve"> Cancer Type Classification</w:t>
      </w:r>
    </w:p>
    <w:p w14:paraId="0CD0E9A4" w14:textId="77777777" w:rsidR="00317A98" w:rsidRPr="00317A98" w:rsidRDefault="00317A98" w:rsidP="00317A98">
      <w:pPr>
        <w:rPr>
          <w:b/>
          <w:bCs/>
        </w:rPr>
      </w:pPr>
      <w:r w:rsidRPr="00317A98">
        <w:rPr>
          <w:b/>
          <w:bCs/>
        </w:rPr>
        <w:t>1. Main Objective</w:t>
      </w:r>
    </w:p>
    <w:p w14:paraId="459FEB9B" w14:textId="6B05FA62" w:rsidR="00317A98" w:rsidRPr="00317A98" w:rsidRDefault="00317A98" w:rsidP="00317A98">
      <w:r w:rsidRPr="00317A98">
        <w:t xml:space="preserve">The primary objective of this analysis was </w:t>
      </w:r>
      <w:r w:rsidRPr="00317A98">
        <w:rPr>
          <w:b/>
          <w:bCs/>
        </w:rPr>
        <w:t>prediction</w:t>
      </w:r>
      <w:r w:rsidRPr="00317A98">
        <w:t>: to develop a machine learning model capable of accurately classifying the type of cancer based on a patient's multi-</w:t>
      </w:r>
      <w:r w:rsidRPr="00317A98">
        <w:t>omics</w:t>
      </w:r>
      <w:r w:rsidRPr="00317A98">
        <w:t xml:space="preserve"> data (RNA sequencing, DNA methylation, and miRNA sequencing). The intended audience for this model could be researchers or clinicians seeking automated tools for cancer type identification. Accurate classification provides foundational information for understanding </w:t>
      </w:r>
      <w:r>
        <w:t>tumour</w:t>
      </w:r>
      <w:r w:rsidRPr="00317A98">
        <w:t xml:space="preserve"> biology and potentially guiding further diagnostic or therapeutic research directions. While high accuracy was the goal, understanding the key drivers behind the classification was also explored.</w:t>
      </w:r>
    </w:p>
    <w:p w14:paraId="231E6789" w14:textId="77777777" w:rsidR="00317A98" w:rsidRPr="00317A98" w:rsidRDefault="00317A98" w:rsidP="00317A98">
      <w:r w:rsidRPr="00317A98">
        <w:pict w14:anchorId="7779C06D">
          <v:rect id="_x0000_i1061" style="width:0;height:1.5pt" o:hralign="center" o:hrstd="t" o:hr="t" fillcolor="#a0a0a0" stroked="f"/>
        </w:pict>
      </w:r>
    </w:p>
    <w:p w14:paraId="6076BE85" w14:textId="77777777" w:rsidR="00317A98" w:rsidRPr="00317A98" w:rsidRDefault="00317A98" w:rsidP="00317A98">
      <w:pPr>
        <w:rPr>
          <w:b/>
          <w:bCs/>
        </w:rPr>
      </w:pPr>
      <w:r w:rsidRPr="00317A98">
        <w:rPr>
          <w:b/>
          <w:bCs/>
        </w:rPr>
        <w:t>2. Data Description</w:t>
      </w:r>
    </w:p>
    <w:p w14:paraId="4677E6A8" w14:textId="35A306FA" w:rsidR="00317A98" w:rsidRPr="00317A98" w:rsidRDefault="00317A98" w:rsidP="00317A98">
      <w:r w:rsidRPr="00317A98">
        <w:t xml:space="preserve">This analysis </w:t>
      </w:r>
      <w:r>
        <w:t>utilised</w:t>
      </w:r>
      <w:r w:rsidRPr="00317A98">
        <w:t xml:space="preserve"> the </w:t>
      </w:r>
      <w:r w:rsidRPr="00317A98">
        <w:rPr>
          <w:b/>
          <w:bCs/>
        </w:rPr>
        <w:t>TCGA-</w:t>
      </w:r>
      <w:proofErr w:type="spellStart"/>
      <w:r w:rsidRPr="00317A98">
        <w:rPr>
          <w:b/>
          <w:bCs/>
        </w:rPr>
        <w:t>PanCan</w:t>
      </w:r>
      <w:proofErr w:type="spellEnd"/>
      <w:r w:rsidRPr="00317A98">
        <w:rPr>
          <w:b/>
          <w:bCs/>
        </w:rPr>
        <w:t xml:space="preserve"> dataset</w:t>
      </w:r>
      <w:r w:rsidRPr="00317A98">
        <w:t xml:space="preserve"> available on Kaggle. This dataset comprises multi-</w:t>
      </w:r>
      <w:r w:rsidRPr="00317A98">
        <w:t>omics</w:t>
      </w:r>
      <w:r w:rsidRPr="00317A98">
        <w:t xml:space="preserve"> profiles from The Cancer Genome Atlas (TCGA) Pan-Cancer Atlas project, covering thousands of patient samples across </w:t>
      </w:r>
      <w:r w:rsidRPr="00317A98">
        <w:rPr>
          <w:b/>
          <w:bCs/>
        </w:rPr>
        <w:t>18 distinct cancer types</w:t>
      </w:r>
      <w:r w:rsidRPr="00317A98">
        <w:t>. The specific data modalities used were:</w:t>
      </w:r>
    </w:p>
    <w:p w14:paraId="00D89BEB" w14:textId="77777777" w:rsidR="00317A98" w:rsidRPr="00317A98" w:rsidRDefault="00317A98" w:rsidP="00317A98">
      <w:pPr>
        <w:numPr>
          <w:ilvl w:val="0"/>
          <w:numId w:val="1"/>
        </w:numPr>
      </w:pPr>
      <w:r w:rsidRPr="00317A98">
        <w:rPr>
          <w:b/>
          <w:bCs/>
        </w:rPr>
        <w:t>RNA-</w:t>
      </w:r>
      <w:proofErr w:type="spellStart"/>
      <w:r w:rsidRPr="00317A98">
        <w:rPr>
          <w:b/>
          <w:bCs/>
        </w:rPr>
        <w:t>seq</w:t>
      </w:r>
      <w:proofErr w:type="spellEnd"/>
      <w:r w:rsidRPr="00317A98">
        <w:rPr>
          <w:b/>
          <w:bCs/>
        </w:rPr>
        <w:t>:</w:t>
      </w:r>
      <w:r w:rsidRPr="00317A98">
        <w:t xml:space="preserve"> Gene expression levels (</w:t>
      </w:r>
      <w:proofErr w:type="spellStart"/>
      <w:r w:rsidRPr="00317A98">
        <w:t>tpm_unstranded</w:t>
      </w:r>
      <w:proofErr w:type="spellEnd"/>
      <w:r w:rsidRPr="00317A98">
        <w:t>).</w:t>
      </w:r>
    </w:p>
    <w:p w14:paraId="10E23488" w14:textId="77777777" w:rsidR="00317A98" w:rsidRPr="00317A98" w:rsidRDefault="00317A98" w:rsidP="00317A98">
      <w:pPr>
        <w:numPr>
          <w:ilvl w:val="0"/>
          <w:numId w:val="1"/>
        </w:numPr>
      </w:pPr>
      <w:r w:rsidRPr="00317A98">
        <w:rPr>
          <w:b/>
          <w:bCs/>
        </w:rPr>
        <w:t>DNA Methylation:</w:t>
      </w:r>
      <w:r w:rsidRPr="00317A98">
        <w:t xml:space="preserve"> Beta values indicating methylation levels at specific CpG sites (beta).</w:t>
      </w:r>
    </w:p>
    <w:p w14:paraId="5105F4B0" w14:textId="77777777" w:rsidR="00317A98" w:rsidRPr="00317A98" w:rsidRDefault="00317A98" w:rsidP="00317A98">
      <w:pPr>
        <w:numPr>
          <w:ilvl w:val="0"/>
          <w:numId w:val="1"/>
        </w:numPr>
      </w:pPr>
      <w:r w:rsidRPr="00317A98">
        <w:rPr>
          <w:b/>
          <w:bCs/>
        </w:rPr>
        <w:t>miRNA-</w:t>
      </w:r>
      <w:proofErr w:type="spellStart"/>
      <w:r w:rsidRPr="00317A98">
        <w:rPr>
          <w:b/>
          <w:bCs/>
        </w:rPr>
        <w:t>seq</w:t>
      </w:r>
      <w:proofErr w:type="spellEnd"/>
      <w:r w:rsidRPr="00317A98">
        <w:rPr>
          <w:b/>
          <w:bCs/>
        </w:rPr>
        <w:t>:</w:t>
      </w:r>
      <w:r w:rsidRPr="00317A98">
        <w:t xml:space="preserve"> MicroRNA expression levels (</w:t>
      </w:r>
      <w:proofErr w:type="spellStart"/>
      <w:r w:rsidRPr="00317A98">
        <w:t>reads_per_million_miRNA_mapped</w:t>
      </w:r>
      <w:proofErr w:type="spellEnd"/>
      <w:r w:rsidRPr="00317A98">
        <w:t>).</w:t>
      </w:r>
    </w:p>
    <w:p w14:paraId="6C88DA84" w14:textId="77777777" w:rsidR="00317A98" w:rsidRPr="00317A98" w:rsidRDefault="00317A98" w:rsidP="00317A98">
      <w:r w:rsidRPr="00317A98">
        <w:t xml:space="preserve">Combining these modalities resulted in an extremely high-dimensional dataset with </w:t>
      </w:r>
      <w:r w:rsidRPr="00317A98">
        <w:rPr>
          <w:b/>
          <w:bCs/>
        </w:rPr>
        <w:t>548,968 features</w:t>
      </w:r>
      <w:r w:rsidRPr="00317A98">
        <w:t xml:space="preserve"> per patient. The goal was to train a multi-class classifier to predict the CANCER_TYPE label based on these combined features.</w:t>
      </w:r>
    </w:p>
    <w:p w14:paraId="5933E28D" w14:textId="77777777" w:rsidR="00317A98" w:rsidRPr="00317A98" w:rsidRDefault="00317A98" w:rsidP="00317A98">
      <w:r w:rsidRPr="00317A98">
        <w:pict w14:anchorId="14D80CD0">
          <v:rect id="_x0000_i1062" style="width:0;height:1.5pt" o:hralign="center" o:hrstd="t" o:hr="t" fillcolor="#a0a0a0" stroked="f"/>
        </w:pict>
      </w:r>
    </w:p>
    <w:p w14:paraId="36872AF1" w14:textId="77777777" w:rsidR="00317A98" w:rsidRPr="00317A98" w:rsidRDefault="00317A98" w:rsidP="00317A98">
      <w:pPr>
        <w:rPr>
          <w:b/>
          <w:bCs/>
        </w:rPr>
      </w:pPr>
      <w:r w:rsidRPr="00317A98">
        <w:rPr>
          <w:b/>
          <w:bCs/>
        </w:rPr>
        <w:t>3. Data Exploration, Cleaning, and Feature Engineering Summary</w:t>
      </w:r>
    </w:p>
    <w:p w14:paraId="7A8732B8" w14:textId="59A79D12" w:rsidR="00317A98" w:rsidRDefault="00317A98" w:rsidP="00317A98">
      <w:pPr>
        <w:numPr>
          <w:ilvl w:val="0"/>
          <w:numId w:val="2"/>
        </w:numPr>
      </w:pPr>
      <w:r w:rsidRPr="00317A98">
        <w:rPr>
          <w:b/>
          <w:bCs/>
        </w:rPr>
        <w:t>Exploration:</w:t>
      </w:r>
      <w:r w:rsidRPr="00317A98">
        <w:t xml:space="preserve"> Initial analysis revealed a significant </w:t>
      </w:r>
      <w:r w:rsidRPr="00317A98">
        <w:rPr>
          <w:b/>
          <w:bCs/>
        </w:rPr>
        <w:t>class imbalance</w:t>
      </w:r>
      <w:r w:rsidRPr="00317A98">
        <w:t xml:space="preserve"> within the target variable (CANCER_TYPE). The largest class (Non-Small Cell Lung Cancer) contained 790 samples, while the smallest (Ovarian Epithelial </w:t>
      </w:r>
      <w:r>
        <w:t>Tumour</w:t>
      </w:r>
      <w:r w:rsidRPr="00317A98">
        <w:t>) had only 8 samples after cleaning. This imbalance necessitated the use of stratified sampling and appropriate evaluation metrics (like weighted F1-score).</w:t>
      </w:r>
    </w:p>
    <w:p w14:paraId="0289EAF0" w14:textId="1DDB077B" w:rsidR="00D24A69" w:rsidRDefault="00D24A69" w:rsidP="00D24A69">
      <w:r>
        <w:rPr>
          <w:noProof/>
        </w:rPr>
        <w:lastRenderedPageBreak/>
        <w:drawing>
          <wp:inline distT="0" distB="0" distL="0" distR="0" wp14:anchorId="76BAB7C2" wp14:editId="402E1636">
            <wp:extent cx="5731510" cy="3867150"/>
            <wp:effectExtent l="0" t="0" r="2540" b="0"/>
            <wp:docPr id="1"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Diagramma, Carattere&#10;&#10;Il contenuto generato dall'IA potrebbe non essere corretto."/>
                    <pic:cNvPicPr/>
                  </pic:nvPicPr>
                  <pic:blipFill>
                    <a:blip r:embed="rId5">
                      <a:extLst>
                        <a:ext uri="{28A0092B-C50C-407E-A947-70E740481C1C}">
                          <a14:useLocalDpi xmlns:a14="http://schemas.microsoft.com/office/drawing/2010/main" val="0"/>
                        </a:ext>
                      </a:extLst>
                    </a:blip>
                    <a:stretch>
                      <a:fillRect/>
                    </a:stretch>
                  </pic:blipFill>
                  <pic:spPr>
                    <a:xfrm>
                      <a:off x="0" y="0"/>
                      <a:ext cx="5731510" cy="3867150"/>
                    </a:xfrm>
                    <a:prstGeom prst="rect">
                      <a:avLst/>
                    </a:prstGeom>
                  </pic:spPr>
                </pic:pic>
              </a:graphicData>
            </a:graphic>
          </wp:inline>
        </w:drawing>
      </w:r>
    </w:p>
    <w:p w14:paraId="1D84CBA1" w14:textId="77777777" w:rsidR="00D24A69" w:rsidRPr="00317A98" w:rsidRDefault="00D24A69" w:rsidP="00D24A69"/>
    <w:p w14:paraId="2FB1AE83" w14:textId="77777777" w:rsidR="00317A98" w:rsidRPr="00317A98" w:rsidRDefault="00317A98" w:rsidP="00317A98">
      <w:pPr>
        <w:numPr>
          <w:ilvl w:val="0"/>
          <w:numId w:val="2"/>
        </w:numPr>
      </w:pPr>
      <w:r w:rsidRPr="00317A98">
        <w:rPr>
          <w:b/>
          <w:bCs/>
        </w:rPr>
        <w:t>Cleaning:</w:t>
      </w:r>
      <w:r w:rsidRPr="00317A98">
        <w:t xml:space="preserve"> The dataset, sourced from processed TCGA files, was relatively clean. Patients missing one or more of the three required data files were excluded, resulting in a final cohort of </w:t>
      </w:r>
      <w:r w:rsidRPr="00317A98">
        <w:rPr>
          <w:b/>
          <w:bCs/>
        </w:rPr>
        <w:t>4,106 patients</w:t>
      </w:r>
      <w:r w:rsidRPr="00317A98">
        <w:t xml:space="preserve"> for analysis. </w:t>
      </w:r>
      <w:proofErr w:type="spellStart"/>
      <w:r w:rsidRPr="00317A98">
        <w:t>NaN</w:t>
      </w:r>
      <w:proofErr w:type="spellEnd"/>
      <w:r w:rsidRPr="00317A98">
        <w:t xml:space="preserve"> values encountered during processing were imputed with 0.</w:t>
      </w:r>
    </w:p>
    <w:p w14:paraId="4E80A032" w14:textId="77777777" w:rsidR="00317A98" w:rsidRPr="00317A98" w:rsidRDefault="00317A98" w:rsidP="00317A98">
      <w:pPr>
        <w:numPr>
          <w:ilvl w:val="0"/>
          <w:numId w:val="2"/>
        </w:numPr>
      </w:pPr>
      <w:r w:rsidRPr="00317A98">
        <w:rPr>
          <w:b/>
          <w:bCs/>
        </w:rPr>
        <w:t>Feature Engineering:</w:t>
      </w:r>
      <w:r w:rsidRPr="00317A98">
        <w:t xml:space="preserve"> The primary challenge was the extreme dimensionality (548k features), which caused memory errors and prohibitive training times. To address this, </w:t>
      </w:r>
      <w:r w:rsidRPr="00317A98">
        <w:rPr>
          <w:b/>
          <w:bCs/>
        </w:rPr>
        <w:t>Principal Component Analysis (PCA)</w:t>
      </w:r>
      <w:r w:rsidRPr="00317A98">
        <w:t xml:space="preserve"> was applied. The 548k features were reduced to </w:t>
      </w:r>
      <w:r w:rsidRPr="00317A98">
        <w:rPr>
          <w:b/>
          <w:bCs/>
        </w:rPr>
        <w:t>300 principal components</w:t>
      </w:r>
      <w:r w:rsidRPr="00317A98">
        <w:t xml:space="preserve">, capturing a significant portion of the data's variance while making model training computationally feasible. Data was scaled using </w:t>
      </w:r>
      <w:proofErr w:type="spellStart"/>
      <w:r w:rsidRPr="00317A98">
        <w:t>StandardScaler</w:t>
      </w:r>
      <w:proofErr w:type="spellEnd"/>
      <w:r w:rsidRPr="00317A98">
        <w:t xml:space="preserve"> prior to PCA.</w:t>
      </w:r>
    </w:p>
    <w:p w14:paraId="378E7861" w14:textId="77777777" w:rsidR="00317A98" w:rsidRPr="00317A98" w:rsidRDefault="00317A98" w:rsidP="00317A98">
      <w:r w:rsidRPr="00317A98">
        <w:pict w14:anchorId="3F703ABD">
          <v:rect id="_x0000_i1063" style="width:0;height:1.5pt" o:hralign="center" o:hrstd="t" o:hr="t" fillcolor="#a0a0a0" stroked="f"/>
        </w:pict>
      </w:r>
    </w:p>
    <w:p w14:paraId="6FACEF63" w14:textId="77777777" w:rsidR="00317A98" w:rsidRPr="00317A98" w:rsidRDefault="00317A98" w:rsidP="00317A98">
      <w:pPr>
        <w:rPr>
          <w:b/>
          <w:bCs/>
        </w:rPr>
      </w:pPr>
      <w:r w:rsidRPr="00317A98">
        <w:rPr>
          <w:b/>
          <w:bCs/>
        </w:rPr>
        <w:t>4. Summary of Classifier Models Trained</w:t>
      </w:r>
    </w:p>
    <w:p w14:paraId="5868941C" w14:textId="77777777" w:rsidR="00317A98" w:rsidRPr="00317A98" w:rsidRDefault="00317A98" w:rsidP="00317A98">
      <w:r w:rsidRPr="00317A98">
        <w:t>Three distinct classifiers were trained on the 300 PCA components, using a stratified 80/20 train/test split. Baseline models were trained first, followed by optimization attempts.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1115"/>
        <w:gridCol w:w="1281"/>
        <w:gridCol w:w="1284"/>
        <w:gridCol w:w="1533"/>
        <w:gridCol w:w="2154"/>
      </w:tblGrid>
      <w:tr w:rsidR="00317A98" w:rsidRPr="00317A98" w14:paraId="7131E3B8" w14:textId="77777777" w:rsidTr="00317A9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F06ECC9" w14:textId="77777777" w:rsidR="00317A98" w:rsidRPr="00317A98" w:rsidRDefault="00317A98" w:rsidP="00317A98">
            <w:r w:rsidRPr="00317A98">
              <w:rPr>
                <w:b/>
                <w:bCs/>
              </w:rPr>
              <w:lastRenderedPageBreak/>
              <w:t>Model</w:t>
            </w:r>
          </w:p>
        </w:tc>
        <w:tc>
          <w:tcPr>
            <w:tcW w:w="0" w:type="auto"/>
            <w:tcBorders>
              <w:top w:val="single" w:sz="6" w:space="0" w:color="auto"/>
              <w:left w:val="single" w:sz="6" w:space="0" w:color="auto"/>
              <w:bottom w:val="single" w:sz="6" w:space="0" w:color="auto"/>
              <w:right w:val="single" w:sz="6" w:space="0" w:color="auto"/>
            </w:tcBorders>
            <w:vAlign w:val="center"/>
            <w:hideMark/>
          </w:tcPr>
          <w:p w14:paraId="07B6A31B" w14:textId="77777777" w:rsidR="00317A98" w:rsidRPr="00317A98" w:rsidRDefault="00317A98" w:rsidP="00317A98">
            <w:r w:rsidRPr="00317A98">
              <w:rPr>
                <w:b/>
                <w:bCs/>
              </w:rPr>
              <w:t>Training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049BEC3F" w14:textId="77777777" w:rsidR="00317A98" w:rsidRPr="00317A98" w:rsidRDefault="00317A98" w:rsidP="00317A98">
            <w:r w:rsidRPr="00317A98">
              <w:rPr>
                <w:b/>
                <w:bCs/>
              </w:rPr>
              <w:t>Overall Accuracy</w:t>
            </w:r>
          </w:p>
        </w:tc>
        <w:tc>
          <w:tcPr>
            <w:tcW w:w="0" w:type="auto"/>
            <w:tcBorders>
              <w:top w:val="single" w:sz="6" w:space="0" w:color="auto"/>
              <w:left w:val="single" w:sz="6" w:space="0" w:color="auto"/>
              <w:bottom w:val="single" w:sz="6" w:space="0" w:color="auto"/>
              <w:right w:val="single" w:sz="6" w:space="0" w:color="auto"/>
            </w:tcBorders>
            <w:vAlign w:val="center"/>
            <w:hideMark/>
          </w:tcPr>
          <w:p w14:paraId="6CC2F185" w14:textId="77777777" w:rsidR="00317A98" w:rsidRPr="00317A98" w:rsidRDefault="00317A98" w:rsidP="00317A98">
            <w:r w:rsidRPr="00317A98">
              <w:rPr>
                <w:b/>
                <w:bCs/>
              </w:rPr>
              <w:t xml:space="preserve">Weighted </w:t>
            </w:r>
            <w:proofErr w:type="spellStart"/>
            <w:r w:rsidRPr="00317A98">
              <w:rPr>
                <w:b/>
                <w:bCs/>
              </w:rPr>
              <w:t>Avg</w:t>
            </w:r>
            <w:proofErr w:type="spellEnd"/>
            <w:r w:rsidRPr="00317A98">
              <w:rPr>
                <w:b/>
                <w:bCs/>
              </w:rPr>
              <w:t xml:space="preserve"> F1</w:t>
            </w:r>
          </w:p>
        </w:tc>
        <w:tc>
          <w:tcPr>
            <w:tcW w:w="0" w:type="auto"/>
            <w:tcBorders>
              <w:top w:val="single" w:sz="6" w:space="0" w:color="auto"/>
              <w:left w:val="single" w:sz="6" w:space="0" w:color="auto"/>
              <w:bottom w:val="single" w:sz="6" w:space="0" w:color="auto"/>
              <w:right w:val="single" w:sz="6" w:space="0" w:color="auto"/>
            </w:tcBorders>
            <w:vAlign w:val="center"/>
            <w:hideMark/>
          </w:tcPr>
          <w:p w14:paraId="0DB863D8" w14:textId="77777777" w:rsidR="00317A98" w:rsidRPr="00317A98" w:rsidRDefault="00317A98" w:rsidP="00317A98">
            <w:r w:rsidRPr="00317A98">
              <w:rPr>
                <w:b/>
                <w:bCs/>
              </w:rPr>
              <w:t>Key Failure (Worst F1)</w:t>
            </w:r>
          </w:p>
        </w:tc>
        <w:tc>
          <w:tcPr>
            <w:tcW w:w="0" w:type="auto"/>
            <w:tcBorders>
              <w:top w:val="single" w:sz="6" w:space="0" w:color="auto"/>
              <w:left w:val="single" w:sz="6" w:space="0" w:color="auto"/>
              <w:bottom w:val="single" w:sz="6" w:space="0" w:color="auto"/>
              <w:right w:val="single" w:sz="6" w:space="0" w:color="auto"/>
            </w:tcBorders>
            <w:vAlign w:val="center"/>
            <w:hideMark/>
          </w:tcPr>
          <w:p w14:paraId="75DB17ED" w14:textId="77777777" w:rsidR="00317A98" w:rsidRPr="00317A98" w:rsidRDefault="00317A98" w:rsidP="00317A98">
            <w:r w:rsidRPr="00317A98">
              <w:rPr>
                <w:b/>
                <w:bCs/>
              </w:rPr>
              <w:t>Notes</w:t>
            </w:r>
          </w:p>
        </w:tc>
      </w:tr>
      <w:tr w:rsidR="00317A98" w:rsidRPr="00317A98" w14:paraId="0D9CDF67" w14:textId="77777777" w:rsidTr="00317A9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F9F72B" w14:textId="77777777" w:rsidR="00317A98" w:rsidRPr="00317A98" w:rsidRDefault="00317A98" w:rsidP="00317A98">
            <w:r w:rsidRPr="00317A98">
              <w:t>Logistic Regression (Base)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0D8BE0B3" w14:textId="77777777" w:rsidR="00317A98" w:rsidRPr="00317A98" w:rsidRDefault="00317A98" w:rsidP="00317A98">
            <w:r w:rsidRPr="00317A98">
              <w:t>3.30 sec</w:t>
            </w:r>
          </w:p>
        </w:tc>
        <w:tc>
          <w:tcPr>
            <w:tcW w:w="0" w:type="auto"/>
            <w:tcBorders>
              <w:top w:val="single" w:sz="6" w:space="0" w:color="auto"/>
              <w:left w:val="single" w:sz="6" w:space="0" w:color="auto"/>
              <w:bottom w:val="single" w:sz="6" w:space="0" w:color="auto"/>
              <w:right w:val="single" w:sz="6" w:space="0" w:color="auto"/>
            </w:tcBorders>
            <w:vAlign w:val="center"/>
            <w:hideMark/>
          </w:tcPr>
          <w:p w14:paraId="4A37EFB8" w14:textId="77777777" w:rsidR="00317A98" w:rsidRPr="00317A98" w:rsidRDefault="00317A98" w:rsidP="00317A98">
            <w:r w:rsidRPr="00317A98">
              <w:t>97.32%</w:t>
            </w:r>
          </w:p>
        </w:tc>
        <w:tc>
          <w:tcPr>
            <w:tcW w:w="0" w:type="auto"/>
            <w:tcBorders>
              <w:top w:val="single" w:sz="6" w:space="0" w:color="auto"/>
              <w:left w:val="single" w:sz="6" w:space="0" w:color="auto"/>
              <w:bottom w:val="single" w:sz="6" w:space="0" w:color="auto"/>
              <w:right w:val="single" w:sz="6" w:space="0" w:color="auto"/>
            </w:tcBorders>
            <w:vAlign w:val="center"/>
            <w:hideMark/>
          </w:tcPr>
          <w:p w14:paraId="5EF444A0" w14:textId="77777777" w:rsidR="00317A98" w:rsidRPr="00317A98" w:rsidRDefault="00317A98" w:rsidP="00317A98">
            <w:r w:rsidRPr="00317A98">
              <w:t>0.97</w:t>
            </w:r>
          </w:p>
        </w:tc>
        <w:tc>
          <w:tcPr>
            <w:tcW w:w="0" w:type="auto"/>
            <w:tcBorders>
              <w:top w:val="single" w:sz="6" w:space="0" w:color="auto"/>
              <w:left w:val="single" w:sz="6" w:space="0" w:color="auto"/>
              <w:bottom w:val="single" w:sz="6" w:space="0" w:color="auto"/>
              <w:right w:val="single" w:sz="6" w:space="0" w:color="auto"/>
            </w:tcBorders>
            <w:vAlign w:val="center"/>
            <w:hideMark/>
          </w:tcPr>
          <w:p w14:paraId="5BF9A5B6" w14:textId="77777777" w:rsidR="00317A98" w:rsidRPr="00317A98" w:rsidRDefault="00317A98" w:rsidP="00317A98">
            <w:r w:rsidRPr="00317A98">
              <w:t>Misc. Neuro. (0.25)</w:t>
            </w:r>
          </w:p>
        </w:tc>
        <w:tc>
          <w:tcPr>
            <w:tcW w:w="0" w:type="auto"/>
            <w:tcBorders>
              <w:top w:val="single" w:sz="6" w:space="0" w:color="auto"/>
              <w:left w:val="single" w:sz="6" w:space="0" w:color="auto"/>
              <w:bottom w:val="single" w:sz="6" w:space="0" w:color="auto"/>
              <w:right w:val="single" w:sz="6" w:space="0" w:color="auto"/>
            </w:tcBorders>
            <w:vAlign w:val="center"/>
            <w:hideMark/>
          </w:tcPr>
          <w:p w14:paraId="13570D10" w14:textId="77777777" w:rsidR="00317A98" w:rsidRPr="00317A98" w:rsidRDefault="00317A98" w:rsidP="00317A98">
            <w:r w:rsidRPr="00317A98">
              <w:t>Strong baseline</w:t>
            </w:r>
          </w:p>
        </w:tc>
      </w:tr>
      <w:tr w:rsidR="00317A98" w:rsidRPr="00317A98" w14:paraId="2B697905" w14:textId="77777777" w:rsidTr="00317A9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333BEC" w14:textId="77777777" w:rsidR="00317A98" w:rsidRPr="00317A98" w:rsidRDefault="00317A98" w:rsidP="00317A98">
            <w:r w:rsidRPr="00317A98">
              <w:t>Random Forest (Base)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068EADD8" w14:textId="77777777" w:rsidR="00317A98" w:rsidRPr="00317A98" w:rsidRDefault="00317A98" w:rsidP="00317A98">
            <w:r w:rsidRPr="00317A98">
              <w:t>0.39 sec</w:t>
            </w:r>
          </w:p>
        </w:tc>
        <w:tc>
          <w:tcPr>
            <w:tcW w:w="0" w:type="auto"/>
            <w:tcBorders>
              <w:top w:val="single" w:sz="6" w:space="0" w:color="auto"/>
              <w:left w:val="single" w:sz="6" w:space="0" w:color="auto"/>
              <w:bottom w:val="single" w:sz="6" w:space="0" w:color="auto"/>
              <w:right w:val="single" w:sz="6" w:space="0" w:color="auto"/>
            </w:tcBorders>
            <w:vAlign w:val="center"/>
            <w:hideMark/>
          </w:tcPr>
          <w:p w14:paraId="2AAFFA88" w14:textId="77777777" w:rsidR="00317A98" w:rsidRPr="00317A98" w:rsidRDefault="00317A98" w:rsidP="00317A98">
            <w:r w:rsidRPr="00317A98">
              <w:t>95.13%</w:t>
            </w:r>
          </w:p>
        </w:tc>
        <w:tc>
          <w:tcPr>
            <w:tcW w:w="0" w:type="auto"/>
            <w:tcBorders>
              <w:top w:val="single" w:sz="6" w:space="0" w:color="auto"/>
              <w:left w:val="single" w:sz="6" w:space="0" w:color="auto"/>
              <w:bottom w:val="single" w:sz="6" w:space="0" w:color="auto"/>
              <w:right w:val="single" w:sz="6" w:space="0" w:color="auto"/>
            </w:tcBorders>
            <w:vAlign w:val="center"/>
            <w:hideMark/>
          </w:tcPr>
          <w:p w14:paraId="3C2AFCB0" w14:textId="77777777" w:rsidR="00317A98" w:rsidRPr="00317A98" w:rsidRDefault="00317A98" w:rsidP="00317A98">
            <w:r w:rsidRPr="00317A98">
              <w:t>0.95</w:t>
            </w:r>
          </w:p>
        </w:tc>
        <w:tc>
          <w:tcPr>
            <w:tcW w:w="0" w:type="auto"/>
            <w:tcBorders>
              <w:top w:val="single" w:sz="6" w:space="0" w:color="auto"/>
              <w:left w:val="single" w:sz="6" w:space="0" w:color="auto"/>
              <w:bottom w:val="single" w:sz="6" w:space="0" w:color="auto"/>
              <w:right w:val="single" w:sz="6" w:space="0" w:color="auto"/>
            </w:tcBorders>
            <w:vAlign w:val="center"/>
            <w:hideMark/>
          </w:tcPr>
          <w:p w14:paraId="582CB823" w14:textId="77777777" w:rsidR="00317A98" w:rsidRPr="00317A98" w:rsidRDefault="00317A98" w:rsidP="00317A98">
            <w:r w:rsidRPr="00317A98">
              <w:t>Ovarian (0.00)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46A10C81" w14:textId="77777777" w:rsidR="00317A98" w:rsidRPr="00317A98" w:rsidRDefault="00317A98" w:rsidP="00317A98">
            <w:r w:rsidRPr="00317A98">
              <w:t>Fastest, but failed on a rare class</w:t>
            </w:r>
          </w:p>
        </w:tc>
      </w:tr>
      <w:tr w:rsidR="00317A98" w:rsidRPr="00317A98" w14:paraId="76F8700F" w14:textId="77777777" w:rsidTr="00317A9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8548B96" w14:textId="77777777" w:rsidR="00317A98" w:rsidRPr="00317A98" w:rsidRDefault="00317A98" w:rsidP="00317A98">
            <w:proofErr w:type="spellStart"/>
            <w:r w:rsidRPr="00317A98">
              <w:t>XGBoost</w:t>
            </w:r>
            <w:proofErr w:type="spellEnd"/>
            <w:r w:rsidRPr="00317A98">
              <w:t xml:space="preserve"> (Base)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2E7BBA02" w14:textId="77777777" w:rsidR="00317A98" w:rsidRPr="00317A98" w:rsidRDefault="00317A98" w:rsidP="00317A98">
            <w:r w:rsidRPr="00317A98">
              <w:t>3.97 sec</w:t>
            </w:r>
          </w:p>
        </w:tc>
        <w:tc>
          <w:tcPr>
            <w:tcW w:w="0" w:type="auto"/>
            <w:tcBorders>
              <w:top w:val="single" w:sz="6" w:space="0" w:color="auto"/>
              <w:left w:val="single" w:sz="6" w:space="0" w:color="auto"/>
              <w:bottom w:val="single" w:sz="6" w:space="0" w:color="auto"/>
              <w:right w:val="single" w:sz="6" w:space="0" w:color="auto"/>
            </w:tcBorders>
            <w:vAlign w:val="center"/>
            <w:hideMark/>
          </w:tcPr>
          <w:p w14:paraId="5B9BA143" w14:textId="77777777" w:rsidR="00317A98" w:rsidRPr="00317A98" w:rsidRDefault="00317A98" w:rsidP="00317A98">
            <w:r w:rsidRPr="00317A98">
              <w:t>95.50%</w:t>
            </w:r>
          </w:p>
        </w:tc>
        <w:tc>
          <w:tcPr>
            <w:tcW w:w="0" w:type="auto"/>
            <w:tcBorders>
              <w:top w:val="single" w:sz="6" w:space="0" w:color="auto"/>
              <w:left w:val="single" w:sz="6" w:space="0" w:color="auto"/>
              <w:bottom w:val="single" w:sz="6" w:space="0" w:color="auto"/>
              <w:right w:val="single" w:sz="6" w:space="0" w:color="auto"/>
            </w:tcBorders>
            <w:vAlign w:val="center"/>
            <w:hideMark/>
          </w:tcPr>
          <w:p w14:paraId="7C866C91" w14:textId="77777777" w:rsidR="00317A98" w:rsidRPr="00317A98" w:rsidRDefault="00317A98" w:rsidP="00317A98">
            <w:r w:rsidRPr="00317A98">
              <w:t>0.95</w:t>
            </w:r>
          </w:p>
        </w:tc>
        <w:tc>
          <w:tcPr>
            <w:tcW w:w="0" w:type="auto"/>
            <w:tcBorders>
              <w:top w:val="single" w:sz="6" w:space="0" w:color="auto"/>
              <w:left w:val="single" w:sz="6" w:space="0" w:color="auto"/>
              <w:bottom w:val="single" w:sz="6" w:space="0" w:color="auto"/>
              <w:right w:val="single" w:sz="6" w:space="0" w:color="auto"/>
            </w:tcBorders>
            <w:vAlign w:val="center"/>
            <w:hideMark/>
          </w:tcPr>
          <w:p w14:paraId="4BFFDFBA" w14:textId="77777777" w:rsidR="00317A98" w:rsidRPr="00317A98" w:rsidRDefault="00317A98" w:rsidP="00317A98">
            <w:r w:rsidRPr="00317A98">
              <w:t>Misc. Neuro. (0.33)</w:t>
            </w:r>
          </w:p>
        </w:tc>
        <w:tc>
          <w:tcPr>
            <w:tcW w:w="0" w:type="auto"/>
            <w:tcBorders>
              <w:top w:val="single" w:sz="6" w:space="0" w:color="auto"/>
              <w:left w:val="single" w:sz="6" w:space="0" w:color="auto"/>
              <w:bottom w:val="single" w:sz="6" w:space="0" w:color="auto"/>
              <w:right w:val="single" w:sz="6" w:space="0" w:color="auto"/>
            </w:tcBorders>
            <w:vAlign w:val="center"/>
            <w:hideMark/>
          </w:tcPr>
          <w:p w14:paraId="3236AF86" w14:textId="77777777" w:rsidR="00317A98" w:rsidRPr="00317A98" w:rsidRDefault="00317A98" w:rsidP="00317A98">
            <w:r w:rsidRPr="00317A98">
              <w:t>Solid, similar to RF</w:t>
            </w:r>
          </w:p>
        </w:tc>
      </w:tr>
      <w:tr w:rsidR="00317A98" w:rsidRPr="00317A98" w14:paraId="52ECB837" w14:textId="77777777" w:rsidTr="00317A9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3EFDB1F" w14:textId="77777777" w:rsidR="00317A98" w:rsidRPr="00317A98" w:rsidRDefault="00317A98" w:rsidP="00317A98">
            <w:r w:rsidRPr="00317A98">
              <w:rPr>
                <w:b/>
                <w:bCs/>
              </w:rPr>
              <w:t>Logistic Regression (</w:t>
            </w:r>
            <w:proofErr w:type="spellStart"/>
            <w:r w:rsidRPr="00317A98">
              <w:rPr>
                <w:b/>
                <w:bCs/>
              </w:rPr>
              <w:t>Opt</w:t>
            </w:r>
            <w:proofErr w:type="spellEnd"/>
            <w:r w:rsidRPr="00317A98">
              <w:rPr>
                <w:b/>
                <w:bCs/>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3B60EDA" w14:textId="77777777" w:rsidR="00317A98" w:rsidRPr="00317A98" w:rsidRDefault="00317A98" w:rsidP="00317A98">
            <w:r w:rsidRPr="00317A98">
              <w:rPr>
                <w:b/>
                <w:bCs/>
              </w:rPr>
              <w:t>402.82 sec (GS)</w:t>
            </w:r>
          </w:p>
        </w:tc>
        <w:tc>
          <w:tcPr>
            <w:tcW w:w="0" w:type="auto"/>
            <w:tcBorders>
              <w:top w:val="single" w:sz="6" w:space="0" w:color="auto"/>
              <w:left w:val="single" w:sz="6" w:space="0" w:color="auto"/>
              <w:bottom w:val="single" w:sz="6" w:space="0" w:color="auto"/>
              <w:right w:val="single" w:sz="6" w:space="0" w:color="auto"/>
            </w:tcBorders>
            <w:vAlign w:val="center"/>
            <w:hideMark/>
          </w:tcPr>
          <w:p w14:paraId="4A648BD3" w14:textId="77777777" w:rsidR="00317A98" w:rsidRPr="00317A98" w:rsidRDefault="00317A98" w:rsidP="00317A98">
            <w:r w:rsidRPr="00317A98">
              <w:rPr>
                <w:b/>
                <w:bCs/>
              </w:rPr>
              <w:t>97.45%</w:t>
            </w:r>
          </w:p>
        </w:tc>
        <w:tc>
          <w:tcPr>
            <w:tcW w:w="0" w:type="auto"/>
            <w:tcBorders>
              <w:top w:val="single" w:sz="6" w:space="0" w:color="auto"/>
              <w:left w:val="single" w:sz="6" w:space="0" w:color="auto"/>
              <w:bottom w:val="single" w:sz="6" w:space="0" w:color="auto"/>
              <w:right w:val="single" w:sz="6" w:space="0" w:color="auto"/>
            </w:tcBorders>
            <w:vAlign w:val="center"/>
            <w:hideMark/>
          </w:tcPr>
          <w:p w14:paraId="0E54F433" w14:textId="77777777" w:rsidR="00317A98" w:rsidRPr="00317A98" w:rsidRDefault="00317A98" w:rsidP="00317A98">
            <w:r w:rsidRPr="00317A98">
              <w:rPr>
                <w:b/>
                <w:bCs/>
              </w:rPr>
              <w:t>0.97</w:t>
            </w:r>
          </w:p>
        </w:tc>
        <w:tc>
          <w:tcPr>
            <w:tcW w:w="0" w:type="auto"/>
            <w:tcBorders>
              <w:top w:val="single" w:sz="6" w:space="0" w:color="auto"/>
              <w:left w:val="single" w:sz="6" w:space="0" w:color="auto"/>
              <w:bottom w:val="single" w:sz="6" w:space="0" w:color="auto"/>
              <w:right w:val="single" w:sz="6" w:space="0" w:color="auto"/>
            </w:tcBorders>
            <w:vAlign w:val="center"/>
            <w:hideMark/>
          </w:tcPr>
          <w:p w14:paraId="6C28F422" w14:textId="77777777" w:rsidR="00317A98" w:rsidRPr="00317A98" w:rsidRDefault="00317A98" w:rsidP="00317A98">
            <w:r w:rsidRPr="00317A98">
              <w:rPr>
                <w:b/>
                <w:bCs/>
              </w:rPr>
              <w:t>Misc. Neuro. (0.33), Ovarian (0.67)</w:t>
            </w:r>
          </w:p>
        </w:tc>
        <w:tc>
          <w:tcPr>
            <w:tcW w:w="0" w:type="auto"/>
            <w:tcBorders>
              <w:top w:val="single" w:sz="6" w:space="0" w:color="auto"/>
              <w:left w:val="single" w:sz="6" w:space="0" w:color="auto"/>
              <w:bottom w:val="single" w:sz="6" w:space="0" w:color="auto"/>
              <w:right w:val="single" w:sz="6" w:space="0" w:color="auto"/>
            </w:tcBorders>
            <w:vAlign w:val="center"/>
            <w:hideMark/>
          </w:tcPr>
          <w:p w14:paraId="7A2AB19C" w14:textId="77777777" w:rsidR="00317A98" w:rsidRPr="00317A98" w:rsidRDefault="00317A98" w:rsidP="00317A98">
            <w:r w:rsidRPr="00317A98">
              <w:rPr>
                <w:b/>
                <w:bCs/>
              </w:rPr>
              <w:t>Best overall performance after tuning</w:t>
            </w:r>
          </w:p>
        </w:tc>
      </w:tr>
      <w:tr w:rsidR="00317A98" w:rsidRPr="00317A98" w14:paraId="728A8852" w14:textId="77777777" w:rsidTr="00317A9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E63EA46" w14:textId="77777777" w:rsidR="00317A98" w:rsidRPr="00317A98" w:rsidRDefault="00317A98" w:rsidP="00317A98">
            <w:r w:rsidRPr="00317A98">
              <w:t>Random Forest (Balanced)</w:t>
            </w:r>
          </w:p>
        </w:tc>
        <w:tc>
          <w:tcPr>
            <w:tcW w:w="0" w:type="auto"/>
            <w:tcBorders>
              <w:top w:val="single" w:sz="6" w:space="0" w:color="auto"/>
              <w:left w:val="single" w:sz="6" w:space="0" w:color="auto"/>
              <w:bottom w:val="single" w:sz="6" w:space="0" w:color="auto"/>
              <w:right w:val="single" w:sz="6" w:space="0" w:color="auto"/>
            </w:tcBorders>
            <w:vAlign w:val="center"/>
            <w:hideMark/>
          </w:tcPr>
          <w:p w14:paraId="3A1F6688" w14:textId="77777777" w:rsidR="00317A98" w:rsidRPr="00317A98" w:rsidRDefault="00317A98" w:rsidP="00317A98">
            <w:r w:rsidRPr="00317A98">
              <w:t>0.49 sec</w:t>
            </w:r>
          </w:p>
        </w:tc>
        <w:tc>
          <w:tcPr>
            <w:tcW w:w="0" w:type="auto"/>
            <w:tcBorders>
              <w:top w:val="single" w:sz="6" w:space="0" w:color="auto"/>
              <w:left w:val="single" w:sz="6" w:space="0" w:color="auto"/>
              <w:bottom w:val="single" w:sz="6" w:space="0" w:color="auto"/>
              <w:right w:val="single" w:sz="6" w:space="0" w:color="auto"/>
            </w:tcBorders>
            <w:vAlign w:val="center"/>
            <w:hideMark/>
          </w:tcPr>
          <w:p w14:paraId="61AD46D9" w14:textId="77777777" w:rsidR="00317A98" w:rsidRPr="00317A98" w:rsidRDefault="00317A98" w:rsidP="00317A98">
            <w:r w:rsidRPr="00317A98">
              <w:t>95.38%</w:t>
            </w:r>
          </w:p>
        </w:tc>
        <w:tc>
          <w:tcPr>
            <w:tcW w:w="0" w:type="auto"/>
            <w:tcBorders>
              <w:top w:val="single" w:sz="6" w:space="0" w:color="auto"/>
              <w:left w:val="single" w:sz="6" w:space="0" w:color="auto"/>
              <w:bottom w:val="single" w:sz="6" w:space="0" w:color="auto"/>
              <w:right w:val="single" w:sz="6" w:space="0" w:color="auto"/>
            </w:tcBorders>
            <w:vAlign w:val="center"/>
            <w:hideMark/>
          </w:tcPr>
          <w:p w14:paraId="4F83CBB2" w14:textId="77777777" w:rsidR="00317A98" w:rsidRPr="00317A98" w:rsidRDefault="00317A98" w:rsidP="00317A98">
            <w:r w:rsidRPr="00317A98">
              <w:t>0.95</w:t>
            </w:r>
          </w:p>
        </w:tc>
        <w:tc>
          <w:tcPr>
            <w:tcW w:w="0" w:type="auto"/>
            <w:tcBorders>
              <w:top w:val="single" w:sz="6" w:space="0" w:color="auto"/>
              <w:left w:val="single" w:sz="6" w:space="0" w:color="auto"/>
              <w:bottom w:val="single" w:sz="6" w:space="0" w:color="auto"/>
              <w:right w:val="single" w:sz="6" w:space="0" w:color="auto"/>
            </w:tcBorders>
            <w:vAlign w:val="center"/>
            <w:hideMark/>
          </w:tcPr>
          <w:p w14:paraId="0E2A55D7" w14:textId="77777777" w:rsidR="00317A98" w:rsidRPr="00317A98" w:rsidRDefault="00317A98" w:rsidP="00317A98">
            <w:r w:rsidRPr="00317A98">
              <w:t>Ovarian (0.00)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092BDB59" w14:textId="77777777" w:rsidR="00317A98" w:rsidRPr="00317A98" w:rsidRDefault="00317A98" w:rsidP="00317A98">
            <w:proofErr w:type="spellStart"/>
            <w:r w:rsidRPr="00317A98">
              <w:t>class_weight</w:t>
            </w:r>
            <w:proofErr w:type="spellEnd"/>
            <w:r w:rsidRPr="00317A98">
              <w:t xml:space="preserve"> didn't fix the rare class issue</w:t>
            </w:r>
          </w:p>
        </w:tc>
      </w:tr>
      <w:tr w:rsidR="00317A98" w:rsidRPr="00317A98" w14:paraId="224A821E" w14:textId="77777777" w:rsidTr="00317A9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79CAB53" w14:textId="77777777" w:rsidR="00317A98" w:rsidRPr="00317A98" w:rsidRDefault="00317A98" w:rsidP="00317A98">
            <w:proofErr w:type="spellStart"/>
            <w:r w:rsidRPr="00317A98">
              <w:t>XGBoost</w:t>
            </w:r>
            <w:proofErr w:type="spellEnd"/>
            <w:r w:rsidRPr="00317A98">
              <w:t xml:space="preserve"> (</w:t>
            </w:r>
            <w:proofErr w:type="spellStart"/>
            <w:r w:rsidRPr="00317A98">
              <w:t>Opt</w:t>
            </w:r>
            <w:proofErr w:type="spellEnd"/>
            <w:r w:rsidRPr="00317A98">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0655A9A" w14:textId="77777777" w:rsidR="00317A98" w:rsidRPr="00317A98" w:rsidRDefault="00317A98" w:rsidP="00317A98">
            <w:r w:rsidRPr="00317A98">
              <w:t>94.18 sec (GS)</w:t>
            </w:r>
          </w:p>
        </w:tc>
        <w:tc>
          <w:tcPr>
            <w:tcW w:w="0" w:type="auto"/>
            <w:tcBorders>
              <w:top w:val="single" w:sz="6" w:space="0" w:color="auto"/>
              <w:left w:val="single" w:sz="6" w:space="0" w:color="auto"/>
              <w:bottom w:val="single" w:sz="6" w:space="0" w:color="auto"/>
              <w:right w:val="single" w:sz="6" w:space="0" w:color="auto"/>
            </w:tcBorders>
            <w:vAlign w:val="center"/>
            <w:hideMark/>
          </w:tcPr>
          <w:p w14:paraId="2B51C2C7" w14:textId="77777777" w:rsidR="00317A98" w:rsidRPr="00317A98" w:rsidRDefault="00317A98" w:rsidP="00317A98">
            <w:r w:rsidRPr="00317A98">
              <w:t>95.50%</w:t>
            </w:r>
          </w:p>
        </w:tc>
        <w:tc>
          <w:tcPr>
            <w:tcW w:w="0" w:type="auto"/>
            <w:tcBorders>
              <w:top w:val="single" w:sz="6" w:space="0" w:color="auto"/>
              <w:left w:val="single" w:sz="6" w:space="0" w:color="auto"/>
              <w:bottom w:val="single" w:sz="6" w:space="0" w:color="auto"/>
              <w:right w:val="single" w:sz="6" w:space="0" w:color="auto"/>
            </w:tcBorders>
            <w:vAlign w:val="center"/>
            <w:hideMark/>
          </w:tcPr>
          <w:p w14:paraId="7AAA174B" w14:textId="77777777" w:rsidR="00317A98" w:rsidRPr="00317A98" w:rsidRDefault="00317A98" w:rsidP="00317A98">
            <w:r w:rsidRPr="00317A98">
              <w:t>0.95</w:t>
            </w:r>
          </w:p>
        </w:tc>
        <w:tc>
          <w:tcPr>
            <w:tcW w:w="0" w:type="auto"/>
            <w:tcBorders>
              <w:top w:val="single" w:sz="6" w:space="0" w:color="auto"/>
              <w:left w:val="single" w:sz="6" w:space="0" w:color="auto"/>
              <w:bottom w:val="single" w:sz="6" w:space="0" w:color="auto"/>
              <w:right w:val="single" w:sz="6" w:space="0" w:color="auto"/>
            </w:tcBorders>
            <w:vAlign w:val="center"/>
            <w:hideMark/>
          </w:tcPr>
          <w:p w14:paraId="6A4C91A1" w14:textId="77777777" w:rsidR="00317A98" w:rsidRPr="00317A98" w:rsidRDefault="00317A98" w:rsidP="00317A98">
            <w:r w:rsidRPr="00317A98">
              <w:t>Misc. Neuro. (0.00)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167BB138" w14:textId="77777777" w:rsidR="00317A98" w:rsidRPr="00317A98" w:rsidRDefault="00317A98" w:rsidP="00317A98">
            <w:r w:rsidRPr="00317A98">
              <w:t>Tuning didn't improve, worsened rare class</w:t>
            </w:r>
          </w:p>
        </w:tc>
      </w:tr>
    </w:tbl>
    <w:p w14:paraId="1F6E8B66" w14:textId="77777777" w:rsidR="00317A98" w:rsidRPr="00317A98" w:rsidRDefault="00317A98" w:rsidP="00317A98">
      <w:r w:rsidRPr="00317A98">
        <w:rPr>
          <w:i/>
          <w:iCs/>
        </w:rPr>
        <w:t xml:space="preserve">(GS = </w:t>
      </w:r>
      <w:proofErr w:type="spellStart"/>
      <w:r w:rsidRPr="00317A98">
        <w:rPr>
          <w:i/>
          <w:iCs/>
        </w:rPr>
        <w:t>GridSearchCV</w:t>
      </w:r>
      <w:proofErr w:type="spellEnd"/>
      <w:r w:rsidRPr="00317A98">
        <w:rPr>
          <w:i/>
          <w:iCs/>
        </w:rPr>
        <w:t xml:space="preserve"> time)</w:t>
      </w:r>
    </w:p>
    <w:p w14:paraId="7269C71F" w14:textId="77777777" w:rsidR="00317A98" w:rsidRDefault="00317A98" w:rsidP="00317A98">
      <w:pPr>
        <w:rPr>
          <w:b/>
          <w:bCs/>
        </w:rPr>
      </w:pPr>
    </w:p>
    <w:p w14:paraId="6EE67B01" w14:textId="714941A7" w:rsidR="00317A98" w:rsidRPr="00317A98" w:rsidRDefault="00317A98" w:rsidP="00317A98">
      <w:r w:rsidRPr="00317A98">
        <w:rPr>
          <w:b/>
          <w:bCs/>
        </w:rPr>
        <w:t xml:space="preserve">Performance Comparison </w:t>
      </w:r>
      <w:r>
        <w:rPr>
          <w:b/>
          <w:bCs/>
        </w:rPr>
        <w:t>Visualisation</w:t>
      </w:r>
      <w:r w:rsidRPr="00317A98">
        <w:rPr>
          <w:b/>
          <w:bCs/>
        </w:rPr>
        <w:t>:</w:t>
      </w:r>
    </w:p>
    <w:p w14:paraId="1B09C2FC" w14:textId="252B07BD" w:rsidR="00317A98" w:rsidRDefault="00317A98" w:rsidP="00317A98">
      <w:r w:rsidRPr="00317A98">
        <w:t xml:space="preserve">The application of PCA dramatically reduced training times across all models. Initial baseline results showed Logistic Regression performed surprisingly well. </w:t>
      </w:r>
      <w:r>
        <w:t>Optimisation</w:t>
      </w:r>
      <w:r w:rsidRPr="00317A98">
        <w:t xml:space="preserve"> using </w:t>
      </w:r>
      <w:proofErr w:type="spellStart"/>
      <w:r w:rsidRPr="00317A98">
        <w:t>GridSearchCV</w:t>
      </w:r>
      <w:proofErr w:type="spellEnd"/>
      <w:r w:rsidRPr="00317A98">
        <w:t xml:space="preserve"> slightly improved Logistic Regression and confirmed its superior performance. Attempts to </w:t>
      </w:r>
      <w:r>
        <w:t>optimise</w:t>
      </w:r>
      <w:r w:rsidRPr="00317A98">
        <w:t xml:space="preserve"> Random Forest (using </w:t>
      </w:r>
      <w:proofErr w:type="spellStart"/>
      <w:r w:rsidRPr="00317A98">
        <w:t>class_weight</w:t>
      </w:r>
      <w:proofErr w:type="spellEnd"/>
      <w:r w:rsidRPr="00317A98">
        <w:t xml:space="preserve">) and </w:t>
      </w:r>
      <w:proofErr w:type="spellStart"/>
      <w:r w:rsidRPr="00317A98">
        <w:t>XGBoost</w:t>
      </w:r>
      <w:proofErr w:type="spellEnd"/>
      <w:r w:rsidRPr="00317A98">
        <w:t xml:space="preserve"> (using </w:t>
      </w:r>
      <w:proofErr w:type="spellStart"/>
      <w:r w:rsidRPr="00317A98">
        <w:t>GridSearchCV</w:t>
      </w:r>
      <w:proofErr w:type="spellEnd"/>
      <w:r w:rsidRPr="00317A98">
        <w:t>) did not yield significant improvements and failed to adequately address challenges with the rarest classes.</w:t>
      </w:r>
    </w:p>
    <w:p w14:paraId="279B9FAD" w14:textId="52EFD343" w:rsidR="000B3E2E" w:rsidRPr="00317A98" w:rsidRDefault="000B3E2E" w:rsidP="00317A98">
      <w:r>
        <w:rPr>
          <w:noProof/>
        </w:rPr>
        <w:lastRenderedPageBreak/>
        <w:drawing>
          <wp:inline distT="0" distB="0" distL="0" distR="0" wp14:anchorId="55889957" wp14:editId="5F7DDD7A">
            <wp:extent cx="5731510" cy="3481705"/>
            <wp:effectExtent l="0" t="0" r="2540" b="4445"/>
            <wp:docPr id="2" name="Immagine 2"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hermata, diagramma, Diagramma&#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5731510" cy="3481705"/>
                    </a:xfrm>
                    <a:prstGeom prst="rect">
                      <a:avLst/>
                    </a:prstGeom>
                  </pic:spPr>
                </pic:pic>
              </a:graphicData>
            </a:graphic>
          </wp:inline>
        </w:drawing>
      </w:r>
    </w:p>
    <w:p w14:paraId="608A0D7E" w14:textId="77777777" w:rsidR="00317A98" w:rsidRPr="00317A98" w:rsidRDefault="00317A98" w:rsidP="00317A98">
      <w:r w:rsidRPr="00317A98">
        <w:pict w14:anchorId="4F8A40D2">
          <v:rect id="_x0000_i1064" style="width:0;height:1.5pt" o:hralign="center" o:hrstd="t" o:hr="t" fillcolor="#a0a0a0" stroked="f"/>
        </w:pict>
      </w:r>
    </w:p>
    <w:p w14:paraId="2B3493B6" w14:textId="77777777" w:rsidR="00317A98" w:rsidRPr="00317A98" w:rsidRDefault="00317A98" w:rsidP="00317A98">
      <w:pPr>
        <w:rPr>
          <w:b/>
          <w:bCs/>
        </w:rPr>
      </w:pPr>
      <w:r w:rsidRPr="00317A98">
        <w:rPr>
          <w:b/>
          <w:bCs/>
        </w:rPr>
        <w:t>5. Recommended Final Model</w:t>
      </w:r>
    </w:p>
    <w:p w14:paraId="1B13670A" w14:textId="73324CA1" w:rsidR="00317A98" w:rsidRPr="00317A98" w:rsidRDefault="00317A98" w:rsidP="00317A98">
      <w:r w:rsidRPr="00317A98">
        <w:t xml:space="preserve">The </w:t>
      </w:r>
      <w:r>
        <w:rPr>
          <w:b/>
          <w:bCs/>
        </w:rPr>
        <w:t>Optimised</w:t>
      </w:r>
      <w:r w:rsidRPr="00317A98">
        <w:rPr>
          <w:b/>
          <w:bCs/>
        </w:rPr>
        <w:t xml:space="preserve"> Logistic Regression</w:t>
      </w:r>
      <w:r w:rsidRPr="00317A98">
        <w:t xml:space="preserve"> model (using C=1.0, penalty='l1', solver='saga') trained on the 300 PCA components is recommended as the final model.</w:t>
      </w:r>
    </w:p>
    <w:p w14:paraId="5264ADC5" w14:textId="77777777" w:rsidR="00317A98" w:rsidRPr="00317A98" w:rsidRDefault="00317A98" w:rsidP="00317A98">
      <w:r w:rsidRPr="00317A98">
        <w:rPr>
          <w:b/>
          <w:bCs/>
        </w:rPr>
        <w:t>Justification:</w:t>
      </w:r>
    </w:p>
    <w:p w14:paraId="7B6B2ED0" w14:textId="77777777" w:rsidR="00317A98" w:rsidRPr="00317A98" w:rsidRDefault="00317A98" w:rsidP="00317A98">
      <w:pPr>
        <w:numPr>
          <w:ilvl w:val="0"/>
          <w:numId w:val="3"/>
        </w:numPr>
      </w:pPr>
      <w:r w:rsidRPr="00317A98">
        <w:t xml:space="preserve">It achieved the </w:t>
      </w:r>
      <w:r w:rsidRPr="00317A98">
        <w:rPr>
          <w:b/>
          <w:bCs/>
        </w:rPr>
        <w:t>highest overall accuracy (97.45%)</w:t>
      </w:r>
      <w:r w:rsidRPr="00317A98">
        <w:t xml:space="preserve"> and </w:t>
      </w:r>
      <w:r w:rsidRPr="00317A98">
        <w:rPr>
          <w:b/>
          <w:bCs/>
        </w:rPr>
        <w:t>weighted average F1-score (0.97)</w:t>
      </w:r>
      <w:r w:rsidRPr="00317A98">
        <w:t xml:space="preserve"> among all tested models.</w:t>
      </w:r>
    </w:p>
    <w:p w14:paraId="59EFD001" w14:textId="006CFA09" w:rsidR="00317A98" w:rsidRPr="00317A98" w:rsidRDefault="00317A98" w:rsidP="00317A98">
      <w:pPr>
        <w:numPr>
          <w:ilvl w:val="0"/>
          <w:numId w:val="3"/>
        </w:numPr>
      </w:pPr>
      <w:r w:rsidRPr="00317A98">
        <w:t xml:space="preserve">While not perfect, it demonstrated the </w:t>
      </w:r>
      <w:r w:rsidRPr="00317A98">
        <w:rPr>
          <w:b/>
          <w:bCs/>
        </w:rPr>
        <w:t>best performance on the extremely rare classes</w:t>
      </w:r>
      <w:r w:rsidRPr="00317A98">
        <w:t xml:space="preserve"> (e.g., Ovarian Epithelial </w:t>
      </w:r>
      <w:r>
        <w:t>Tumour</w:t>
      </w:r>
      <w:r w:rsidRPr="00317A98">
        <w:t xml:space="preserve"> F1=0.67, Miscellaneous Neuroepithelial </w:t>
      </w:r>
      <w:r>
        <w:t>Tumour</w:t>
      </w:r>
      <w:r w:rsidRPr="00317A98">
        <w:t xml:space="preserve"> F1=0.33) compared to the ensemble methods, which completely failed on one or both.</w:t>
      </w:r>
    </w:p>
    <w:p w14:paraId="600BACAC" w14:textId="3BC6E17A" w:rsidR="004062F4" w:rsidRDefault="00317A98" w:rsidP="00317A98">
      <w:pPr>
        <w:numPr>
          <w:ilvl w:val="0"/>
          <w:numId w:val="3"/>
        </w:numPr>
      </w:pPr>
      <w:r w:rsidRPr="00317A98">
        <w:t xml:space="preserve">As a linear model, Logistic Regression offers slightly </w:t>
      </w:r>
      <w:r w:rsidRPr="00317A98">
        <w:rPr>
          <w:b/>
          <w:bCs/>
        </w:rPr>
        <w:t>better interpretability</w:t>
      </w:r>
      <w:r w:rsidRPr="00317A98">
        <w:t xml:space="preserve"> (in terms of feature coefficients for the principal components) compared to the more "black-box" nature of Random Forest and </w:t>
      </w:r>
      <w:proofErr w:type="spellStart"/>
      <w:r w:rsidRPr="00317A98">
        <w:t>XGBoost</w:t>
      </w:r>
      <w:proofErr w:type="spellEnd"/>
      <w:r w:rsidRPr="00317A98">
        <w:t>.</w:t>
      </w:r>
    </w:p>
    <w:p w14:paraId="3AEC3B6B" w14:textId="09A80F14" w:rsidR="00317A98" w:rsidRPr="00317A98" w:rsidRDefault="004062F4" w:rsidP="00317A98">
      <w:r>
        <w:br w:type="page"/>
      </w:r>
    </w:p>
    <w:p w14:paraId="13B05828" w14:textId="77777777" w:rsidR="00317A98" w:rsidRPr="00317A98" w:rsidRDefault="00317A98" w:rsidP="00317A98">
      <w:pPr>
        <w:rPr>
          <w:b/>
          <w:bCs/>
        </w:rPr>
      </w:pPr>
      <w:r w:rsidRPr="00317A98">
        <w:rPr>
          <w:b/>
          <w:bCs/>
        </w:rPr>
        <w:lastRenderedPageBreak/>
        <w:t>6. Summary Key Findings and Insights</w:t>
      </w:r>
    </w:p>
    <w:p w14:paraId="6F32B9AA" w14:textId="77777777" w:rsidR="00317A98" w:rsidRPr="00317A98" w:rsidRDefault="00317A98" w:rsidP="00317A98">
      <w:pPr>
        <w:numPr>
          <w:ilvl w:val="0"/>
          <w:numId w:val="4"/>
        </w:numPr>
      </w:pPr>
      <w:r w:rsidRPr="00317A98">
        <w:rPr>
          <w:b/>
          <w:bCs/>
        </w:rPr>
        <w:t>High Predictability:</w:t>
      </w:r>
      <w:r w:rsidRPr="00317A98">
        <w:t xml:space="preserve"> Cancer type is highly predictable from multi-</w:t>
      </w:r>
      <w:proofErr w:type="spellStart"/>
      <w:r w:rsidRPr="00317A98">
        <w:t>omic</w:t>
      </w:r>
      <w:proofErr w:type="spellEnd"/>
      <w:r w:rsidRPr="00317A98">
        <w:t xml:space="preserve"> data, with the best model achieving &gt;97% accuracy even after significant dimensionality reduction.</w:t>
      </w:r>
    </w:p>
    <w:p w14:paraId="0809A55F" w14:textId="77777777" w:rsidR="00317A98" w:rsidRPr="00317A98" w:rsidRDefault="00317A98" w:rsidP="00317A98">
      <w:pPr>
        <w:numPr>
          <w:ilvl w:val="0"/>
          <w:numId w:val="4"/>
        </w:numPr>
      </w:pPr>
      <w:r w:rsidRPr="00317A98">
        <w:rPr>
          <w:b/>
          <w:bCs/>
        </w:rPr>
        <w:t>PCA Efficacy:</w:t>
      </w:r>
      <w:r w:rsidRPr="00317A98">
        <w:t xml:space="preserve"> PCA was crucial for managing the dataset's high dimensionality. Reducing features from ~550k to 300 resulted in a &gt;100x speedup in training time with negligible impact on overall model accuracy, demonstrating significant feature redundancy.</w:t>
      </w:r>
    </w:p>
    <w:p w14:paraId="7519F5AA" w14:textId="77777777" w:rsidR="00317A98" w:rsidRPr="00317A98" w:rsidRDefault="00317A98" w:rsidP="00317A98">
      <w:pPr>
        <w:numPr>
          <w:ilvl w:val="0"/>
          <w:numId w:val="4"/>
        </w:numPr>
      </w:pPr>
      <w:r w:rsidRPr="00317A98">
        <w:rPr>
          <w:b/>
          <w:bCs/>
        </w:rPr>
        <w:t>Importance of DNA Methylation:</w:t>
      </w:r>
      <w:r w:rsidRPr="00317A98">
        <w:t xml:space="preserve"> Analysis of the feature importances (coefficients) for the top principal components in the best Logistic Regression model revealed that </w:t>
      </w:r>
      <w:r w:rsidRPr="00317A98">
        <w:rPr>
          <w:b/>
          <w:bCs/>
        </w:rPr>
        <w:t>DNA methylation sites (</w:t>
      </w:r>
      <w:proofErr w:type="spellStart"/>
      <w:r w:rsidRPr="00317A98">
        <w:rPr>
          <w:b/>
          <w:bCs/>
        </w:rPr>
        <w:t>dna_cg</w:t>
      </w:r>
      <w:proofErr w:type="spellEnd"/>
      <w:r w:rsidRPr="00317A98">
        <w:rPr>
          <w:b/>
          <w:bCs/>
        </w:rPr>
        <w:t>...) were consistently the strongest contributing original features</w:t>
      </w:r>
      <w:r w:rsidRPr="00317A98">
        <w:t>. This suggests that epigenetic patterns captured in the DNA methylation data hold significant discriminatory power between cancer types within this dataset.</w:t>
      </w:r>
    </w:p>
    <w:p w14:paraId="7FF277E2" w14:textId="77777777" w:rsidR="00317A98" w:rsidRPr="00317A98" w:rsidRDefault="00317A98" w:rsidP="00317A98">
      <w:pPr>
        <w:numPr>
          <w:ilvl w:val="0"/>
          <w:numId w:val="4"/>
        </w:numPr>
      </w:pPr>
      <w:r w:rsidRPr="00317A98">
        <w:rPr>
          <w:b/>
          <w:bCs/>
        </w:rPr>
        <w:t>Imbalance Challenge:</w:t>
      </w:r>
      <w:r w:rsidRPr="00317A98">
        <w:t xml:space="preserve"> Extreme class imbalance remains a significant challenge. Even the best model struggled with classes having very few samples (support &lt; 10), indicating that the available data might be insufficient to robustly model these rare types or that the PCA compression lost critical distinguishing signals for them.</w:t>
      </w:r>
    </w:p>
    <w:p w14:paraId="13EE267F" w14:textId="77777777" w:rsidR="00317A98" w:rsidRPr="00317A98" w:rsidRDefault="00317A98" w:rsidP="00317A98">
      <w:pPr>
        <w:numPr>
          <w:ilvl w:val="0"/>
          <w:numId w:val="4"/>
        </w:numPr>
      </w:pPr>
      <w:r w:rsidRPr="00317A98">
        <w:rPr>
          <w:b/>
          <w:bCs/>
        </w:rPr>
        <w:t>Model Simplicity:</w:t>
      </w:r>
      <w:r w:rsidRPr="00317A98">
        <w:t xml:space="preserve"> The relatively simple Logistic Regression model outperformed more complex ensemble methods (Random Forest, </w:t>
      </w:r>
      <w:proofErr w:type="spellStart"/>
      <w:r w:rsidRPr="00317A98">
        <w:t>XGBoost</w:t>
      </w:r>
      <w:proofErr w:type="spellEnd"/>
      <w:r w:rsidRPr="00317A98">
        <w:t>) after PCA. This suggests that once the dimensionality was effectively reduced, a linear model was sufficient to capture the primary predictive patterns.</w:t>
      </w:r>
    </w:p>
    <w:p w14:paraId="32478053" w14:textId="77777777" w:rsidR="00317A98" w:rsidRPr="00317A98" w:rsidRDefault="00317A98" w:rsidP="00317A98">
      <w:r w:rsidRPr="00317A98">
        <w:pict w14:anchorId="558AF1FC">
          <v:rect id="_x0000_i1066" style="width:0;height:1.5pt" o:hralign="center" o:hrstd="t" o:hr="t" fillcolor="#a0a0a0" stroked="f"/>
        </w:pict>
      </w:r>
    </w:p>
    <w:p w14:paraId="7C12ADBD" w14:textId="77777777" w:rsidR="00317A98" w:rsidRPr="00317A98" w:rsidRDefault="00317A98" w:rsidP="00317A98">
      <w:pPr>
        <w:rPr>
          <w:b/>
          <w:bCs/>
        </w:rPr>
      </w:pPr>
      <w:r w:rsidRPr="00317A98">
        <w:rPr>
          <w:b/>
          <w:bCs/>
        </w:rPr>
        <w:t>7. Suggestions for Next Steps</w:t>
      </w:r>
    </w:p>
    <w:p w14:paraId="73A037B3" w14:textId="77777777" w:rsidR="00317A98" w:rsidRPr="00317A98" w:rsidRDefault="00317A98" w:rsidP="00317A98">
      <w:pPr>
        <w:numPr>
          <w:ilvl w:val="0"/>
          <w:numId w:val="5"/>
        </w:numPr>
      </w:pPr>
      <w:proofErr w:type="spellStart"/>
      <w:r w:rsidRPr="00317A98">
        <w:rPr>
          <w:b/>
          <w:bCs/>
          <w:lang w:val="it-IT"/>
        </w:rPr>
        <w:t>Refine</w:t>
      </w:r>
      <w:proofErr w:type="spellEnd"/>
      <w:r w:rsidRPr="00317A98">
        <w:rPr>
          <w:b/>
          <w:bCs/>
          <w:lang w:val="it-IT"/>
        </w:rPr>
        <w:t xml:space="preserve"> PCA:</w:t>
      </w:r>
      <w:r w:rsidRPr="00317A98">
        <w:rPr>
          <w:lang w:val="it-IT"/>
        </w:rPr>
        <w:t xml:space="preserve"> </w:t>
      </w:r>
      <w:proofErr w:type="spellStart"/>
      <w:r w:rsidRPr="00317A98">
        <w:rPr>
          <w:lang w:val="it-IT"/>
        </w:rPr>
        <w:t>Explore</w:t>
      </w:r>
      <w:proofErr w:type="spellEnd"/>
      <w:r w:rsidRPr="00317A98">
        <w:rPr>
          <w:lang w:val="it-IT"/>
        </w:rPr>
        <w:t xml:space="preserve"> alternative PCA strategies. </w:t>
      </w:r>
      <w:r w:rsidRPr="00317A98">
        <w:t xml:space="preserve">Instead of a fixed number of components (300), re-run PCA specifying a desired variance captured (e.g., </w:t>
      </w:r>
      <w:proofErr w:type="spellStart"/>
      <w:r w:rsidRPr="00317A98">
        <w:t>n_components</w:t>
      </w:r>
      <w:proofErr w:type="spellEnd"/>
      <w:r w:rsidRPr="00317A98">
        <w:t>=0.95). This might retain more subtle signals relevant to rare classes, potentially improving their F1-scores, although likely increasing computational cost.</w:t>
      </w:r>
    </w:p>
    <w:p w14:paraId="6485BA99" w14:textId="7C8F1FE8" w:rsidR="00317A98" w:rsidRPr="00317A98" w:rsidRDefault="00317A98" w:rsidP="00317A98">
      <w:pPr>
        <w:numPr>
          <w:ilvl w:val="0"/>
          <w:numId w:val="5"/>
        </w:numPr>
      </w:pPr>
      <w:r w:rsidRPr="00317A98">
        <w:rPr>
          <w:b/>
          <w:bCs/>
        </w:rPr>
        <w:t>Advanced Imbalance Handling:</w:t>
      </w:r>
      <w:r w:rsidRPr="00317A98">
        <w:t xml:space="preserve"> Implement more sophisticated techniques to address class imbalance </w:t>
      </w:r>
      <w:r w:rsidRPr="00317A98">
        <w:rPr>
          <w:i/>
          <w:iCs/>
        </w:rPr>
        <w:t>before</w:t>
      </w:r>
      <w:r w:rsidRPr="00317A98">
        <w:t xml:space="preserve"> PCA or within the </w:t>
      </w:r>
      <w:r>
        <w:t>modelling</w:t>
      </w:r>
      <w:r w:rsidRPr="00317A98">
        <w:t xml:space="preserve"> step, such as:</w:t>
      </w:r>
    </w:p>
    <w:p w14:paraId="79546110" w14:textId="77777777" w:rsidR="00317A98" w:rsidRPr="00317A98" w:rsidRDefault="00317A98" w:rsidP="00317A98">
      <w:pPr>
        <w:numPr>
          <w:ilvl w:val="1"/>
          <w:numId w:val="5"/>
        </w:numPr>
      </w:pPr>
      <w:r w:rsidRPr="00317A98">
        <w:rPr>
          <w:b/>
          <w:bCs/>
        </w:rPr>
        <w:t>SMOTE (Synthetic Minority Over-sampling Technique):</w:t>
      </w:r>
      <w:r w:rsidRPr="00317A98">
        <w:t xml:space="preserve"> Generate synthetic samples for rare classes.</w:t>
      </w:r>
    </w:p>
    <w:p w14:paraId="351C88B7" w14:textId="77777777" w:rsidR="00317A98" w:rsidRPr="00317A98" w:rsidRDefault="00317A98" w:rsidP="00317A98">
      <w:pPr>
        <w:numPr>
          <w:ilvl w:val="1"/>
          <w:numId w:val="5"/>
        </w:numPr>
      </w:pPr>
      <w:r w:rsidRPr="00317A98">
        <w:rPr>
          <w:b/>
          <w:bCs/>
        </w:rPr>
        <w:t>ADASYN (Adaptive Synthetic Sampling):</w:t>
      </w:r>
      <w:r w:rsidRPr="00317A98">
        <w:t xml:space="preserve"> Similar to SMOTE but focuses on harder-to-learn minority samples.</w:t>
      </w:r>
    </w:p>
    <w:p w14:paraId="22B5AF85" w14:textId="743C273A" w:rsidR="00317A98" w:rsidRPr="00317A98" w:rsidRDefault="00317A98" w:rsidP="00317A98">
      <w:pPr>
        <w:numPr>
          <w:ilvl w:val="1"/>
          <w:numId w:val="5"/>
        </w:numPr>
      </w:pPr>
      <w:r w:rsidRPr="00317A98">
        <w:rPr>
          <w:b/>
          <w:bCs/>
        </w:rPr>
        <w:lastRenderedPageBreak/>
        <w:t>Ensemble Methods for Imbalance:</w:t>
      </w:r>
      <w:r w:rsidRPr="00317A98">
        <w:t xml:space="preserve"> Techniques like </w:t>
      </w:r>
      <w:proofErr w:type="spellStart"/>
      <w:r w:rsidRPr="00317A98">
        <w:t>BalancedRandomForest</w:t>
      </w:r>
      <w:proofErr w:type="spellEnd"/>
      <w:r w:rsidRPr="00317A98">
        <w:t xml:space="preserve"> or </w:t>
      </w:r>
      <w:proofErr w:type="spellStart"/>
      <w:r w:rsidRPr="00317A98">
        <w:t>EasyEnsemble</w:t>
      </w:r>
      <w:proofErr w:type="spellEnd"/>
      <w:r w:rsidRPr="00317A98">
        <w:t xml:space="preserve"> </w:t>
      </w:r>
      <w:r>
        <w:t xml:space="preserve">are </w:t>
      </w:r>
      <w:r w:rsidRPr="00317A98">
        <w:t>specifically designed for imbalanced datasets.</w:t>
      </w:r>
    </w:p>
    <w:p w14:paraId="2F1B4F65" w14:textId="07DF4521" w:rsidR="00317A98" w:rsidRPr="00317A98" w:rsidRDefault="00317A98" w:rsidP="00317A98">
      <w:pPr>
        <w:numPr>
          <w:ilvl w:val="0"/>
          <w:numId w:val="5"/>
        </w:numPr>
      </w:pPr>
      <w:r w:rsidRPr="00317A98">
        <w:rPr>
          <w:b/>
          <w:bCs/>
        </w:rPr>
        <w:t>Feature Selection Pre-PCA:</w:t>
      </w:r>
      <w:r w:rsidRPr="00317A98">
        <w:t xml:space="preserve"> Given the likely importance of DNA methylation, experiment with training models </w:t>
      </w:r>
      <w:r w:rsidRPr="00317A98">
        <w:rPr>
          <w:i/>
          <w:iCs/>
        </w:rPr>
        <w:t>only</w:t>
      </w:r>
      <w:r w:rsidRPr="00317A98">
        <w:t xml:space="preserve"> on methylation data, or </w:t>
      </w:r>
      <w:r>
        <w:t>perform</w:t>
      </w:r>
      <w:r w:rsidRPr="00317A98">
        <w:t xml:space="preserve"> feature selection </w:t>
      </w:r>
      <w:r w:rsidRPr="00317A98">
        <w:rPr>
          <w:i/>
          <w:iCs/>
        </w:rPr>
        <w:t>before</w:t>
      </w:r>
      <w:r w:rsidRPr="00317A98">
        <w:t xml:space="preserve"> PCA to focus on potentially more relevant biological markers.</w:t>
      </w:r>
    </w:p>
    <w:p w14:paraId="45C19382" w14:textId="77777777" w:rsidR="00317A98" w:rsidRPr="00317A98" w:rsidRDefault="00317A98" w:rsidP="00317A98">
      <w:pPr>
        <w:numPr>
          <w:ilvl w:val="0"/>
          <w:numId w:val="5"/>
        </w:numPr>
      </w:pPr>
      <w:r w:rsidRPr="00317A98">
        <w:rPr>
          <w:b/>
          <w:bCs/>
        </w:rPr>
        <w:t>Interpretability of PCA:</w:t>
      </w:r>
      <w:r w:rsidRPr="00317A98">
        <w:t xml:space="preserve"> Further investigate the biological meaning of the most important Principal Components (e.g., PC4, PC5, PC9) by performing pathway analysis or gene set enrichment analysis on the original features with high loadings for these components.</w:t>
      </w:r>
    </w:p>
    <w:p w14:paraId="3C8E6B18" w14:textId="77777777" w:rsidR="00317A98" w:rsidRPr="00317A98" w:rsidRDefault="00317A98" w:rsidP="00317A98"/>
    <w:sectPr w:rsidR="00317A98" w:rsidRPr="00317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00B7"/>
    <w:multiLevelType w:val="multilevel"/>
    <w:tmpl w:val="3EBA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03AB"/>
    <w:multiLevelType w:val="multilevel"/>
    <w:tmpl w:val="C588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D42A3"/>
    <w:multiLevelType w:val="multilevel"/>
    <w:tmpl w:val="67D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31F61"/>
    <w:multiLevelType w:val="multilevel"/>
    <w:tmpl w:val="2000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F26C7"/>
    <w:multiLevelType w:val="multilevel"/>
    <w:tmpl w:val="DA4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432649">
    <w:abstractNumId w:val="2"/>
  </w:num>
  <w:num w:numId="2" w16cid:durableId="1178277900">
    <w:abstractNumId w:val="4"/>
  </w:num>
  <w:num w:numId="3" w16cid:durableId="1316953302">
    <w:abstractNumId w:val="0"/>
  </w:num>
  <w:num w:numId="4" w16cid:durableId="1164737724">
    <w:abstractNumId w:val="3"/>
  </w:num>
  <w:num w:numId="5" w16cid:durableId="1649282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98"/>
    <w:rsid w:val="000B3E2E"/>
    <w:rsid w:val="00317A98"/>
    <w:rsid w:val="004062F4"/>
    <w:rsid w:val="00965E2F"/>
    <w:rsid w:val="00D11F21"/>
    <w:rsid w:val="00D24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1F713"/>
  <w15:chartTrackingRefBased/>
  <w15:docId w15:val="{E4253E30-C756-4DF5-B6D3-5E94417E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7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17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17A9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17A9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17A9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17A9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17A9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17A9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17A9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17A9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17A9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17A9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17A9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17A9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17A9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17A9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17A9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17A98"/>
    <w:rPr>
      <w:rFonts w:eastAsiaTheme="majorEastAsia" w:cstheme="majorBidi"/>
      <w:color w:val="272727" w:themeColor="text1" w:themeTint="D8"/>
    </w:rPr>
  </w:style>
  <w:style w:type="paragraph" w:styleId="Titolo">
    <w:name w:val="Title"/>
    <w:basedOn w:val="Normale"/>
    <w:next w:val="Normale"/>
    <w:link w:val="TitoloCarattere"/>
    <w:uiPriority w:val="10"/>
    <w:qFormat/>
    <w:rsid w:val="00317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17A9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17A9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17A9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17A9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17A98"/>
    <w:rPr>
      <w:i/>
      <w:iCs/>
      <w:color w:val="404040" w:themeColor="text1" w:themeTint="BF"/>
    </w:rPr>
  </w:style>
  <w:style w:type="paragraph" w:styleId="Paragrafoelenco">
    <w:name w:val="List Paragraph"/>
    <w:basedOn w:val="Normale"/>
    <w:uiPriority w:val="34"/>
    <w:qFormat/>
    <w:rsid w:val="00317A98"/>
    <w:pPr>
      <w:ind w:left="720"/>
      <w:contextualSpacing/>
    </w:pPr>
  </w:style>
  <w:style w:type="character" w:styleId="Enfasiintensa">
    <w:name w:val="Intense Emphasis"/>
    <w:basedOn w:val="Carpredefinitoparagrafo"/>
    <w:uiPriority w:val="21"/>
    <w:qFormat/>
    <w:rsid w:val="00317A98"/>
    <w:rPr>
      <w:i/>
      <w:iCs/>
      <w:color w:val="0F4761" w:themeColor="accent1" w:themeShade="BF"/>
    </w:rPr>
  </w:style>
  <w:style w:type="paragraph" w:styleId="Citazioneintensa">
    <w:name w:val="Intense Quote"/>
    <w:basedOn w:val="Normale"/>
    <w:next w:val="Normale"/>
    <w:link w:val="CitazioneintensaCarattere"/>
    <w:uiPriority w:val="30"/>
    <w:qFormat/>
    <w:rsid w:val="00317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17A98"/>
    <w:rPr>
      <w:i/>
      <w:iCs/>
      <w:color w:val="0F4761" w:themeColor="accent1" w:themeShade="BF"/>
    </w:rPr>
  </w:style>
  <w:style w:type="character" w:styleId="Riferimentointenso">
    <w:name w:val="Intense Reference"/>
    <w:basedOn w:val="Carpredefinitoparagrafo"/>
    <w:uiPriority w:val="32"/>
    <w:qFormat/>
    <w:rsid w:val="00317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62165">
      <w:bodyDiv w:val="1"/>
      <w:marLeft w:val="0"/>
      <w:marRight w:val="0"/>
      <w:marTop w:val="0"/>
      <w:marBottom w:val="0"/>
      <w:divBdr>
        <w:top w:val="none" w:sz="0" w:space="0" w:color="auto"/>
        <w:left w:val="none" w:sz="0" w:space="0" w:color="auto"/>
        <w:bottom w:val="none" w:sz="0" w:space="0" w:color="auto"/>
        <w:right w:val="none" w:sz="0" w:space="0" w:color="auto"/>
      </w:divBdr>
    </w:div>
    <w:div w:id="186597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1041</Words>
  <Characters>6622</Characters>
  <Application>Microsoft Office Word</Application>
  <DocSecurity>0</DocSecurity>
  <Lines>194</Lines>
  <Paragraphs>92</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Meacci</dc:creator>
  <cp:keywords/>
  <dc:description/>
  <cp:lastModifiedBy>Dario Meacci</cp:lastModifiedBy>
  <cp:revision>5</cp:revision>
  <dcterms:created xsi:type="dcterms:W3CDTF">2025-10-19T15:12:00Z</dcterms:created>
  <dcterms:modified xsi:type="dcterms:W3CDTF">2025-10-19T16:23:00Z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bcc89743-de66-4b5b-8efd-64308cc82115</vt:lpwstr>
  </property>
</Properties>
</file>