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7" w:name="content"/>
    <w:bookmarkStart w:id="116" w:name="X8ac63da72b464c878c95dbb547d4a73026757ee"/>
    <w:p>
      <w:pPr>
        <w:pStyle w:val="Heading1"/>
      </w:pPr>
      <w:r>
        <w:t xml:space="preserve">Персонализированные визуальные конспекты для ЕГЭ по математике и физике: обзор исследований, продуктов, датасетов и архитектуры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Стартапу, который генерирует</w:t>
      </w:r>
      <w:r>
        <w:t xml:space="preserve"> </w:t>
      </w:r>
      <w:r>
        <w:rPr>
          <w:b/>
          <w:bCs/>
        </w:rPr>
        <w:t xml:space="preserve">картинки/инфографику для конспектов ЕГЭ</w:t>
      </w:r>
      <w:r>
        <w:t xml:space="preserve"> </w:t>
      </w:r>
      <w:r>
        <w:t xml:space="preserve">(а текст пишет человек), выгоднее ставить в центр не «просто text-to-image», а</w:t>
      </w:r>
      <w:r>
        <w:t xml:space="preserve"> </w:t>
      </w:r>
      <w:r>
        <w:rPr>
          <w:b/>
          <w:bCs/>
        </w:rPr>
        <w:t xml:space="preserve">гибридный визуальный пайплайн</w:t>
      </w:r>
      <w:r>
        <w:t xml:space="preserve">: (1)</w:t>
      </w:r>
      <w:r>
        <w:t xml:space="preserve"> </w:t>
      </w:r>
      <w:r>
        <w:rPr>
          <w:i/>
          <w:iCs/>
        </w:rPr>
        <w:t xml:space="preserve">детерминированная векторная графика</w:t>
      </w:r>
      <w:r>
        <w:t xml:space="preserve"> </w:t>
      </w:r>
      <w:r>
        <w:t xml:space="preserve">(SVG/LaTeX/TikZ/PGFPlots/диаграммные DSL) для формул, графиков, схем и структуры решения; (2)</w:t>
      </w:r>
      <w:r>
        <w:t xml:space="preserve"> </w:t>
      </w:r>
      <w:r>
        <w:rPr>
          <w:i/>
          <w:iCs/>
        </w:rPr>
        <w:t xml:space="preserve">диффузионная генерация</w:t>
      </w:r>
      <w:r>
        <w:t xml:space="preserve"> </w:t>
      </w:r>
      <w:r>
        <w:t xml:space="preserve">для «контекстных» иллюстраций и мягких подсказок (интуитивные визуальные метафоры, не требующие идеальной типографики). Причина: даже сильные T2I-модели часто</w:t>
      </w:r>
      <w:r>
        <w:t xml:space="preserve"> </w:t>
      </w:r>
      <w:r>
        <w:rPr>
          <w:b/>
          <w:bCs/>
        </w:rPr>
        <w:t xml:space="preserve">плохо рендерят читаемый текст</w:t>
      </w:r>
      <w:r>
        <w:t xml:space="preserve"> </w:t>
      </w:r>
      <w:r>
        <w:t xml:space="preserve">и мелкие символы; это прямо указано как ограничение в карточке SDXL («cannot render legible text»).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Для бизнеса в 2026 важно учитывать «плавающие» продуктовые решения: в официальном гайде по image-generation API указано, что</w:t>
      </w:r>
      <w:r>
        <w:t xml:space="preserve"> </w:t>
      </w:r>
      <w:r>
        <w:rPr>
          <w:b/>
          <w:bCs/>
        </w:rPr>
        <w:t xml:space="preserve">DALL·E 2/3 помечены как deprecated</w:t>
      </w:r>
      <w:r>
        <w:t xml:space="preserve">, а дата прекращения поддержки обозначена как</w:t>
      </w:r>
      <w:r>
        <w:t xml:space="preserve"> </w:t>
      </w:r>
      <w:r>
        <w:rPr>
          <w:b/>
          <w:bCs/>
        </w:rPr>
        <w:t xml:space="preserve">05/12/2026</w:t>
      </w:r>
      <w:r>
        <w:t xml:space="preserve"> </w:t>
      </w:r>
      <w:r>
        <w:t xml:space="preserve">(формат MM/DD/YYYY → 12 мая 2026).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Поэтому архитектуру стоит проектировать так, чтобы она легко переключалась между провайдерами (например, на</w:t>
      </w:r>
      <w:r>
        <w:t xml:space="preserve"> </w:t>
      </w:r>
      <w:r>
        <w:rPr>
          <w:rStyle w:val="VerbatimChar"/>
        </w:rPr>
        <w:t xml:space="preserve">gpt-image-*</w:t>
      </w:r>
      <w:r>
        <w:t xml:space="preserve"> </w:t>
      </w:r>
      <w:r>
        <w:t xml:space="preserve">модели, упомянутые в официальных материалах).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По части «соответствия ЕГЭ» есть редкий тип источников, который особенно полезен именно вашему формату (конспект + визуальные элементы):</w:t>
      </w:r>
      <w:r>
        <w:t xml:space="preserve"> </w:t>
      </w:r>
      <w:r>
        <w:rPr>
          <w:b/>
          <w:bCs/>
        </w:rPr>
        <w:t xml:space="preserve">методические материалы для экспертов по проверке развернутых решений ЕГЭ</w:t>
      </w:r>
      <w:r>
        <w:t xml:space="preserve">. Они дают максимально прикладные сигналы о том,</w:t>
      </w:r>
      <w:r>
        <w:t xml:space="preserve"> </w:t>
      </w:r>
      <w:r>
        <w:rPr>
          <w:i/>
          <w:iCs/>
        </w:rPr>
        <w:t xml:space="preserve">какие шаги и какие формы записи считаются достаточными/недостаточными</w:t>
      </w:r>
      <w:r>
        <w:t xml:space="preserve"> </w:t>
      </w:r>
      <w:r>
        <w:t xml:space="preserve">и как трактуются типовые ошибки — это можно напрямую превратить в «визуальные чек-листы» и шаблоны «пошаговых» схем.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Наконец, персонализация «под уровень» разумнее всего строится не вокруг «свободного prompt engineering», а вокруг</w:t>
      </w:r>
      <w:r>
        <w:t xml:space="preserve"> </w:t>
      </w:r>
      <w:r>
        <w:rPr>
          <w:b/>
          <w:bCs/>
        </w:rPr>
        <w:t xml:space="preserve">модели освоения навыков</w:t>
      </w:r>
      <w:r>
        <w:t xml:space="preserve"> </w:t>
      </w:r>
      <w:r>
        <w:t xml:space="preserve">(knowledge tracing) и связки «навык → тип визуальной подсказки». Классические и нейросетевые подходы (BKT/DKT/Transformer-KT) — это устоявшаяся база, есть обзорные работы и датасеты/метрики.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bookmarkEnd w:id="25"/>
    <w:bookmarkStart w:id="31" w:name="X5d22a0634b3db62ff9d87f3076e41543cbcdb55"/>
    <w:p>
      <w:pPr>
        <w:pStyle w:val="Heading2"/>
      </w:pPr>
      <w:r>
        <w:t xml:space="preserve">Контекст ЕГЭ и виды визуализаций, которые реально помогают</w:t>
      </w:r>
    </w:p>
    <w:p>
      <w:pPr>
        <w:pStyle w:val="FirstParagraph"/>
      </w:pPr>
      <w:r>
        <w:t xml:space="preserve">Официальные ресурсы ФИПИ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важны не только как «банк задач», но и как источники</w:t>
      </w:r>
      <w:r>
        <w:t xml:space="preserve"> </w:t>
      </w:r>
      <w:r>
        <w:rPr>
          <w:b/>
          <w:bCs/>
        </w:rPr>
        <w:t xml:space="preserve">структурных и методических ограничений</w:t>
      </w:r>
      <w:r>
        <w:t xml:space="preserve">, которые задают стиль и формат визуализаций: открытый банк заданий, демоверсии/кодификаторы, навигатор подготовки с разбиением по темам, а также материалы для предметных комиссий и аналитика типичных ошибок.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Для профильной математики особенно показательно, что методические материалы для экспертов в явном виде структурированы вокруг</w:t>
      </w:r>
      <w:r>
        <w:t xml:space="preserve"> </w:t>
      </w:r>
      <w:r>
        <w:rPr>
          <w:b/>
          <w:bCs/>
        </w:rPr>
        <w:t xml:space="preserve">заданий 13–19 (развернутый ответ)</w:t>
      </w:r>
      <w:r>
        <w:t xml:space="preserve"> </w:t>
      </w:r>
      <w:r>
        <w:t xml:space="preserve">и подробно обсуждают «продвижение в решении», достаточность обоснований и типовые вычислительные/логические сбои. Это напрямую конвертируется в продукт: визуальные «ступени решения», подсветка мест, где теряются баллы, и «минимально достаточные» схемы рассуждений под формат ЕГЭ.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Для физики, помимо банка и демоматериалов, практично использовать «Навигатор самостоятельной подготовки» (темы: механика, МКТ/термодинамика, электродинамика, оптика/волны и т. д.) — это готовая иерархия, по которой удобно строить</w:t>
      </w:r>
      <w:r>
        <w:t xml:space="preserve"> </w:t>
      </w:r>
      <w:r>
        <w:rPr>
          <w:b/>
          <w:bCs/>
        </w:rPr>
        <w:t xml:space="preserve">каталог визуальных шаблонов</w:t>
      </w:r>
      <w:r>
        <w:t xml:space="preserve">: Free-Body Diagram (диаграмма сил),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схемы цепей, лучевые диаграммы, энергетические диаграммы и т. п.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Набор «must-have» визуальных форматов для ЕГЭ (математика + физика) можно проектировать как библиотеку шаблонов: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Графики/координатные плоскости</w:t>
      </w:r>
      <w:r>
        <w:t xml:space="preserve">: функции, пересечения, производная/интеграл как смысловой рисунок; для физики — кинематические графики. (Лучший формат хранения — SVG + параметризация, чтобы масштаб/подписи стабильно читались.)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Геометрические схемы</w:t>
      </w:r>
      <w:r>
        <w:t xml:space="preserve">: планиметрия/стереометрия (углы, высоты, проекции), «подстановка чисел» поверх шаблона, выделение известных/искомых. Это часто выигрывает от строгого векторного построения (TikZ/PGF) вместо «нарисованной» генерации.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Физические схемы</w:t>
      </w:r>
      <w:r>
        <w:t xml:space="preserve">: электрические цепи (CircuitikZ), оптика (лучи/линзы), механика (векторы сил), термодинамика (p–V диаграммы).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Пошаговые схемы решения</w:t>
      </w:r>
      <w:r>
        <w:t xml:space="preserve">: визуальные «трансформации выражения» (стрелки/группировка/выделение замен), дерево случаев, блок-схема выбора метода. Методические материалы ФИПИ по проверке развернутых решений дают «каркас» требований к шагам.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31"/>
    <w:bookmarkStart w:id="48" w:name="X86e5cc6333f205793a5eb86015bc04e5f00273f"/>
    <w:p>
      <w:pPr>
        <w:pStyle w:val="Heading2"/>
      </w:pPr>
      <w:r>
        <w:t xml:space="preserve">Академические исследования, релевантные мультимодальной генерации учебной инфографики</w:t>
      </w:r>
    </w:p>
    <w:bookmarkStart w:id="36" w:name="Xcf24c097b2b5f4a58f5f45ff87af3fe148bdf38"/>
    <w:p>
      <w:pPr>
        <w:pStyle w:val="Heading3"/>
      </w:pPr>
      <w:r>
        <w:t xml:space="preserve">Базовые мультимодальные генеративные модели и управляемость</w:t>
      </w:r>
    </w:p>
    <w:p>
      <w:pPr>
        <w:pStyle w:val="FirstParagraph"/>
      </w:pPr>
      <w:r>
        <w:t xml:space="preserve">Большая часть современных генераторов изображений опирается на диффузионные модели; ключевой «скелет» —</w:t>
      </w:r>
      <w:r>
        <w:t xml:space="preserve"> </w:t>
      </w:r>
      <w:r>
        <w:rPr>
          <w:b/>
          <w:bCs/>
        </w:rPr>
        <w:t xml:space="preserve">Latent Diffusion Models</w:t>
      </w:r>
      <w:r>
        <w:t xml:space="preserve"> </w:t>
      </w:r>
      <w:r>
        <w:t xml:space="preserve">(диффузия в латентном пространстве для эффективности).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На этой базе строятся семейства моделей уровня SDXL (в статье описывается увеличение U-Net и использование второго текстового энкодера, а также refiner-подход).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Для вашей задачи критично не «красиво», а</w:t>
      </w:r>
      <w:r>
        <w:t xml:space="preserve"> </w:t>
      </w:r>
      <w:r>
        <w:rPr>
          <w:b/>
          <w:bCs/>
        </w:rPr>
        <w:t xml:space="preserve">контролируемо</w:t>
      </w:r>
      <w:r>
        <w:t xml:space="preserve"> </w:t>
      </w:r>
      <w:r>
        <w:t xml:space="preserve">(структура схемы, расположение элементов, согласованность с текстом). Именно поэтому важны работы по управлению диффузией: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ControlNet</w:t>
      </w:r>
      <w:r>
        <w:t xml:space="preserve"> </w:t>
      </w:r>
      <w:r>
        <w:t xml:space="preserve">добавляет пространственные условия (контуры/глубина/сегментация/поза) к уже обученной T2I-модели, что улучшает повторяемость структуры.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T2I-Adapter</w:t>
      </w:r>
      <w:r>
        <w:t xml:space="preserve"> </w:t>
      </w:r>
      <w:r>
        <w:t xml:space="preserve">предлагает «легкие адаптеры» для внешних сигналов контроля при заморозке основной модели, что полезно для дешевого доменного тюнинга и структурного управления.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Практическое следствие для ЕГЭ-контента: если вы всё-таки используете диффузию для «образных» иллюстраций, то контроль через скетч/контуры/маски (в стиле ControlNet/T2I-Adapter) снижает риск случайной композиции.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bookmarkEnd w:id="36"/>
    <w:bookmarkStart w:id="40" w:name="X0481a64786a5e0a1eea5c8aa06c981d51c7373f"/>
    <w:p>
      <w:pPr>
        <w:pStyle w:val="Heading3"/>
      </w:pPr>
      <w:r>
        <w:t xml:space="preserve">Генерация инфографики и визуализаций из текста</w:t>
      </w:r>
    </w:p>
    <w:p>
      <w:pPr>
        <w:pStyle w:val="FirstParagraph"/>
      </w:pPr>
      <w:r>
        <w:t xml:space="preserve">Есть отдельная ветка исследований, нацеленная не на «фото-арт», а на превращение текста в инфографику. Работа</w:t>
      </w:r>
      <w:r>
        <w:t xml:space="preserve"> </w:t>
      </w:r>
      <w:r>
        <w:rPr>
          <w:b/>
          <w:bCs/>
        </w:rPr>
        <w:t xml:space="preserve">Text-to-Viz</w:t>
      </w:r>
      <w:r>
        <w:t xml:space="preserve"> </w:t>
      </w:r>
      <w:r>
        <w:t xml:space="preserve">(Microsoft Research) прямо формулирует задачу «генерации инфографики из натурального языка» и полезна как концептуальная опора: инфографика рассматривается как композиция визуальных элементов, а не «картинка как картинка».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Смежная линия —</w:t>
      </w:r>
      <w:r>
        <w:t xml:space="preserve"> </w:t>
      </w:r>
      <w:r>
        <w:rPr>
          <w:b/>
          <w:bCs/>
        </w:rPr>
        <w:t xml:space="preserve">Text2Chart</w:t>
      </w:r>
      <w:r>
        <w:t xml:space="preserve"> </w:t>
      </w:r>
      <w:r>
        <w:t xml:space="preserve">и NL2VIS: генерация спецификаций визуализаций (а не пикселей) для построения графиков; это сильно ближе к ЕГЭ-графикам и диаграммам, потому что дает детерминированность и векторный выход.</w:t>
      </w:r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Для диалоговой постановки задач «по тексту сделай график/схему» полезны работы вроде</w:t>
      </w:r>
      <w:r>
        <w:t xml:space="preserve"> </w:t>
      </w:r>
      <w:r>
        <w:rPr>
          <w:b/>
          <w:bCs/>
        </w:rPr>
        <w:t xml:space="preserve">Chat2VIS</w:t>
      </w:r>
      <w:r>
        <w:t xml:space="preserve"> </w:t>
      </w:r>
      <w:r>
        <w:t xml:space="preserve">(мост между чат-вводом и грамматикой визуализаций).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С точки зрения качества именно «инфографики» (где важны текстовые подписи, числа, оси) показателен свежий бенчмарк</w:t>
      </w:r>
      <w:r>
        <w:t xml:space="preserve"> </w:t>
      </w:r>
      <w:r>
        <w:rPr>
          <w:b/>
          <w:bCs/>
        </w:rPr>
        <w:t xml:space="preserve">IGenBench (2026)</w:t>
      </w:r>
      <w:r>
        <w:t xml:space="preserve"> </w:t>
      </w:r>
      <w:r>
        <w:t xml:space="preserve">про генерацию инфографики: он акцентирует</w:t>
      </w:r>
      <w:r>
        <w:t xml:space="preserve"> </w:t>
      </w:r>
      <w:r>
        <w:rPr>
          <w:i/>
          <w:iCs/>
        </w:rPr>
        <w:t xml:space="preserve">насколько реально модели справляются с инфографикой</w:t>
      </w:r>
      <w:r>
        <w:t xml:space="preserve">, а не с художественными стилями. Это прямой аргумент, почему в продукте стоит избегать «рисовать формулы диффузией», и вместо этого строить инфографику как векторный документ с контролируемыми слоями.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</w:p>
    <w:bookmarkEnd w:id="40"/>
    <w:bookmarkStart w:id="42" w:name="векторная-графика-и-диаграммы-как-код"/>
    <w:p>
      <w:pPr>
        <w:pStyle w:val="Heading3"/>
      </w:pPr>
      <w:r>
        <w:t xml:space="preserve">Векторная графика и «диаграммы как код»</w:t>
      </w:r>
    </w:p>
    <w:p>
      <w:pPr>
        <w:pStyle w:val="FirstParagraph"/>
      </w:pPr>
      <w:r>
        <w:t xml:space="preserve">В учебном контенте для математики/физики большинство «картинок» — это по сути</w:t>
      </w:r>
      <w:r>
        <w:t xml:space="preserve"> </w:t>
      </w:r>
      <w:r>
        <w:rPr>
          <w:b/>
          <w:bCs/>
        </w:rPr>
        <w:t xml:space="preserve">векторные диаграммы и типографика</w:t>
      </w:r>
      <w:r>
        <w:t xml:space="preserve">, а не растровые изображения. Для этого релевантны исследования по генерации векторной графики, например</w:t>
      </w:r>
      <w:r>
        <w:t xml:space="preserve"> </w:t>
      </w:r>
      <w:r>
        <w:rPr>
          <w:b/>
          <w:bCs/>
        </w:rPr>
        <w:t xml:space="preserve">DeepSVG</w:t>
      </w:r>
      <w:r>
        <w:t xml:space="preserve"> </w:t>
      </w:r>
      <w:r>
        <w:t xml:space="preserve">(генерация SVG/векторных примитивов нейросетями). Даже если вы не будете напрямую использовать DeepSVG, сама идея «генерировать структуру (SVG)» вместо «генерировать пиксели» фундаментально совпадает с потребностями ЕГЭ.</w:t>
      </w:r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</w:p>
    <w:bookmarkEnd w:id="42"/>
    <w:bookmarkStart w:id="47" w:name="X7019a313d4f4fe018b9d56164c86869723236f0"/>
    <w:p>
      <w:pPr>
        <w:pStyle w:val="Heading3"/>
      </w:pPr>
      <w:r>
        <w:t xml:space="preserve">Обучающие подсказки и «объяснения», которые можно превратить в визуальные шаблоны</w:t>
      </w:r>
    </w:p>
    <w:p>
      <w:pPr>
        <w:pStyle w:val="FirstParagraph"/>
      </w:pPr>
      <w:r>
        <w:t xml:space="preserve">Если текст объяснений пишут люди, ваша автоматика может заниматься «визуальными подсказками» и адаптацией степени подробности. Здесь полезны исследования по knowledge tracing и генерации hints: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Deep Knowledge Tracing</w:t>
      </w:r>
      <w:r>
        <w:t xml:space="preserve"> </w:t>
      </w:r>
      <w:r>
        <w:t xml:space="preserve">показал, что историю ответов ученика можно моделировать нейросетями и предсказывать будущие ошибки; это база для персонализации глубины и типа визуальных подсказок.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br/>
      </w:r>
      <w:r>
        <w:t xml:space="preserve">- Классический</w:t>
      </w:r>
      <w:r>
        <w:t xml:space="preserve"> </w:t>
      </w:r>
      <w:r>
        <w:rPr>
          <w:b/>
          <w:bCs/>
        </w:rPr>
        <w:t xml:space="preserve">Bayesian Knowledge Tracing</w:t>
      </w:r>
      <w:r>
        <w:t xml:space="preserve"> </w:t>
      </w:r>
      <w:r>
        <w:t xml:space="preserve">задает устойчивый вероятностный каркас «освоено/не освоено» по навыкам — удобен как простая модель для MVP.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br/>
      </w:r>
      <w:r>
        <w:t xml:space="preserve">- Существует современный обзор по knowledge tracing (ACM Computing Surveys), который помогает выбрать семейство моделей под ваш даталог (BKT/DKT/Transformer-KT).</w:t>
      </w:r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br/>
      </w:r>
      <w:r>
        <w:t xml:space="preserve">- Наконец, есть датасеты и бенчмарки именно про</w:t>
      </w:r>
      <w:r>
        <w:t xml:space="preserve"> </w:t>
      </w:r>
      <w:r>
        <w:rPr>
          <w:i/>
          <w:iCs/>
        </w:rPr>
        <w:t xml:space="preserve">образовательные подсказки</w:t>
      </w:r>
      <w:r>
        <w:t xml:space="preserve"> </w:t>
      </w:r>
      <w:r>
        <w:t xml:space="preserve">(например, TMATH про hints для текстовых матзадач) — это полезно как ориентир того, как оценивать «подсказка помогает/не помогает» и как формулировать уровни.</w:t>
      </w:r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Для пайплайна генерации визуалов также важны идеи curriculum learning (упорядочивание сложности примеров при обучении), если вы планируете дообучение/адаптацию моделей под «стиль ЕГЭ-инфографики».</w:t>
      </w:r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</w:p>
    <w:bookmarkEnd w:id="47"/>
    <w:bookmarkEnd w:id="48"/>
    <w:bookmarkStart w:id="63" w:name="X6cd8efb171b4e7d07693691080f63f8c0105661"/>
    <w:p>
      <w:pPr>
        <w:pStyle w:val="Heading2"/>
      </w:pPr>
      <w:r>
        <w:t xml:space="preserve">Коммерческие продукты и стартапы с похожими фичами</w:t>
      </w:r>
    </w:p>
    <w:p>
      <w:pPr>
        <w:pStyle w:val="FirstParagraph"/>
      </w:pPr>
      <w:r>
        <w:t xml:space="preserve">Рынок можно разделить на четыре «полосы», каждая закрывает кусок вашей будущей системы.</w:t>
      </w:r>
    </w:p>
    <w:p>
      <w:pPr>
        <w:pStyle w:val="BodyText"/>
      </w:pPr>
      <w:r>
        <w:t xml:space="preserve">Первая —</w:t>
      </w:r>
      <w:r>
        <w:t xml:space="preserve"> </w:t>
      </w:r>
      <w:r>
        <w:rPr>
          <w:b/>
          <w:bCs/>
        </w:rPr>
        <w:t xml:space="preserve">генерация инфографики/дизайна в целом</w:t>
      </w:r>
      <w:r>
        <w:t xml:space="preserve"> </w:t>
      </w:r>
      <w:r>
        <w:t xml:space="preserve">(не учебный домен): инструменты ориентированы на маркетинг/презентации, но дают быстрый UI/экспорт шаблонов, что полезно для прототипирования визуального стиля. Примеры: Canva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(Magic Studio/Magic Design/Magic Media) и Microsoft Designer.</w:t>
      </w:r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Вторая —</w:t>
      </w:r>
      <w:r>
        <w:t xml:space="preserve"> </w:t>
      </w:r>
      <w:r>
        <w:rPr>
          <w:b/>
          <w:bCs/>
        </w:rPr>
        <w:t xml:space="preserve">AI-инфографика как продукт</w:t>
      </w:r>
      <w:r>
        <w:t xml:space="preserve">: Piktochart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и Visme</w:t>
      </w:r>
      <w:hyperlink r:id="rId51">
        <w:r>
          <w:rPr>
            <w:rStyle w:val="Hyperlink"/>
          </w:rPr>
          <w:t xml:space="preserve">[30]</w:t>
        </w:r>
      </w:hyperlink>
      <w:r>
        <w:t xml:space="preserve">. Они ценны тем, что у них уже есть «компоненты инфографики» (шаблоны, блоки, графики/диаграммы, экспорт), а значит можно подсмотреть,</w:t>
      </w:r>
      <w:r>
        <w:t xml:space="preserve"> </w:t>
      </w:r>
      <w:r>
        <w:rPr>
          <w:i/>
          <w:iCs/>
        </w:rPr>
        <w:t xml:space="preserve">какие primitives реально востребованы пользователями</w:t>
      </w:r>
      <w:r>
        <w:t xml:space="preserve"> </w:t>
      </w:r>
      <w:r>
        <w:t xml:space="preserve">и какие форматы экспорта удобны.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Третья —</w:t>
      </w:r>
      <w:r>
        <w:t xml:space="preserve"> </w:t>
      </w:r>
      <w:r>
        <w:rPr>
          <w:b/>
          <w:bCs/>
        </w:rPr>
        <w:t xml:space="preserve">STEM-ориентированная конверсия “картинка → формула/текст”</w:t>
      </w:r>
      <w:r>
        <w:t xml:space="preserve">: Mathpix</w:t>
      </w:r>
      <w:hyperlink r:id="rId3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продает OCR/конвертацию формул, таблиц и научных документов, включая форматы вроде LaTeX/MathML/Markdown, и имеет понятную pricing-модель для API.</w:t>
      </w:r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Открытые альтернативы/комплементы — pix2tex (LaTeX-OCR) и Pix2Text как «более широкий» OCR/разметка с поддержкой формул и layout.</w:t>
      </w:r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Четвертая —</w:t>
      </w:r>
      <w:r>
        <w:t xml:space="preserve"> </w:t>
      </w:r>
      <w:r>
        <w:rPr>
          <w:b/>
          <w:bCs/>
        </w:rPr>
        <w:t xml:space="preserve">интерактивные математические визуализаторы</w:t>
      </w:r>
      <w:r>
        <w:t xml:space="preserve">, которые не «рисуют картинку по промпту», но дают эталонную точность графиков/геометрии: GeoGebra</w:t>
      </w:r>
      <w:hyperlink r:id="rId54">
        <w:r>
          <w:rPr>
            <w:rStyle w:val="Hyperlink"/>
          </w:rPr>
          <w:t xml:space="preserve">[35]</w:t>
        </w:r>
      </w:hyperlink>
      <w:r>
        <w:t xml:space="preserve">, Desmos</w:t>
      </w:r>
      <w:hyperlink r:id="rId53">
        <w:r>
          <w:rPr>
            <w:rStyle w:val="Hyperlink"/>
          </w:rPr>
          <w:t xml:space="preserve">[36]</w:t>
        </w:r>
      </w:hyperlink>
      <w:r>
        <w:t xml:space="preserve">, Wolfram|Alpha. Их можно рассматривать как «источники референс-рендеринга» и как ориентир UX: какие виды графиков и манипуляций реально нужны ученикам.</w:t>
      </w:r>
      <w:r>
        <w:t xml:space="preserve"> </w:t>
      </w:r>
      <w:hyperlink r:id="rId55">
        <w:r>
          <w:rPr>
            <w:rStyle w:val="Hyperlink"/>
          </w:rPr>
          <w:t xml:space="preserve">[37]</w:t>
        </w:r>
      </w:hyperlink>
    </w:p>
    <w:bookmarkStart w:id="62" w:name="таблица-сравнения-продуктов"/>
    <w:p>
      <w:pPr>
        <w:pStyle w:val="Heading3"/>
      </w:pPr>
      <w:r>
        <w:t xml:space="preserve">Таблица сравнения продуктов</w:t>
      </w:r>
    </w:p>
    <w:p>
      <w:pPr>
        <w:pStyle w:val="FirstParagraph"/>
      </w:pPr>
      <w:r>
        <w:t xml:space="preserve">Ниже — сравнение не «кто лучше вообще», а</w:t>
      </w:r>
      <w:r>
        <w:t xml:space="preserve"> </w:t>
      </w:r>
      <w:r>
        <w:rPr>
          <w:b/>
          <w:bCs/>
        </w:rPr>
        <w:t xml:space="preserve">насколько близко к вашему use case</w:t>
      </w:r>
      <w:r>
        <w:t xml:space="preserve">: автоматическая генерация визуалов, контроль структуры, API, лицензии и стоимость (где публично доступна).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 для вашего кейса</w:t>
            </w:r>
          </w:p>
        </w:tc>
        <w:tc>
          <w:tcPr/>
          <w:p>
            <w:pPr>
              <w:pStyle w:val="Compact"/>
            </w:pPr>
            <w:r>
              <w:t xml:space="preserve">Слабые стороны/риски</w:t>
            </w:r>
          </w:p>
        </w:tc>
        <w:tc>
          <w:tcPr/>
          <w:p>
            <w:pPr>
              <w:pStyle w:val="Compact"/>
            </w:pPr>
            <w:r>
              <w:t xml:space="preserve">Лицензия/правовой режим (если применимо)</w:t>
            </w:r>
          </w:p>
        </w:tc>
        <w:tc>
          <w:tcPr/>
          <w:p>
            <w:pPr>
              <w:pStyle w:val="Compact"/>
            </w:pPr>
            <w:r>
              <w:t xml:space="preserve">Публичная стоимость (если есть)</w:t>
            </w:r>
          </w:p>
        </w:tc>
        <w:tc>
          <w:tcPr/>
          <w:p>
            <w:pPr>
              <w:pStyle w:val="Compact"/>
            </w:pPr>
            <w:r>
              <w:t xml:space="preserve">Применимость к ЕГЭ-визуалам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Быстрое создание визуалов и шаблонов; встроенные AI-инструменты (Magic Studio/Magic Design/AI Image Generator) удобны как «референс UX» и быстрый стиль-гайд.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Обычно не гарантирует строгую структурную точность учебных схем (особенно формулы/оси).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Проприетарный сервис (условия — по продукту).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 источниках выше публичная цена не фиксируется.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Средняя: хорошо для оформления, хуже для «строгих» диаграмм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Piktochart</w:t>
            </w:r>
          </w:p>
        </w:tc>
        <w:tc>
          <w:tcPr/>
          <w:p>
            <w:pPr>
              <w:pStyle w:val="Compact"/>
            </w:pPr>
            <w:r>
              <w:t xml:space="preserve">AI-генерация инфографики и наличие «конструктора» графиков/диаграмм как отдельных сущностей.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Риск «маркетинговой» ориентации: шаблоны могут быть шумными для учебного контента; детали экспорта/автоматизации зависят от тарифа.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Проприетарный сервис.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Публично указано: Pro $14/мес при оплате за год или $29/мес помесячно.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Средняя: полезно для инфографики-памяток, слабее для формул/контрольных схем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Visme</w:t>
            </w:r>
          </w:p>
        </w:tc>
        <w:tc>
          <w:tcPr/>
          <w:p>
            <w:pPr>
              <w:pStyle w:val="Compact"/>
            </w:pPr>
            <w:r>
              <w:t xml:space="preserve">Позиционируется как платформа для презентаций и инфографики + отдельные landing по инфографике и pricing.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«Учебная точность» не основной фокус; как и у других конструкторов, критичен экспорт в SVG/слои.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Проприетарный сервис.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Pricing вынесен на страницу тарифов (значения зависят от плана).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Средняя: удобно для визуальных шпаргалок, но не заменяет «диаграммы как код»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Designer</w:t>
            </w:r>
          </w:p>
        </w:tc>
        <w:tc>
          <w:tcPr/>
          <w:p>
            <w:pPr>
              <w:pStyle w:val="Compact"/>
            </w:pPr>
            <w:r>
              <w:t xml:space="preserve">Простая генерация дизайнов «в пару кликов», полезно как референс массового продукта.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 решает «строго учебные» диаграммы; автоматизация через API не является центральным сценарием.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Проприетарный сервис.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Позиционируется как доступный инструмент создания дизайнов (детали — на страницах Microsoft).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Низкая/средняя: скорее UI-референс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Mathpix</w:t>
            </w:r>
          </w:p>
        </w:tc>
        <w:tc>
          <w:tcPr/>
          <w:p>
            <w:pPr>
              <w:pStyle w:val="Compact"/>
            </w:pPr>
            <w:r>
              <w:t xml:space="preserve">Сильный «обратный» компонент: OCR формул/таблиц/диаграмм в LaTeX/MathML/Markdown; понятная тарификация API (pay-as-you-go), подходит для верификации и пайплайна «round-trip».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Зависимость от внешнего сервиса и стоимости при масштабе; OCR не идеален, нужен контроль качества.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Проприетарный сервис.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Публично: pay-as-you-go, есть one-time setup fee и цена за изображение (зависит от endpoint/объемов).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Высокая как компонент верификации/конвертации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pix2tex (LaTeX-OCR)</w:t>
            </w:r>
          </w:p>
        </w:tc>
        <w:tc>
          <w:tcPr/>
          <w:p>
            <w:pPr>
              <w:pStyle w:val="Compact"/>
            </w:pPr>
            <w:r>
              <w:t xml:space="preserve">Открытый проект «картинка формулы → LaTeX», годится для локального оффлайн-контура.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Качество зависит от домена (печатное/рукописное), нужна донастройка; не решает диаграммы/графики целиком.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Open-source (см. репозиторий проекта).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Бесплатно (self-host).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Высокая как «встроенный LaTeX OCR»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GeoGebra / Desmos</w:t>
            </w:r>
          </w:p>
        </w:tc>
        <w:tc>
          <w:tcPr/>
          <w:p>
            <w:pPr>
              <w:pStyle w:val="Compact"/>
            </w:pPr>
            <w:r>
              <w:t xml:space="preserve">Эталонная точность графиков/геометрии, отличные референсы UX «что такое хороший график/конструкция».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Это не «генераторы инфографики», их нужно оборачивать/интегрировать; лицензии/условия зависят от режима использования.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Сервис/ПО с собственными условиями.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Высокая как источник точного рендеринга и референс</w:t>
            </w:r>
          </w:p>
        </w:tc>
      </w:tr>
    </w:tbl>
    <w:bookmarkEnd w:id="62"/>
    <w:bookmarkEnd w:id="63"/>
    <w:bookmarkStart w:id="80" w:name="Xada70a5c9cd4deb508a2bb6e09c8c26b490f2cc"/>
    <w:p>
      <w:pPr>
        <w:pStyle w:val="Heading2"/>
      </w:pPr>
      <w:r>
        <w:t xml:space="preserve">Датасеты и лицензии для формул, графиков, схем и инфографики</w:t>
      </w:r>
    </w:p>
    <w:p>
      <w:pPr>
        <w:pStyle w:val="FirstParagraph"/>
      </w:pPr>
      <w:r>
        <w:t xml:space="preserve">Ваш набор данных почти неизбежно будет</w:t>
      </w:r>
      <w:r>
        <w:t xml:space="preserve"> </w:t>
      </w:r>
      <w:r>
        <w:rPr>
          <w:b/>
          <w:bCs/>
        </w:rPr>
        <w:t xml:space="preserve">смешанным по лицензиям</w:t>
      </w:r>
      <w:r>
        <w:t xml:space="preserve">, потому что «формулы», «диаграммы», «инфографика» и «экзаменационные задачи» живут в разных правовых режимах — от CC-лицензий до copyleft и «all rights reserved». Поэтому лучше с первого дня проектировать: (1) реестр источников; (2) автоматическое проставление атрибуции; (3) сегментацию датасета по лицензиям/разрешениям (особенно важно для коммерческого продукта).</w:t>
      </w:r>
      <w:r>
        <w:t xml:space="preserve"> </w:t>
      </w:r>
      <w:hyperlink r:id="rId64">
        <w:r>
          <w:rPr>
            <w:rStyle w:val="Hyperlink"/>
          </w:rPr>
          <w:t xml:space="preserve">[58]</w:t>
        </w:r>
      </w:hyperlink>
    </w:p>
    <w:bookmarkStart w:id="77" w:name="Xb92f187b7fda1c1e345c38f215d7cfbb99a660e"/>
    <w:p>
      <w:pPr>
        <w:pStyle w:val="Heading3"/>
      </w:pPr>
      <w:r>
        <w:t xml:space="preserve">Карта датасетов, которые чаще всего оказываются полезными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Датасет</w:t>
            </w:r>
          </w:p>
        </w:tc>
        <w:tc>
          <w:tcPr/>
          <w:p>
            <w:pPr>
              <w:pStyle w:val="Compact"/>
            </w:pPr>
            <w:r>
              <w:t xml:space="preserve">Что внутри (кратко)</w:t>
            </w:r>
          </w:p>
        </w:tc>
        <w:tc>
          <w:tcPr/>
          <w:p>
            <w:pPr>
              <w:pStyle w:val="Compact"/>
            </w:pPr>
            <w:r>
              <w:t xml:space="preserve">Лицензия/условия</w:t>
            </w:r>
          </w:p>
        </w:tc>
        <w:tc>
          <w:tcPr/>
          <w:p>
            <w:pPr>
              <w:pStyle w:val="Compact"/>
            </w:pPr>
            <w:r>
              <w:t xml:space="preserve">Зачем вам (конкретно)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IM2LATEX-100K</w:t>
            </w:r>
          </w:p>
        </w:tc>
        <w:tc>
          <w:tcPr/>
          <w:p>
            <w:pPr>
              <w:pStyle w:val="Compact"/>
            </w:pPr>
            <w:r>
              <w:t xml:space="preserve">Пары «рендер формулы → LaTeX» (~100k) для image-to-markup.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 открытых сборках встречается CC0 (зависит от дистрибутива/хоста), поэтому нужна проверка источника размещения.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Обучение/тестирование формульного OCR, а также «round-trip» проверка ваших рендеров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CROHME</w:t>
            </w:r>
          </w:p>
        </w:tc>
        <w:tc>
          <w:tcPr/>
          <w:p>
            <w:pPr>
              <w:pStyle w:val="Compact"/>
            </w:pPr>
            <w:r>
              <w:t xml:space="preserve">Рукописные math expressions для распознавания (Math OCR).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 BY-NC-SA указана в описаниях CROHME; коммерческое использование ограничено (NC).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Реализм рукописного ввода (если будете распознавать решения учеников/фото тетрадей)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MathWriting</w:t>
            </w:r>
          </w:p>
        </w:tc>
        <w:tc>
          <w:tcPr/>
          <w:p>
            <w:pPr>
              <w:pStyle w:val="Compact"/>
            </w:pPr>
            <w:r>
              <w:t xml:space="preserve">Большой датасет рукописных выражений (современный масштаб).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Лицензия зависит от релиза (проверять по странице датасета/репозитория).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Повышение качества Math OCR (особенно «школьная» рукопись)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AI2D (diagrams)</w:t>
            </w:r>
          </w:p>
        </w:tc>
        <w:tc>
          <w:tcPr/>
          <w:p>
            <w:pPr>
              <w:pStyle w:val="Compact"/>
            </w:pPr>
            <w:r>
              <w:t xml:space="preserve">~4,8k научных/учебных диаграмм (школьная наука) + аннотации, задачи.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 BY-SA.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Прототипы схем/диаграмм и обучение классификатора «тип диаграммы → шаблон»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AI2D-RST</w:t>
            </w:r>
          </w:p>
        </w:tc>
        <w:tc>
          <w:tcPr/>
          <w:p>
            <w:pPr>
              <w:pStyle w:val="Compact"/>
            </w:pPr>
            <w:r>
              <w:t xml:space="preserve">Разметка дискурсивной структуры подмножества AI2D (1000 диаграмм), CC-BY-4.0.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 BY 4.0.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Более «структурный» слой для понимания/генерации объясняющих диаграмм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PlotQA</w:t>
            </w:r>
          </w:p>
        </w:tc>
        <w:tc>
          <w:tcPr/>
          <w:p>
            <w:pPr>
              <w:pStyle w:val="Compact"/>
            </w:pPr>
            <w:r>
              <w:t xml:space="preserve">Вопросы/ответы по реальным научным графикам; указано, что датасеты CC-BY-4.0, код MIT.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 BY 4.0 (dataset), MIT (code).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Проверка понимания/верификации графиков; полезно для «генерация ↔ интерпретация»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ChartQA</w:t>
            </w:r>
          </w:p>
        </w:tc>
        <w:tc>
          <w:tcPr/>
          <w:p>
            <w:pPr>
              <w:pStyle w:val="Compact"/>
            </w:pPr>
            <w:r>
              <w:t xml:space="preserve">Датасет по вопросам к графикам; в GitHub-репозитории заявлен GPL-3.0.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GPL-3.0.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Исследовательски полезен, но</w:t>
            </w:r>
            <w:r>
              <w:t xml:space="preserve"> </w:t>
            </w:r>
            <w:r>
              <w:rPr>
                <w:b/>
                <w:bCs/>
              </w:rPr>
              <w:t xml:space="preserve">токсичен</w:t>
            </w:r>
            <w:r>
              <w:t xml:space="preserve"> </w:t>
            </w:r>
            <w:r>
              <w:t xml:space="preserve">для коммерческого датасета без тщательной юридической оценки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InfographicVQA</w:t>
            </w:r>
          </w:p>
        </w:tc>
        <w:tc>
          <w:tcPr/>
          <w:p>
            <w:pPr>
              <w:pStyle w:val="Compact"/>
            </w:pPr>
            <w:r>
              <w:t xml:space="preserve">Вопросы/ответы по инфографике (понимание layout + текст + графика).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Лицензия зависит от точки скачивания/релиза (часто через docvqa/репозитории).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Бенчмарк «инфографика как документ», полезно для валидации качества ваших инфографик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PubLayNet</w:t>
            </w:r>
          </w:p>
        </w:tc>
        <w:tc>
          <w:tcPr/>
          <w:p>
            <w:pPr>
              <w:pStyle w:val="Compact"/>
            </w:pPr>
            <w:r>
              <w:t xml:space="preserve">Большой датасет разметки layout статей. Аннотации под CDL Permissive; изображения — по условиям PMC OA.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Community Data License Agreement – Permissive (аннотации) + отдельные условия на изображения.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Модели layout/раскладки страниц, если будете генерировать «страничку конспекта» как 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EGE Math Solutions Assessment Benchmark (CHECK‑MAT)</w:t>
            </w:r>
          </w:p>
        </w:tc>
        <w:tc>
          <w:tcPr/>
          <w:p>
            <w:pPr>
              <w:pStyle w:val="Compact"/>
            </w:pPr>
            <w:r>
              <w:t xml:space="preserve">Набор изображений решений учеников + экспертные оценки; в репозитории заявлено MIT для кода и датасета.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 (по заявлению авторов репозитория).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 для генерации картинок, а для</w:t>
            </w:r>
            <w:r>
              <w:t xml:space="preserve"> </w:t>
            </w:r>
            <w:r>
              <w:rPr>
                <w:b/>
                <w:bCs/>
              </w:rPr>
              <w:t xml:space="preserve">оценки/верификации</w:t>
            </w:r>
            <w:r>
              <w:t xml:space="preserve"> </w:t>
            </w:r>
            <w:r>
              <w:t xml:space="preserve">решений и «что считается шагом»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physics_big (HF)</w:t>
            </w:r>
          </w:p>
        </w:tc>
        <w:tc>
          <w:tcPr/>
          <w:p>
            <w:pPr>
              <w:pStyle w:val="Compact"/>
            </w:pPr>
            <w:r>
              <w:t xml:space="preserve">Русскоязычный мультимодальный датасет задач по физике; лицензия Apache-2.0 (по карточке датасета).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Apache-2.0.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Русский язык + физика + мультимодальность; хорошая база для персонализации и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gsm8k-ru (HF)</w:t>
            </w:r>
          </w:p>
        </w:tc>
        <w:tc>
          <w:tcPr/>
          <w:p>
            <w:pPr>
              <w:pStyle w:val="Compact"/>
            </w:pPr>
            <w:r>
              <w:t xml:space="preserve">Русская версия GSM8K; на HF указана лицензия MIT.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Калибровка сложности, тренировка генерации подсказок/шагов на русском (текстовая часть)</w:t>
            </w:r>
          </w:p>
        </w:tc>
      </w:tr>
    </w:tbl>
    <w:bookmarkEnd w:id="77"/>
    <w:bookmarkStart w:id="79" w:name="Xe080cf621d421855395382c8de93ebf0a88442e"/>
    <w:p>
      <w:pPr>
        <w:pStyle w:val="Heading3"/>
      </w:pPr>
      <w:r>
        <w:t xml:space="preserve">Практическое замечание про ЕГЭ-материалы и «правообладателей»</w:t>
      </w:r>
    </w:p>
    <w:p>
      <w:pPr>
        <w:pStyle w:val="FirstParagraph"/>
      </w:pPr>
      <w:r>
        <w:t xml:space="preserve">На официальном сайте ФИПИ указан режим «все права защищены».</w:t>
      </w:r>
      <w:r>
        <w:t xml:space="preserve"> </w:t>
      </w:r>
      <w:hyperlink r:id="rId78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Это не всегда означает «нельзя использовать вообще», но для коммерческого ML/генерации нужно считать, что</w:t>
      </w:r>
      <w:r>
        <w:t xml:space="preserve"> </w:t>
      </w:r>
      <w:r>
        <w:rPr>
          <w:b/>
          <w:bCs/>
        </w:rPr>
        <w:t xml:space="preserve">прямое включение материалов ЕГЭ/ФИПИ в обучающий датасет</w:t>
      </w:r>
      <w:r>
        <w:t xml:space="preserve"> </w:t>
      </w:r>
      <w:r>
        <w:t xml:space="preserve">без явного разрешения — высокий юридический риск. В продуктовой стратегии обычно безопаснее: (а) использовать официальные материалы как</w:t>
      </w:r>
      <w:r>
        <w:t xml:space="preserve"> </w:t>
      </w:r>
      <w:r>
        <w:rPr>
          <w:b/>
          <w:bCs/>
        </w:rPr>
        <w:t xml:space="preserve">источник требований/формата</w:t>
      </w:r>
      <w:r>
        <w:t xml:space="preserve"> </w:t>
      </w:r>
      <w:r>
        <w:t xml:space="preserve">(кодификаторы, критерии проверок), (б) строить</w:t>
      </w:r>
      <w:r>
        <w:t xml:space="preserve"> </w:t>
      </w:r>
      <w:r>
        <w:rPr>
          <w:b/>
          <w:bCs/>
        </w:rPr>
        <w:t xml:space="preserve">синтетические</w:t>
      </w:r>
      <w:r>
        <w:t xml:space="preserve"> </w:t>
      </w:r>
      <w:r>
        <w:t xml:space="preserve">задачи/диаграммы и/или использовать открытые учебники/CC-ресурсы, (в) хранить «банки задач» отдельным модулем с четкой атрибуцией и соблюдением условий доступа.</w:t>
      </w:r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</w:p>
    <w:bookmarkEnd w:id="79"/>
    <w:bookmarkEnd w:id="80"/>
    <w:bookmarkStart w:id="106" w:name="рекомендуемая-архитектура-и-инструменты"/>
    <w:p>
      <w:pPr>
        <w:pStyle w:val="Heading2"/>
      </w:pPr>
      <w:r>
        <w:t xml:space="preserve">Рекомендуемая архитектура и инструменты</w:t>
      </w:r>
    </w:p>
    <w:bookmarkStart w:id="88" w:name="X7e13be9fbbc60c6f0f67596e3b8a5701e6d3576"/>
    <w:p>
      <w:pPr>
        <w:pStyle w:val="Heading3"/>
      </w:pPr>
      <w:r>
        <w:t xml:space="preserve">Принцип: «структура → рендер → (опционально) стилизация»</w:t>
      </w:r>
    </w:p>
    <w:p>
      <w:pPr>
        <w:pStyle w:val="FirstParagraph"/>
      </w:pPr>
      <w:r>
        <w:t xml:space="preserve">Ключевой паттерн для ЕГЭ-инфографики: сначала генерировать</w:t>
      </w:r>
      <w:r>
        <w:t xml:space="preserve"> </w:t>
      </w:r>
      <w:r>
        <w:rPr>
          <w:b/>
          <w:bCs/>
        </w:rPr>
        <w:t xml:space="preserve">структурное представление</w:t>
      </w:r>
      <w:r>
        <w:t xml:space="preserve"> </w:t>
      </w:r>
      <w:r>
        <w:t xml:space="preserve">(граф объектов, координаты, подписи, формулы), затем рендерить в SVG/PNG, и только потом (если нужно) стилизовать/добавлять «мягкую» иллюстрацию.</w:t>
      </w:r>
    </w:p>
    <w:p>
      <w:pPr>
        <w:pStyle w:val="BodyText"/>
      </w:pPr>
      <w:r>
        <w:t xml:space="preserve">Для графиков и диаграмм удобнее всего работать в терминах декларативных спецификаций (Vega/Vega-Lite) и библиотек, которые рендерят векторно. Vega-Lite прямо описывается как «high-level grammar» с JSON-синтаксисом.</w:t>
      </w:r>
      <w:r>
        <w:t xml:space="preserve"> </w:t>
      </w:r>
      <w:hyperlink r:id="rId81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Для Python-стека естественны Plotly и Matplotlib; Matplotlib</w:t>
      </w:r>
      <w:r>
        <w:t xml:space="preserve"> </w:t>
      </w:r>
      <w:r>
        <w:rPr>
          <w:rStyle w:val="VerbatimChar"/>
        </w:rPr>
        <w:t xml:space="preserve">savefig</w:t>
      </w:r>
      <w:r>
        <w:t xml:space="preserve"> </w:t>
      </w:r>
      <w:r>
        <w:t xml:space="preserve">поддерживает сохранение в vector formats (в зависимости от backend), что важно для «четкости» на экране и в печати.</w:t>
      </w:r>
      <w:r>
        <w:t xml:space="preserve"> </w:t>
      </w:r>
      <w:hyperlink r:id="rId82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Для математической типографики и формул лучше использовать специализированные рендереры (KaTeX/MathJax) или LaTeX → SVG пайплайн: KaTeX позиционируется как быстрый web-typesetter на базе TeX-типографики, а MathJax имеет SVG-output режим.</w:t>
      </w:r>
      <w:r>
        <w:t xml:space="preserve"> </w:t>
      </w:r>
      <w:hyperlink r:id="rId8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Если нужен «настоящий» LaTeX → SVG, dvisvgm прямо предназначен для конвертации DVI/EPS/PDF в SVG.</w:t>
      </w:r>
      <w:r>
        <w:t xml:space="preserve"> </w:t>
      </w:r>
      <w:hyperlink r:id="rId84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t xml:space="preserve">Для схем (цепи/геометрия) сильнейший «академический стандарт» — TikZ/PGF и расширения: PGF описан как макропакет для графики с синтаксическим слоем TikZ; PGFPlots — для качественных графиков; CircuitikZ — для электрических схем.</w:t>
      </w:r>
      <w:r>
        <w:t xml:space="preserve"> </w:t>
      </w:r>
      <w:hyperlink r:id="rId29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t xml:space="preserve">Для «диаграммы как код» (пошаговые схемы, блок-схемы, графы ошибок) используйте Mermaid (MIT) и/или Graphviz/PlantUML, учитывая лицензии: Mermaid — MIT.</w:t>
      </w:r>
      <w:r>
        <w:t xml:space="preserve"> </w:t>
      </w:r>
      <w:hyperlink r:id="rId85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Graphviz лицензируется под Eclipse Public License.</w:t>
      </w:r>
      <w:r>
        <w:t xml:space="preserve"> </w:t>
      </w:r>
      <w:hyperlink r:id="rId86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PlantUML — GPL, но в license-файле отдельно оговорено, что изображения, сгенерированные из текстового описания, принадлежат автору описания и «не покрываются GPL» (при условии, что сам исходный текст-описание не был под GPL).</w:t>
      </w:r>
      <w:r>
        <w:t xml:space="preserve"> </w:t>
      </w:r>
      <w:hyperlink r:id="rId87">
        <w:r>
          <w:rPr>
            <w:rStyle w:val="Hyperlink"/>
          </w:rPr>
          <w:t xml:space="preserve">[84]</w:t>
        </w:r>
      </w:hyperlink>
    </w:p>
    <w:bookmarkEnd w:id="88"/>
    <w:bookmarkStart w:id="91" w:name="где-диффузия-уместна-а-где-вредна"/>
    <w:p>
      <w:pPr>
        <w:pStyle w:val="Heading3"/>
      </w:pPr>
      <w:r>
        <w:t xml:space="preserve">Где диффузия уместна, а где вредна</w:t>
      </w:r>
    </w:p>
    <w:p>
      <w:pPr>
        <w:pStyle w:val="FirstParagraph"/>
      </w:pPr>
      <w:r>
        <w:t xml:space="preserve">Диффузионные модели разумно использовать для:</w:t>
      </w:r>
      <w:r>
        <w:t xml:space="preserve"> </w:t>
      </w:r>
      <w:r>
        <w:t xml:space="preserve">- контекстных иллюстраций (например, «брусок на наклонной плоскости» как картинка-ассоциация);</w:t>
      </w:r>
      <w:r>
        <w:t xml:space="preserve"> </w:t>
      </w:r>
      <w:r>
        <w:t xml:space="preserve">- фоновых/иконографических элементов, не несущих «точных» чисел и символов;</w:t>
      </w:r>
      <w:r>
        <w:t xml:space="preserve"> </w:t>
      </w:r>
      <w:r>
        <w:t xml:space="preserve">- стилизации готового SVG-рендера (например, сделать «приятную» версию схемы для памяти).</w:t>
      </w:r>
    </w:p>
    <w:p>
      <w:pPr>
        <w:pStyle w:val="BodyText"/>
      </w:pPr>
      <w:r>
        <w:t xml:space="preserve">Но их опасно использовать для:</w:t>
      </w:r>
      <w:r>
        <w:t xml:space="preserve"> </w:t>
      </w:r>
      <w:r>
        <w:t xml:space="preserve">- формул, осей, мелких подписей, таблиц и «учебной инфографики с текстом», потому что читаемость текста — типовое ограничение (в SDXL это указано явно).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задач, где ошибка одной цифры ломает смысл (ЕГЭ). Это подтверждается ростом внимания к бенчмаркам по инфографике и документным изображениям (например, IGenBench).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Если нужен внешний API для картинок, OpenAI</w:t>
      </w:r>
      <w:hyperlink r:id="rId67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в официальной документации рекомендует текущие GPT Image модели (например,</w:t>
      </w:r>
      <w:r>
        <w:t xml:space="preserve"> </w:t>
      </w:r>
      <w:r>
        <w:rPr>
          <w:rStyle w:val="VerbatimChar"/>
        </w:rPr>
        <w:t xml:space="preserve">gpt-image-1.5</w:t>
      </w:r>
      <w:r>
        <w:t xml:space="preserve">), а DALL·E 2/3 обозначены как deprecated с датой окончания поддержки 12 мая 2026.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(Это важно: если вы сейчас строите MVP на DALL·E 3, нужно сразу планировать миграцию.)</w:t>
      </w:r>
    </w:p>
    <w:p>
      <w:pPr>
        <w:pStyle w:val="BodyText"/>
      </w:pPr>
      <w:r>
        <w:t xml:space="preserve">Если нужен self-host, диффузию практично запускать через Hugging Face</w:t>
      </w:r>
      <w:hyperlink r:id="rId22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Diffusers (Apache-2.0 лицензия библиотеки) и использовать SDXL-модели (учитывая OpenRAIL++-лицензию конкретных весов).</w:t>
      </w:r>
      <w:r>
        <w:t xml:space="preserve"> </w:t>
      </w:r>
      <w:hyperlink r:id="rId89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Для UI-быстроты часто берут Automatic1111/ComfyUI, но у них сильный copyleft (AGPL/GPL), что для коммерческого бэкенда может быть проблемой.</w:t>
      </w:r>
      <w:r>
        <w:t xml:space="preserve"> </w:t>
      </w:r>
      <w:hyperlink r:id="rId90">
        <w:r>
          <w:rPr>
            <w:rStyle w:val="Hyperlink"/>
          </w:rPr>
          <w:t xml:space="preserve">[88]</w:t>
        </w:r>
      </w:hyperlink>
    </w:p>
    <w:bookmarkEnd w:id="91"/>
    <w:bookmarkStart w:id="92" w:name="Xb3a0c52d5d00e5cd656306204d173b3a70ad6f9"/>
    <w:p>
      <w:pPr>
        <w:pStyle w:val="Heading3"/>
      </w:pPr>
      <w:r>
        <w:t xml:space="preserve">Архитектура «визуального движка» для конспектов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A[Текст конспекта от автора] --&gt; B[Разметка visual directives&lt;br/&gt;JSON/YAML-теги]</w:t>
      </w:r>
      <w:r>
        <w:br/>
      </w:r>
      <w:r>
        <w:rPr>
          <w:rStyle w:val="VerbatimChar"/>
        </w:rPr>
        <w:t xml:space="preserve">  U[Профиль ученика&lt;br/&gt;уровень/ошибки/темп] --&gt; C[Планировщик визуалов&lt;br/&gt;что и как рисовать]</w:t>
      </w:r>
      <w:r>
        <w:br/>
      </w:r>
      <w:r>
        <w:rPr>
          <w:rStyle w:val="VerbatimChar"/>
        </w:rPr>
        <w:t xml:space="preserve">  B --&gt; C</w:t>
      </w:r>
      <w:r>
        <w:br/>
      </w:r>
      <w:r>
        <w:rPr>
          <w:rStyle w:val="VerbatimChar"/>
        </w:rPr>
        <w:t xml:space="preserve">  C --&gt; R[Retrieval шаблонов&lt;br/&gt;SVG/TikZ/Vega-Lite]</w:t>
      </w:r>
      <w:r>
        <w:br/>
      </w:r>
      <w:r>
        <w:rPr>
          <w:rStyle w:val="VerbatimChar"/>
        </w:rPr>
        <w:t xml:space="preserve">  C --&gt; L[Планировщик раскладки&lt;br/&gt;layout + стили]</w:t>
      </w:r>
      <w:r>
        <w:br/>
      </w:r>
      <w:r>
        <w:rPr>
          <w:rStyle w:val="VerbatimChar"/>
        </w:rPr>
        <w:t xml:space="preserve">  R --&gt; V[Векторный рендерер&lt;br/&gt;SVG + слои]</w:t>
      </w:r>
      <w:r>
        <w:br/>
      </w:r>
      <w:r>
        <w:rPr>
          <w:rStyle w:val="VerbatimChar"/>
        </w:rPr>
        <w:t xml:space="preserve">  L --&gt; V</w:t>
      </w:r>
      <w:r>
        <w:br/>
      </w:r>
      <w:r>
        <w:rPr>
          <w:rStyle w:val="VerbatimChar"/>
        </w:rPr>
        <w:t xml:space="preserve">  C --&gt;|опционально| D[Диффузионный генератор&lt;br/&gt;иллюстрации/иконки]</w:t>
      </w:r>
      <w:r>
        <w:br/>
      </w:r>
      <w:r>
        <w:rPr>
          <w:rStyle w:val="VerbatimChar"/>
        </w:rPr>
        <w:t xml:space="preserve">  D --&gt; P[Постпроцесс&lt;br/&gt;композиция слоев]</w:t>
      </w:r>
      <w:r>
        <w:br/>
      </w:r>
      <w:r>
        <w:rPr>
          <w:rStyle w:val="VerbatimChar"/>
        </w:rPr>
        <w:t xml:space="preserve">  V --&gt; P</w:t>
      </w:r>
      <w:r>
        <w:br/>
      </w:r>
      <w:r>
        <w:rPr>
          <w:rStyle w:val="VerbatimChar"/>
        </w:rPr>
        <w:t xml:space="preserve">  P --&gt; Q[Верификация&lt;br/&gt;round-trip OCR + правила]</w:t>
      </w:r>
      <w:r>
        <w:br/>
      </w:r>
      <w:r>
        <w:rPr>
          <w:rStyle w:val="VerbatimChar"/>
        </w:rPr>
        <w:t xml:space="preserve">  Q --&gt; O[Экспорт&lt;br/&gt;SVG/PNG/Web]</w:t>
      </w:r>
    </w:p>
    <w:p>
      <w:pPr>
        <w:pStyle w:val="FirstParagraph"/>
      </w:pPr>
      <w:r>
        <w:t xml:space="preserve">Смысл: вместо «промпт → картинка» вы делаете «конспект/шаги → набор визуальных объектов → надежный рендер». Это особенно важно, потому что SDXL и подобные модели сами признают ограничения на читаемый текст, а бенчмарки по инфографике показывают, что инфографика — отдельная сложная категория.</w:t>
      </w:r>
      <w:r>
        <w:t xml:space="preserve"> </w:t>
      </w:r>
      <w:hyperlink r:id="rId21">
        <w:r>
          <w:rPr>
            <w:rStyle w:val="Hyperlink"/>
          </w:rPr>
          <w:t xml:space="preserve">[89]</w:t>
        </w:r>
      </w:hyperlink>
    </w:p>
    <w:bookmarkEnd w:id="92"/>
    <w:bookmarkStart w:id="96" w:name="Xbfa849078cff3250af862ffb1387c14af204321"/>
    <w:p>
      <w:pPr>
        <w:pStyle w:val="Heading3"/>
      </w:pPr>
      <w:r>
        <w:t xml:space="preserve">Инструменты, которые хорошо «склеиваются» в production-пайплайн</w:t>
      </w:r>
    </w:p>
    <w:p>
      <w:pPr>
        <w:pStyle w:val="Compact"/>
        <w:numPr>
          <w:ilvl w:val="0"/>
          <w:numId w:val="1002"/>
        </w:numPr>
      </w:pPr>
      <w:r>
        <w:t xml:space="preserve">Рендер math: MathJax SVG-output или KaTeX (web), либо LaTeX→SVG через dvisvgm, если нужен «идеальный» TeX-выход.</w:t>
      </w:r>
      <w:r>
        <w:t xml:space="preserve"> </w:t>
      </w:r>
      <w:hyperlink r:id="rId93">
        <w:r>
          <w:rPr>
            <w:rStyle w:val="Hyperlink"/>
          </w:rPr>
          <w:t xml:space="preserve">[90]</w:t>
        </w:r>
      </w:hyperlink>
    </w:p>
    <w:p>
      <w:pPr>
        <w:pStyle w:val="Compact"/>
        <w:numPr>
          <w:ilvl w:val="0"/>
          <w:numId w:val="1002"/>
        </w:numPr>
      </w:pPr>
      <w:r>
        <w:t xml:space="preserve">Схемы: TikZ/PGF, PGFPlots, CircuitikZ для электрических цепей.</w:t>
      </w:r>
      <w:r>
        <w:t xml:space="preserve"> </w:t>
      </w:r>
      <w:hyperlink r:id="rId29">
        <w:r>
          <w:rPr>
            <w:rStyle w:val="Hyperlink"/>
          </w:rPr>
          <w:t xml:space="preserve">[81]</w:t>
        </w:r>
      </w:hyperlink>
    </w:p>
    <w:p>
      <w:pPr>
        <w:pStyle w:val="Compact"/>
        <w:numPr>
          <w:ilvl w:val="0"/>
          <w:numId w:val="1002"/>
        </w:numPr>
      </w:pPr>
      <w:r>
        <w:t xml:space="preserve">Графики/инфографика: Vega-Lite (JSON grammar), Plotly, Matplotlib (SVG/PNG).</w:t>
      </w:r>
      <w:r>
        <w:t xml:space="preserve"> </w:t>
      </w:r>
      <w:hyperlink r:id="rId81">
        <w:r>
          <w:rPr>
            <w:rStyle w:val="Hyperlink"/>
          </w:rPr>
          <w:t xml:space="preserve">[91]</w:t>
        </w:r>
      </w:hyperlink>
    </w:p>
    <w:p>
      <w:pPr>
        <w:pStyle w:val="Compact"/>
        <w:numPr>
          <w:ilvl w:val="0"/>
          <w:numId w:val="1002"/>
        </w:numPr>
      </w:pPr>
      <w:r>
        <w:t xml:space="preserve">Диаграммы шагов/процессов: Mermaid (MIT).</w:t>
      </w:r>
      <w:r>
        <w:t xml:space="preserve"> </w:t>
      </w:r>
      <w:hyperlink r:id="rId85">
        <w:r>
          <w:rPr>
            <w:rStyle w:val="Hyperlink"/>
          </w:rPr>
          <w:t xml:space="preserve">[82]</w:t>
        </w:r>
      </w:hyperlink>
    </w:p>
    <w:p>
      <w:pPr>
        <w:pStyle w:val="Compact"/>
        <w:numPr>
          <w:ilvl w:val="0"/>
          <w:numId w:val="1002"/>
        </w:numPr>
      </w:pPr>
      <w:r>
        <w:t xml:space="preserve">SVG пайплайн: оптимизация SVGO (MIT) и рендер/растрирование CairoSVG (LGPL) или альтернативные рендереры.</w:t>
      </w:r>
      <w:r>
        <w:t xml:space="preserve"> </w:t>
      </w:r>
      <w:hyperlink r:id="rId50">
        <w:r>
          <w:rPr>
            <w:rStyle w:val="Hyperlink"/>
          </w:rPr>
          <w:t xml:space="preserve">[92]</w:t>
        </w:r>
      </w:hyperlink>
    </w:p>
    <w:p>
      <w:pPr>
        <w:pStyle w:val="Compact"/>
        <w:numPr>
          <w:ilvl w:val="0"/>
          <w:numId w:val="1002"/>
        </w:numPr>
      </w:pPr>
      <w:r>
        <w:t xml:space="preserve">Конверсия SVG↔PNG: Inkscape CLI поддерживает pipe/экспорт; полезно для батча и совместимости.</w:t>
      </w:r>
      <w:r>
        <w:t xml:space="preserve"> </w:t>
      </w:r>
      <w:hyperlink r:id="rId94">
        <w:r>
          <w:rPr>
            <w:rStyle w:val="Hyperlink"/>
          </w:rPr>
          <w:t xml:space="preserve">[93]</w:t>
        </w:r>
      </w:hyperlink>
    </w:p>
    <w:p>
      <w:pPr>
        <w:pStyle w:val="Compact"/>
        <w:numPr>
          <w:ilvl w:val="0"/>
          <w:numId w:val="1002"/>
        </w:numPr>
      </w:pPr>
      <w:r>
        <w:t xml:space="preserve">OCR/Math OCR для верификации: Mathpix OCR API (коммерческий), pix2tex (open), TrOCR как общий OCR-бэкбон.</w:t>
      </w:r>
      <w:r>
        <w:t xml:space="preserve"> </w:t>
      </w:r>
      <w:hyperlink r:id="rId53">
        <w:r>
          <w:rPr>
            <w:rStyle w:val="Hyperlink"/>
          </w:rPr>
          <w:t xml:space="preserve">[94]</w:t>
        </w:r>
      </w:hyperlink>
    </w:p>
    <w:p>
      <w:pPr>
        <w:pStyle w:val="Compact"/>
        <w:numPr>
          <w:ilvl w:val="0"/>
          <w:numId w:val="1002"/>
        </w:numPr>
      </w:pPr>
      <w:r>
        <w:t xml:space="preserve">Символьная проверка формул/преобразований: SymPy позиционируется как библиотека символьной математики.</w:t>
      </w:r>
      <w:r>
        <w:t xml:space="preserve"> </w:t>
      </w:r>
      <w:hyperlink r:id="rId95">
        <w:r>
          <w:rPr>
            <w:rStyle w:val="Hyperlink"/>
          </w:rPr>
          <w:t xml:space="preserve">[95]</w:t>
        </w:r>
      </w:hyperlink>
    </w:p>
    <w:bookmarkEnd w:id="96"/>
    <w:bookmarkStart w:id="101" w:name="X8e635dc7d4cf21d07d885a95a4ac992eef09e2d"/>
    <w:p>
      <w:pPr>
        <w:pStyle w:val="Heading3"/>
      </w:pPr>
      <w:r>
        <w:t xml:space="preserve">Таблица сравнения моделей/инструментов для генерации визуалов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инструмента</w:t>
            </w:r>
          </w:p>
        </w:tc>
        <w:tc>
          <w:tcPr/>
          <w:p>
            <w:pPr>
              <w:pStyle w:val="Compact"/>
            </w:pPr>
            <w:r>
              <w:t xml:space="preserve">Качество для ЕГЭ (формулы/оси/точность)</w:t>
            </w:r>
          </w:p>
        </w:tc>
        <w:tc>
          <w:tcPr/>
          <w:p>
            <w:pPr>
              <w:pStyle w:val="Compact"/>
            </w:pPr>
            <w:r>
              <w:t xml:space="preserve">Контроль структуры инфографики</w:t>
            </w:r>
          </w:p>
        </w:tc>
        <w:tc>
          <w:tcPr/>
          <w:p>
            <w:pPr>
              <w:pStyle w:val="Compact"/>
            </w:pPr>
            <w:r>
              <w:t xml:space="preserve">Скорость/стоимость</w:t>
            </w:r>
          </w:p>
        </w:tc>
        <w:tc>
          <w:tcPr/>
          <w:p>
            <w:pPr>
              <w:pStyle w:val="Compact"/>
            </w:pPr>
            <w:r>
              <w:t xml:space="preserve">Простота интеграции</w:t>
            </w:r>
          </w:p>
        </w:tc>
        <w:tc>
          <w:tcPr/>
          <w:p>
            <w:pPr>
              <w:pStyle w:val="Compact"/>
            </w:pPr>
            <w:r>
              <w:t xml:space="preserve">Когда выбирать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Векторный рендер (TikZ/PGF/PGFPlots/CircuitikZ)</w:t>
            </w:r>
          </w:p>
        </w:tc>
        <w:tc>
          <w:tcPr/>
          <w:p>
            <w:pPr>
              <w:pStyle w:val="Compact"/>
            </w:pPr>
            <w:r>
              <w:t xml:space="preserve">Очень высокое: типографика TeX, точная геометрия/схемы.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Максимальный (вы управляете объектами).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Быстро на инференсе, но может быть «тяжелым» в сборке (LaTeX).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[97]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Средняя: нужен пайплайн компиляции/кеширование.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[98]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Основной слой: схемы, формулы, учебные графики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Vega-Lite / grammar-of-graphics</w:t>
            </w:r>
          </w:p>
        </w:tc>
        <w:tc>
          <w:tcPr/>
          <w:p>
            <w:pPr>
              <w:pStyle w:val="Compact"/>
            </w:pPr>
            <w:r>
              <w:t xml:space="preserve">Высокое для графиков/диаграмм, детерминированный JSON.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Высокий (спецификация → рендер).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Высокая скорость, хорошо масштабируется.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Высокая (JSON + рендер в web).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Графики, диаграммы, «инфографика без диффузии»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Matplotlib/Plotly (SVG/PNG)</w:t>
            </w:r>
          </w:p>
        </w:tc>
        <w:tc>
          <w:tcPr/>
          <w:p>
            <w:pPr>
              <w:pStyle w:val="Compact"/>
            </w:pPr>
            <w:r>
              <w:t xml:space="preserve">Высокое для графиков;</w:t>
            </w:r>
            <w:r>
              <w:t xml:space="preserve"> </w:t>
            </w:r>
            <w:r>
              <w:rPr>
                <w:rStyle w:val="VerbatimChar"/>
              </w:rPr>
              <w:t xml:space="preserve">savefig</w:t>
            </w:r>
            <w:r>
              <w:t xml:space="preserve"> </w:t>
            </w:r>
            <w:r>
              <w:t xml:space="preserve">поддерживает векторные форматы в зависимости от backend.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[100]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Средний/высокий (кодом задаете всё).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[101]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Быстро, дешево.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[101]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Очень высокая для Python-стека.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MVP и production для графиков, простых схем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Диффузия self-host (SDXL + ControlNet/T2I-Adapter через Diffusers)</w:t>
            </w:r>
          </w:p>
        </w:tc>
        <w:tc>
          <w:tcPr/>
          <w:p>
            <w:pPr>
              <w:pStyle w:val="Compact"/>
            </w:pPr>
            <w:r>
              <w:t xml:space="preserve">Среднее для «строгих» элементов: SDXL карточка прямо отмечает проблемы с читаемым текстом.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[102]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Средний/высокий при ControlNet, но не как у SVG.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Стоимость — GPU/инфраструктура; библиотека Diffusers Apache-2.0.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Высокая для Python, но требуются модели/VRAM.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[104]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Иллюстрации, фон, «визуальные метафоры», стилизация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Диффузия через API (OpenAI Images)</w:t>
            </w:r>
          </w:p>
        </w:tc>
        <w:tc>
          <w:tcPr/>
          <w:p>
            <w:pPr>
              <w:pStyle w:val="Compact"/>
            </w:pPr>
            <w:r>
              <w:t xml:space="preserve">Высокое качество иллюстраций; официально продвигаются новые GPT Image модели; DALL·E 2/3 deprecated с датой 12 мая 2026.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Зависит от API-возможностей; обычно контроль ниже, чем у SVG.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Переменная стоимость по usage; плюс зависимость от провайдера.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Очень высокая (HTTP API).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Быстрый прототип и «качественные» иллюстрации без self-host</w:t>
            </w:r>
          </w:p>
        </w:tc>
      </w:tr>
    </w:tbl>
    <w:bookmarkEnd w:id="101"/>
    <w:bookmarkStart w:id="105" w:name="Xce51593eefb1f94bd871e66023a7e6bf8e5cfaa"/>
    <w:p>
      <w:pPr>
        <w:pStyle w:val="Heading3"/>
      </w:pPr>
      <w:r>
        <w:t xml:space="preserve">Пошаговый план «за 1 час» для vibe-code рабочего прототипа</w:t>
      </w:r>
    </w:p>
    <w:p>
      <w:pPr>
        <w:pStyle w:val="FirstParagraph"/>
      </w:pPr>
      <w:r>
        <w:t xml:space="preserve">Цель прототипа: по входу</w:t>
      </w:r>
      <w:r>
        <w:t xml:space="preserve"> </w:t>
      </w:r>
      <w:r>
        <w:rPr>
          <w:i/>
          <w:iCs/>
        </w:rPr>
        <w:t xml:space="preserve">(тема ЕГЭ + уровень ученика + 1–2 шага решения от автора текста)</w:t>
      </w:r>
      <w:r>
        <w:t xml:space="preserve"> </w:t>
      </w:r>
      <w:r>
        <w:t xml:space="preserve">вернуть</w:t>
      </w:r>
      <w:r>
        <w:t xml:space="preserve"> </w:t>
      </w:r>
      <w:r>
        <w:rPr>
          <w:b/>
          <w:bCs/>
        </w:rPr>
        <w:t xml:space="preserve">три артефакта</w:t>
      </w:r>
      <w:r>
        <w:t xml:space="preserve">:</w:t>
      </w:r>
      <w:r>
        <w:br/>
      </w:r>
      <w:r>
        <w:t xml:space="preserve">1) SVG формулы/ключевого преобразования,</w:t>
      </w:r>
      <w:r>
        <w:br/>
      </w:r>
      <w:r>
        <w:t xml:space="preserve">2) SVG схемы (график или FBD/цепь в упрощенном виде),</w:t>
      </w:r>
      <w:r>
        <w:br/>
      </w:r>
      <w:r>
        <w:t xml:space="preserve">3) PNG «контекстной» иллюстрации (опционально) через image API.</w:t>
      </w:r>
      <w:r>
        <w:t xml:space="preserve"> </w:t>
      </w:r>
      <w:hyperlink r:id="rId93">
        <w:r>
          <w:rPr>
            <w:rStyle w:val="Hyperlink"/>
          </w:rPr>
          <w:t xml:space="preserve">[109]</w:t>
        </w:r>
      </w:hyperlink>
    </w:p>
    <w:p>
      <w:pPr>
        <w:pStyle w:val="BodyText"/>
      </w:pPr>
      <w:r>
        <w:t xml:space="preserve">Минимальный стек (быстро ставится): FastAPI + Jinja + Matplotlib + (опционально) OpenAI Images API. FastAPI позиционируется как быстрый web framework, а Jinja умеет генерировать любые текстовые форматы (в т. ч. LaTeX/SVG-шаблоны).</w:t>
      </w:r>
      <w:r>
        <w:t xml:space="preserve"> </w:t>
      </w:r>
      <w:hyperlink r:id="rId102">
        <w:r>
          <w:rPr>
            <w:rStyle w:val="Hyperlink"/>
          </w:rPr>
          <w:t xml:space="preserve">[110]</w:t>
        </w:r>
      </w:hyperlink>
    </w:p>
    <w:p>
      <w:pPr>
        <w:pStyle w:val="BodyText"/>
      </w:pPr>
      <w:r>
        <w:rPr>
          <w:b/>
          <w:bCs/>
        </w:rPr>
        <w:t xml:space="preserve">Шаги (60 минут):</w:t>
      </w:r>
    </w:p>
    <w:p>
      <w:pPr>
        <w:pStyle w:val="BodyText"/>
      </w:pPr>
      <w:r>
        <w:t xml:space="preserve">1) (5 мин) Создать FastAPI-сервис с одним endpoint</w:t>
      </w:r>
      <w:r>
        <w:t xml:space="preserve"> </w:t>
      </w:r>
      <w:r>
        <w:rPr>
          <w:rStyle w:val="VerbatimChar"/>
        </w:rPr>
        <w:t xml:space="preserve">/render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[111]</w:t>
        </w:r>
      </w:hyperlink>
      <w:r>
        <w:br/>
      </w:r>
      <w:r>
        <w:t xml:space="preserve">2) (10 мин) Задать входной JSON-формат</w:t>
      </w:r>
      <w:r>
        <w:t xml:space="preserve"> </w:t>
      </w:r>
      <w:r>
        <w:rPr>
          <w:i/>
          <w:iCs/>
        </w:rPr>
        <w:t xml:space="preserve">visual directives</w:t>
      </w:r>
      <w:r>
        <w:t xml:space="preserve"> </w:t>
      </w:r>
      <w:r>
        <w:t xml:space="preserve">(минимум):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subject: "math"|"physics"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topic: str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level: "basic"|"mid"|"advanced"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formula_latex: str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diagram_type: "function_plot"|"free_body"|"circuit_stub"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params: {...}</w:t>
      </w:r>
      <w:r>
        <w:br/>
      </w:r>
      <w:r>
        <w:t xml:space="preserve">3) (15 мин) Реализовать рендер графика/схемы</w:t>
      </w:r>
      <w:r>
        <w:t xml:space="preserve"> </w:t>
      </w:r>
      <w:r>
        <w:rPr>
          <w:b/>
          <w:bCs/>
        </w:rPr>
        <w:t xml:space="preserve">в SVG</w:t>
      </w:r>
      <w:r>
        <w:t xml:space="preserve"> </w:t>
      </w:r>
      <w:r>
        <w:t xml:space="preserve">через Matplotlib (</w:t>
      </w:r>
      <w:r>
        <w:rPr>
          <w:rStyle w:val="VerbatimChar"/>
        </w:rPr>
        <w:t xml:space="preserve">savefig(..., format="svg")</w:t>
      </w:r>
      <w:r>
        <w:t xml:space="preserve">).</w:t>
      </w:r>
      <w:r>
        <w:t xml:space="preserve"> </w:t>
      </w:r>
      <w:hyperlink r:id="rId97">
        <w:r>
          <w:rPr>
            <w:rStyle w:val="Hyperlink"/>
          </w:rPr>
          <w:t xml:space="preserve">[101]</w:t>
        </w:r>
      </w:hyperlink>
      <w:r>
        <w:br/>
      </w:r>
      <w:r>
        <w:t xml:space="preserve">4) (10 мин) Реализовать «легкий» SVG-шаблон через Jinja для free-body diagram (стрелки сил, подписи) — это даст ощущение «инфографики», даже без сложной геометрии.</w:t>
      </w:r>
      <w:r>
        <w:t xml:space="preserve"> </w:t>
      </w:r>
      <w:hyperlink r:id="rId104">
        <w:r>
          <w:rPr>
            <w:rStyle w:val="Hyperlink"/>
          </w:rPr>
          <w:t xml:space="preserve">[112]</w:t>
        </w:r>
      </w:hyperlink>
      <w:r>
        <w:br/>
      </w:r>
      <w:r>
        <w:t xml:space="preserve">5) (10 мин) Добавить (опционально) генерацию «контекстной» PNG-иллюстрации через Images API (OpenAI).</w:t>
      </w:r>
      <w:r>
        <w:t xml:space="preserve"> </w:t>
      </w:r>
      <w:hyperlink r:id="rId99">
        <w:r>
          <w:rPr>
            <w:rStyle w:val="Hyperlink"/>
          </w:rPr>
          <w:t xml:space="preserve">[113]</w:t>
        </w:r>
      </w:hyperlink>
      <w:r>
        <w:br/>
      </w:r>
      <w:r>
        <w:t xml:space="preserve">6) (10 мин) Сборка результата: вернуть JSON со ссылками/base64 на SVG/PNG и метаданными (размер, версия шаблона, использованные параметры).</w:t>
      </w:r>
      <w:r>
        <w:t xml:space="preserve"> </w:t>
      </w:r>
      <w:hyperlink r:id="rId100">
        <w:r>
          <w:rPr>
            <w:rStyle w:val="Hyperlink"/>
          </w:rPr>
          <w:t xml:space="preserve">[114]</w:t>
        </w:r>
      </w:hyperlink>
    </w:p>
    <w:p>
      <w:pPr>
        <w:pStyle w:val="BodyText"/>
      </w:pPr>
      <w:r>
        <w:rPr>
          <w:b/>
          <w:bCs/>
        </w:rPr>
        <w:t xml:space="preserve">Пример промптов (русский, ориентир):</w:t>
      </w:r>
      <w:r>
        <w:br/>
      </w:r>
      <w:r>
        <w:t xml:space="preserve">- Для иллюстрации (физика): «Минималистичная учебная иллюстрация: брусок на наклонной плоскости, стрелки направления движения без чисел, чистый фон, стиль учебника». (Эти элементы лучше оставить как «картинка-ассоциация», а силы/углы — в SVG.)</w:t>
      </w:r>
      <w:r>
        <w:t xml:space="preserve"> </w:t>
      </w:r>
      <w:hyperlink r:id="rId21">
        <w:r>
          <w:rPr>
            <w:rStyle w:val="Hyperlink"/>
          </w:rPr>
          <w:t xml:space="preserve">[115]</w:t>
        </w:r>
      </w:hyperlink>
      <w:r>
        <w:br/>
      </w:r>
      <w:r>
        <w:t xml:space="preserve">- Для «визуальной подсказки» (математика): «Нарисуй координатную плоскость и график y=x^2-4, выдели точки пересечения с Ox». (Лучше делать программно, а не диффузией.)</w:t>
      </w:r>
      <w:r>
        <w:t xml:space="preserve"> </w:t>
      </w:r>
      <w:hyperlink r:id="rId28">
        <w:r>
          <w:rPr>
            <w:rStyle w:val="Hyperlink"/>
          </w:rPr>
          <w:t xml:space="preserve">[116]</w:t>
        </w:r>
      </w:hyperlink>
    </w:p>
    <w:p>
      <w:pPr>
        <w:pStyle w:val="BodyText"/>
      </w:pPr>
      <w:r>
        <w:rPr>
          <w:b/>
          <w:bCs/>
        </w:rPr>
        <w:t xml:space="preserve">Псевдокод (реальные вызовы API/библиотек, упрощённо):</w:t>
      </w:r>
    </w:p>
    <w:p>
      <w:pPr>
        <w:pStyle w:val="SourceCode"/>
      </w:pPr>
      <w:r>
        <w:rPr>
          <w:rStyle w:val="VerbatimChar"/>
        </w:rPr>
        <w:t xml:space="preserve"># fastapi_app.py</w:t>
      </w:r>
      <w:r>
        <w:br/>
      </w:r>
      <w:r>
        <w:rPr>
          <w:rStyle w:val="VerbatimChar"/>
        </w:rPr>
        <w:t xml:space="preserve">from fastapi import FastAPI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rPr>
          <w:rStyle w:val="VerbatimChar"/>
        </w:rPr>
        <w:t xml:space="preserve">import io, base64</w:t>
      </w:r>
      <w:r>
        <w:br/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app = FastAPI()</w:t>
      </w:r>
      <w:r>
        <w:br/>
      </w:r>
      <w:r>
        <w:br/>
      </w:r>
      <w:r>
        <w:rPr>
          <w:rStyle w:val="VerbatimChar"/>
        </w:rPr>
        <w:t xml:space="preserve">class RenderReq(BaseModel):</w:t>
      </w:r>
      <w:r>
        <w:br/>
      </w:r>
      <w:r>
        <w:rPr>
          <w:rStyle w:val="VerbatimChar"/>
        </w:rPr>
        <w:t xml:space="preserve">    subject: str</w:t>
      </w:r>
      <w:r>
        <w:br/>
      </w:r>
      <w:r>
        <w:rPr>
          <w:rStyle w:val="VerbatimChar"/>
        </w:rPr>
        <w:t xml:space="preserve">    topic: str</w:t>
      </w:r>
      <w:r>
        <w:br/>
      </w:r>
      <w:r>
        <w:rPr>
          <w:rStyle w:val="VerbatimChar"/>
        </w:rPr>
        <w:t xml:space="preserve">    level: str</w:t>
      </w:r>
      <w:r>
        <w:br/>
      </w:r>
      <w:r>
        <w:rPr>
          <w:rStyle w:val="VerbatimChar"/>
        </w:rPr>
        <w:t xml:space="preserve">    formula_latex: str</w:t>
      </w:r>
      <w:r>
        <w:br/>
      </w:r>
      <w:r>
        <w:rPr>
          <w:rStyle w:val="VerbatimChar"/>
        </w:rPr>
        <w:t xml:space="preserve">    diagram_type: str</w:t>
      </w:r>
      <w:r>
        <w:br/>
      </w:r>
      <w:r>
        <w:rPr>
          <w:rStyle w:val="VerbatimChar"/>
        </w:rPr>
        <w:t xml:space="preserve">    params: dict = {}</w:t>
      </w:r>
      <w:r>
        <w:br/>
      </w:r>
      <w:r>
        <w:br/>
      </w:r>
      <w:r>
        <w:rPr>
          <w:rStyle w:val="VerbatimChar"/>
        </w:rPr>
        <w:t xml:space="preserve">def fig_to_svg_base64(fig) -&gt; str:</w:t>
      </w:r>
      <w:r>
        <w:br/>
      </w:r>
      <w:r>
        <w:rPr>
          <w:rStyle w:val="VerbatimChar"/>
        </w:rPr>
        <w:t xml:space="preserve">    buf = io.BytesIO()</w:t>
      </w:r>
      <w:r>
        <w:br/>
      </w:r>
      <w:r>
        <w:rPr>
          <w:rStyle w:val="VerbatimChar"/>
        </w:rPr>
        <w:t xml:space="preserve">    fig.savefig(buf, format="svg", bbox_inches="tight")</w:t>
      </w:r>
      <w:r>
        <w:br/>
      </w:r>
      <w:r>
        <w:rPr>
          <w:rStyle w:val="VerbatimChar"/>
        </w:rPr>
        <w:t xml:space="preserve">    plt.close(fig)</w:t>
      </w:r>
      <w:r>
        <w:br/>
      </w:r>
      <w:r>
        <w:rPr>
          <w:rStyle w:val="VerbatimChar"/>
        </w:rPr>
        <w:t xml:space="preserve">    return base64.b64encode(buf.getvalue()).decode("utf-8")</w:t>
      </w:r>
      <w:r>
        <w:br/>
      </w:r>
      <w:r>
        <w:br/>
      </w:r>
      <w:r>
        <w:rPr>
          <w:rStyle w:val="VerbatimChar"/>
        </w:rPr>
        <w:t xml:space="preserve">@app.post("/render")</w:t>
      </w:r>
      <w:r>
        <w:br/>
      </w:r>
      <w:r>
        <w:rPr>
          <w:rStyle w:val="VerbatimChar"/>
        </w:rPr>
        <w:t xml:space="preserve">def render(req: RenderReq):</w:t>
      </w:r>
      <w:r>
        <w:br/>
      </w:r>
      <w:r>
        <w:rPr>
          <w:rStyle w:val="VerbatimChar"/>
        </w:rPr>
        <w:t xml:space="preserve">    # 1) Diagram SVG</w:t>
      </w:r>
      <w:r>
        <w:br/>
      </w:r>
      <w:r>
        <w:rPr>
          <w:rStyle w:val="VerbatimChar"/>
        </w:rPr>
        <w:t xml:space="preserve">    if req.diagram_type == "function_plot":</w:t>
      </w:r>
      <w:r>
        <w:br/>
      </w:r>
      <w:r>
        <w:rPr>
          <w:rStyle w:val="VerbatimChar"/>
        </w:rPr>
        <w:t xml:space="preserve">        xs = req.params.get("xs", [-5, -4, -3, -2, -1, 0, 1, 2, 3, 4, 5])</w:t>
      </w:r>
      <w:r>
        <w:br/>
      </w:r>
      <w:r>
        <w:rPr>
          <w:rStyle w:val="VerbatimChar"/>
        </w:rPr>
        <w:t xml:space="preserve">        # Example: y = x^2 - 4</w:t>
      </w:r>
      <w:r>
        <w:br/>
      </w:r>
      <w:r>
        <w:rPr>
          <w:rStyle w:val="VerbatimChar"/>
        </w:rPr>
        <w:t xml:space="preserve">        ys = [(x*x - 4) for x in xs]</w:t>
      </w:r>
      <w:r>
        <w:br/>
      </w:r>
      <w:r>
        <w:br/>
      </w:r>
      <w:r>
        <w:rPr>
          <w:rStyle w:val="VerbatimChar"/>
        </w:rPr>
        <w:t xml:space="preserve">        fig = plt.figure()</w:t>
      </w:r>
      <w:r>
        <w:br/>
      </w:r>
      <w:r>
        <w:rPr>
          <w:rStyle w:val="VerbatimChar"/>
        </w:rPr>
        <w:t xml:space="preserve">        ax = fig.add_subplot(111)</w:t>
      </w:r>
      <w:r>
        <w:br/>
      </w:r>
      <w:r>
        <w:rPr>
          <w:rStyle w:val="VerbatimChar"/>
        </w:rPr>
        <w:t xml:space="preserve">        ax.axhline(0)</w:t>
      </w:r>
      <w:r>
        <w:br/>
      </w:r>
      <w:r>
        <w:rPr>
          <w:rStyle w:val="VerbatimChar"/>
        </w:rPr>
        <w:t xml:space="preserve">        ax.axvline(0)</w:t>
      </w:r>
      <w:r>
        <w:br/>
      </w:r>
      <w:r>
        <w:rPr>
          <w:rStyle w:val="VerbatimChar"/>
        </w:rPr>
        <w:t xml:space="preserve">        ax.plot(xs, ys)</w:t>
      </w:r>
      <w:r>
        <w:br/>
      </w:r>
      <w:r>
        <w:rPr>
          <w:rStyle w:val="VerbatimChar"/>
        </w:rPr>
        <w:t xml:space="preserve">        ax.set_title(f"{req.topic} ({req.level})")</w:t>
      </w:r>
      <w:r>
        <w:br/>
      </w:r>
      <w:r>
        <w:rPr>
          <w:rStyle w:val="VerbatimChar"/>
        </w:rPr>
        <w:t xml:space="preserve">        diagram_svg = fig_to_svg_base64(fig)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diagram_svg = "&lt;svg&gt;&lt;!-- TODO: Jinja template --&gt;&lt;/svg&gt;"</w:t>
      </w:r>
      <w:r>
        <w:br/>
      </w:r>
      <w:r>
        <w:br/>
      </w:r>
      <w:r>
        <w:rPr>
          <w:rStyle w:val="VerbatimChar"/>
        </w:rPr>
        <w:t xml:space="preserve">    # 2) Formula (MVP: return LaTeX; in UI render with MathJax/KaTeX)</w:t>
      </w:r>
      <w:r>
        <w:br/>
      </w:r>
      <w:r>
        <w:rPr>
          <w:rStyle w:val="VerbatimChar"/>
        </w:rPr>
        <w:t xml:space="preserve">    formula = req.formula_latex</w:t>
      </w:r>
      <w:r>
        <w:br/>
      </w:r>
      <w:r>
        <w:br/>
      </w:r>
      <w:r>
        <w:rPr>
          <w:rStyle w:val="VerbatimChar"/>
        </w:rPr>
        <w:t xml:space="preserve">    # 3) Optional: context image via external Images API</w:t>
      </w:r>
      <w:r>
        <w:br/>
      </w:r>
      <w:r>
        <w:rPr>
          <w:rStyle w:val="VerbatimChar"/>
        </w:rPr>
        <w:t xml:space="preserve">    # image_png_base64 = call_images_api(prompt=..., size="1024x1024")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"diagram_svg_base64": diagram_svg,</w:t>
      </w:r>
      <w:r>
        <w:br/>
      </w:r>
      <w:r>
        <w:rPr>
          <w:rStyle w:val="VerbatimChar"/>
        </w:rPr>
        <w:t xml:space="preserve">        "formula_latex": formula,</w:t>
      </w:r>
      <w:r>
        <w:br/>
      </w:r>
      <w:r>
        <w:rPr>
          <w:rStyle w:val="VerbatimChar"/>
        </w:rPr>
        <w:t xml:space="preserve">        "context_image_png_base64": None,</w:t>
      </w:r>
      <w:r>
        <w:br/>
      </w:r>
      <w:r>
        <w:rPr>
          <w:rStyle w:val="VerbatimChar"/>
        </w:rPr>
        <w:t xml:space="preserve">        "meta": {</w:t>
      </w:r>
      <w:r>
        <w:br/>
      </w:r>
      <w:r>
        <w:rPr>
          <w:rStyle w:val="VerbatimChar"/>
        </w:rPr>
        <w:t xml:space="preserve">            "topic": req.topic,</w:t>
      </w:r>
      <w:r>
        <w:br/>
      </w:r>
      <w:r>
        <w:rPr>
          <w:rStyle w:val="VerbatimChar"/>
        </w:rPr>
        <w:t xml:space="preserve">            "level": req.level,</w:t>
      </w:r>
      <w:r>
        <w:br/>
      </w:r>
      <w:r>
        <w:rPr>
          <w:rStyle w:val="VerbatimChar"/>
        </w:rPr>
        <w:t xml:space="preserve">            "diagram_type": req.diagram_type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Ожидаемый результат MVP:</w:t>
      </w:r>
      <w:r>
        <w:br/>
      </w:r>
      <w:r>
        <w:t xml:space="preserve">- При запросе «построй график и верни формулу» вы получаете SVG графика (читаемые оси, ровные линии) и LaTeX формулы, которую фронтенд отображает через MathJax/KaTeX; опциональная PNG-иллюстрация добавляется как «мотиватор/ассоциация», не претендуя на точность формул.</w:t>
      </w:r>
      <w:r>
        <w:t xml:space="preserve"> </w:t>
      </w:r>
      <w:hyperlink r:id="rId97">
        <w:r>
          <w:rPr>
            <w:rStyle w:val="Hyperlink"/>
          </w:rPr>
          <w:t xml:space="preserve">[117]</w:t>
        </w:r>
      </w:hyperlink>
    </w:p>
    <w:p>
      <w:pPr>
        <w:pStyle w:val="BodyText"/>
      </w:pPr>
      <w:r>
        <w:rPr>
          <w:b/>
          <w:bCs/>
        </w:rPr>
        <w:t xml:space="preserve">Критерии успеха (за 1 час):</w:t>
      </w:r>
      <w:r>
        <w:br/>
      </w:r>
      <w:r>
        <w:t xml:space="preserve">- SVG корректно открывается в браузере, масштабируется без мыла;</w:t>
      </w:r>
      <w:r>
        <w:br/>
      </w:r>
      <w:r>
        <w:t xml:space="preserve">- формула рендерится читаемо (через MathJax/KaTeX на фронте);</w:t>
      </w:r>
      <w:r>
        <w:br/>
      </w:r>
      <w:r>
        <w:t xml:space="preserve">- API детерминированно воспроизводит картинки (по seed/параметрам в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 если добавите). Ограничение «текст в диффузии» обходится тем, что важные подписи делаются векторно.</w:t>
      </w:r>
      <w:r>
        <w:t xml:space="preserve"> </w:t>
      </w:r>
      <w:hyperlink r:id="rId97">
        <w:r>
          <w:rPr>
            <w:rStyle w:val="Hyperlink"/>
          </w:rPr>
          <w:t xml:space="preserve">[118]</w:t>
        </w:r>
      </w:hyperlink>
    </w:p>
    <w:bookmarkEnd w:id="105"/>
    <w:bookmarkEnd w:id="106"/>
    <w:bookmarkStart w:id="115" w:name="персонализация-оценка-качества-и-риски"/>
    <w:p>
      <w:pPr>
        <w:pStyle w:val="Heading2"/>
      </w:pPr>
      <w:r>
        <w:t xml:space="preserve">Персонализация, оценка качества и риски</w:t>
      </w:r>
    </w:p>
    <w:bookmarkStart w:id="109" w:name="практические-методы-персонализации"/>
    <w:p>
      <w:pPr>
        <w:pStyle w:val="Heading3"/>
      </w:pPr>
      <w:r>
        <w:t xml:space="preserve">Практические методы персонализации</w:t>
      </w:r>
    </w:p>
    <w:p>
      <w:pPr>
        <w:pStyle w:val="FirstParagraph"/>
      </w:pPr>
      <w:r>
        <w:t xml:space="preserve">Самый «приземленный» путь персонализации под ученика 11 класса — считать, что у вас есть набор навыков/тем (из кодификатора/навигатора) и история взаимодействия (решал/ошибся/сколько времени). Официальные материалы ФИПИ удобно использовать как «таксономию тем» и как источник типичных ошибок.</w:t>
      </w:r>
      <w:r>
        <w:t xml:space="preserve"> </w:t>
      </w:r>
      <w:hyperlink r:id="rId27">
        <w:r>
          <w:rPr>
            <w:rStyle w:val="Hyperlink"/>
          </w:rPr>
          <w:t xml:space="preserve">[119]</w:t>
        </w:r>
      </w:hyperlink>
    </w:p>
    <w:p>
      <w:pPr>
        <w:pStyle w:val="BodyText"/>
      </w:pPr>
      <w:r>
        <w:t xml:space="preserve">Дальше — слой user modeling: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BKT (Bayesian Knowledge Tracing)</w:t>
      </w:r>
      <w:r>
        <w:t xml:space="preserve">: простая вероятностная модель для MVP, хорошо объяснима продуктово («вероятность освоения навыка»), исторически устойчива.</w:t>
      </w:r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DKT (Deep Knowledge Tracing)</w:t>
      </w:r>
      <w:r>
        <w:t xml:space="preserve">: более гибкая нейросетевая модель последовательности.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Transformer-KT (например SAINT/SAINT+)</w:t>
      </w:r>
      <w:r>
        <w:t xml:space="preserve">: если у вас богато логируется время/паузы и длинные траектории; SAINT+ явно добавляет временные признаки и показывает улучшения на EdNet.</w:t>
      </w:r>
      <w:r>
        <w:t xml:space="preserve"> </w:t>
      </w:r>
      <w:hyperlink r:id="rId107">
        <w:r>
          <w:rPr>
            <w:rStyle w:val="Hyperlink"/>
          </w:rPr>
          <w:t xml:space="preserve">[120]</w:t>
        </w:r>
      </w:hyperlink>
    </w:p>
    <w:p>
      <w:pPr>
        <w:pStyle w:val="Compact"/>
        <w:numPr>
          <w:ilvl w:val="0"/>
          <w:numId w:val="1003"/>
        </w:numPr>
      </w:pPr>
      <w:r>
        <w:t xml:space="preserve">Для выбора класса моделей полезны обзорные работы по knowledge tracing (чтобы не «изобретать велосипед»).</w:t>
      </w:r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t xml:space="preserve">Как это превратить именно в визуальную персонализацию (а не текстовую):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Difficulty adaptation</w:t>
      </w:r>
      <w:r>
        <w:t xml:space="preserve">: если навык «на грани», показывать более явную визуальную опору (подсветка подстановки, «стрелка преобразования», подписи на схеме); если навык освоен — схему «сжать» (меньше подписей, больше самостоятельного дорисовывания). Логика согласуется с тем, что критерии ЕГЭ оценивают «продвижение в решении» и видимость хода рассуждений.</w:t>
      </w:r>
      <w:r>
        <w:t xml:space="preserve"> </w:t>
      </w:r>
      <w:hyperlink r:id="rId23">
        <w:r>
          <w:rPr>
            <w:rStyle w:val="Hyperlink"/>
          </w:rPr>
          <w:t xml:space="preserve">[121]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Curriculum learning</w:t>
      </w:r>
      <w:r>
        <w:t xml:space="preserve"> </w:t>
      </w:r>
      <w:r>
        <w:t xml:space="preserve">для вашей библиотеки визуалов: сначала генерировать/отбирать шаблоны для простых случаев, потом расширять на более сложные (ветвления, параметры). Это поддерживается общими идеями curriculum learning.</w:t>
      </w:r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RAG</w:t>
      </w:r>
      <w:r>
        <w:t xml:space="preserve">: хранить базу «визуальных шаблонов + правил применимости» и доставать их по теме/ошибке (например, ученик путает знаки — показываем визуал «проверка знака на числовой прямой»). Концепция retrieval-augmented generation формализована как сочетание параметрической модели и внешнего индекса знаний.</w:t>
      </w:r>
      <w:r>
        <w:t xml:space="preserve"> </w:t>
      </w:r>
      <w:hyperlink r:id="rId108">
        <w:r>
          <w:rPr>
            <w:rStyle w:val="Hyperlink"/>
          </w:rPr>
          <w:t xml:space="preserve">[122]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 </w:t>
      </w:r>
      <w:r>
        <w:t xml:space="preserve">(только как вспомогательный слой): фиксированные «промпт-рамки» под один тип визуала + параметры из user model, чтобы не получить «творческую» вариативность там, где нужна точность. Роль prompt engineering растет именно там, где вы используете диффузию для иллюстраций, а не для формул.</w:t>
      </w:r>
      <w:r>
        <w:t xml:space="preserve"> </w:t>
      </w:r>
      <w:hyperlink r:id="rId34">
        <w:r>
          <w:rPr>
            <w:rStyle w:val="Hyperlink"/>
          </w:rPr>
          <w:t xml:space="preserve">[123]</w:t>
        </w:r>
      </w:hyperlink>
    </w:p>
    <w:bookmarkEnd w:id="109"/>
    <w:bookmarkStart w:id="111" w:name="оценка-качества-и-верификация"/>
    <w:p>
      <w:pPr>
        <w:pStyle w:val="Heading3"/>
      </w:pPr>
      <w:r>
        <w:t xml:space="preserve">Оценка качества и верификация</w:t>
      </w:r>
    </w:p>
    <w:p>
      <w:pPr>
        <w:pStyle w:val="FirstParagraph"/>
      </w:pPr>
      <w:r>
        <w:t xml:space="preserve">Главная техническая проблема генерации учебной инфографики —</w:t>
      </w:r>
      <w:r>
        <w:t xml:space="preserve"> </w:t>
      </w:r>
      <w:r>
        <w:rPr>
          <w:b/>
          <w:bCs/>
        </w:rPr>
        <w:t xml:space="preserve">не эстетика, а корректность</w:t>
      </w:r>
      <w:r>
        <w:t xml:space="preserve">: формулы, числа, направления стрелок, подписи осей. Практичный подход — «round-trip» контроль:</w:t>
      </w:r>
      <w:r>
        <w:br/>
      </w:r>
      <w:r>
        <w:t xml:space="preserve">- вы генерируете SVG/PNG;</w:t>
      </w:r>
      <w:r>
        <w:br/>
      </w:r>
      <w:r>
        <w:t xml:space="preserve">- прогоняете OCR/Math OCR;</w:t>
      </w:r>
      <w:r>
        <w:br/>
      </w:r>
      <w:r>
        <w:t xml:space="preserve">- сравниваете распознанное с исходной спецификацией (формулы/значения/подписи). Коммерческий вариант — Mathpix, open-source — pix2tex/Pix2Text/TrOCR; TrOCR описан как end-to-end Transformer OCR.</w:t>
      </w:r>
      <w:r>
        <w:t xml:space="preserve"> </w:t>
      </w:r>
      <w:hyperlink r:id="rId53">
        <w:r>
          <w:rPr>
            <w:rStyle w:val="Hyperlink"/>
          </w:rPr>
          <w:t xml:space="preserve">[124]</w:t>
        </w:r>
      </w:hyperlink>
    </w:p>
    <w:p>
      <w:pPr>
        <w:pStyle w:val="BodyText"/>
      </w:pPr>
      <w:r>
        <w:t xml:space="preserve">Для проверки математической корректности преобразований полезна символьная математика; SymPy прямо позиционируется как библиотека символьной математики и имеет подробную документацию.</w:t>
      </w:r>
      <w:r>
        <w:t xml:space="preserve"> </w:t>
      </w:r>
      <w:hyperlink r:id="rId95">
        <w:r>
          <w:rPr>
            <w:rStyle w:val="Hyperlink"/>
          </w:rPr>
          <w:t xml:space="preserve">[125]</w:t>
        </w:r>
      </w:hyperlink>
    </w:p>
    <w:p>
      <w:pPr>
        <w:pStyle w:val="BodyText"/>
      </w:pPr>
      <w:r>
        <w:t xml:space="preserve">Для физики отдельно полезна ориентация на step-level оценивание: в PhysReason описывается рамка автооценивания шагов решения и типы ошибок; даже если вы не используете датасет напрямую, подход к «поиск первого ошибочного шага» хорошо переносится на проверку корректности визуального пошагового решения.</w:t>
      </w:r>
      <w:r>
        <w:t xml:space="preserve"> </w:t>
      </w:r>
      <w:hyperlink r:id="rId110">
        <w:r>
          <w:rPr>
            <w:rStyle w:val="Hyperlink"/>
          </w:rPr>
          <w:t xml:space="preserve">[126]</w:t>
        </w:r>
      </w:hyperlink>
    </w:p>
    <w:bookmarkEnd w:id="111"/>
    <w:bookmarkStart w:id="113" w:name="риски-и-ограничения"/>
    <w:p>
      <w:pPr>
        <w:pStyle w:val="Heading3"/>
      </w:pPr>
      <w:r>
        <w:t xml:space="preserve">Риски и ограничения</w:t>
      </w:r>
    </w:p>
    <w:p>
      <w:pPr>
        <w:pStyle w:val="FirstParagraph"/>
      </w:pPr>
      <w:r>
        <w:rPr>
          <w:b/>
          <w:bCs/>
        </w:rPr>
        <w:t xml:space="preserve">Плагиат/авторские права.</w:t>
      </w:r>
      <w:r>
        <w:t xml:space="preserve"> </w:t>
      </w:r>
      <w:r>
        <w:t xml:space="preserve">Официальные материалы ФИПИ маркируются как «все права защищены», поэтому прямое обучение на задачах/картинках без явных разрешений — высокий риск; безопаснее использовать их как «источник требований/формата» и опираться на открытые датасеты/синтетику.</w:t>
      </w:r>
      <w:r>
        <w:t xml:space="preserve"> </w:t>
      </w:r>
      <w:hyperlink r:id="rId78">
        <w:r>
          <w:rPr>
            <w:rStyle w:val="Hyperlink"/>
          </w:rPr>
          <w:t xml:space="preserve">[127]</w:t>
        </w:r>
      </w:hyperlink>
    </w:p>
    <w:p>
      <w:pPr>
        <w:pStyle w:val="BodyText"/>
      </w:pPr>
      <w:r>
        <w:rPr>
          <w:b/>
          <w:bCs/>
        </w:rPr>
        <w:t xml:space="preserve">Лицензионная «зараженность».</w:t>
      </w:r>
      <w:r>
        <w:t xml:space="preserve"> </w:t>
      </w:r>
      <w:r>
        <w:t xml:space="preserve">Некоторые полезные датасеты/инструменты имеют сильный copyleft (например, ChartQA репозиторий с GPL-3.0; UI-движки для диффузии типа ComfyUI — GPL-3.0; stable-diffusion-webui — AGPL-3.0). Это не «плохо», но может конфликтовать с коммерческой моделью и требует юридического проектирования.</w:t>
      </w:r>
      <w:r>
        <w:t xml:space="preserve"> </w:t>
      </w:r>
      <w:hyperlink r:id="rId72">
        <w:r>
          <w:rPr>
            <w:rStyle w:val="Hyperlink"/>
          </w:rPr>
          <w:t xml:space="preserve">[128]</w:t>
        </w:r>
      </w:hyperlink>
    </w:p>
    <w:p>
      <w:pPr>
        <w:pStyle w:val="BodyText"/>
      </w:pPr>
      <w:r>
        <w:rPr>
          <w:b/>
          <w:bCs/>
        </w:rPr>
        <w:t xml:space="preserve">Точность формул и текста в картинках.</w:t>
      </w:r>
      <w:r>
        <w:t xml:space="preserve"> </w:t>
      </w:r>
      <w:r>
        <w:t xml:space="preserve">Прямое ограничение «не умеет рендерить читаемый текст» указано в карточке SDXL; а инфографические бенчмарки подчеркивают, что инфографика — не то же самое, что художка.</w:t>
      </w:r>
      <w:r>
        <w:t xml:space="preserve"> </w:t>
      </w:r>
      <w:hyperlink r:id="rId21">
        <w:r>
          <w:rPr>
            <w:rStyle w:val="Hyperlink"/>
          </w:rPr>
          <w:t xml:space="preserve">[89]</w:t>
        </w:r>
      </w:hyperlink>
    </w:p>
    <w:p>
      <w:pPr>
        <w:pStyle w:val="BodyText"/>
      </w:pPr>
      <w:r>
        <w:rPr>
          <w:b/>
          <w:bCs/>
        </w:rPr>
        <w:t xml:space="preserve">Стабильность провайдера/моделей.</w:t>
      </w:r>
      <w:r>
        <w:t xml:space="preserve"> </w:t>
      </w:r>
      <w:r>
        <w:t xml:space="preserve">В официальном гайде OpenAI по image generation прямо сказано, что DALL·E 2/3 deprecated и будет выключение 12 мая 2026 — это «таймер» миграции, который должен быть зашит в архитектуру.</w:t>
      </w:r>
      <w:r>
        <w:t xml:space="preserve"> </w:t>
      </w:r>
      <w:hyperlink r:id="rId22">
        <w:r>
          <w:rPr>
            <w:rStyle w:val="Hyperlink"/>
          </w:rPr>
          <w:t xml:space="preserve">[129]</w:t>
        </w:r>
      </w:hyperlink>
    </w:p>
    <w:p>
      <w:pPr>
        <w:pStyle w:val="BodyText"/>
      </w:pPr>
      <w:r>
        <w:rPr>
          <w:b/>
          <w:bCs/>
        </w:rPr>
        <w:t xml:space="preserve">Безопасность и policy-риски.</w:t>
      </w:r>
      <w:r>
        <w:t xml:space="preserve"> </w:t>
      </w:r>
      <w:r>
        <w:t xml:space="preserve">Для генерации изображений важно учитывать safety stack и ограничения провайдера; OpenAI публикует системные карты и addendum по image generation, что полезно для понимания классов рисков и механизмов отказов.</w:t>
      </w:r>
      <w:r>
        <w:t xml:space="preserve"> </w:t>
      </w:r>
      <w:hyperlink r:id="rId112">
        <w:r>
          <w:rPr>
            <w:rStyle w:val="Hyperlink"/>
          </w:rPr>
          <w:t xml:space="preserve">[130]</w:t>
        </w:r>
      </w:hyperlink>
    </w:p>
    <w:bookmarkEnd w:id="113"/>
    <w:bookmarkStart w:id="114" w:name="Xc72530dddab387649d45a02ae82bbe842363a58"/>
    <w:p>
      <w:pPr>
        <w:pStyle w:val="Heading3"/>
      </w:pPr>
      <w:r>
        <w:t xml:space="preserve">Приоритетные источники и ссылки, с которых стоит начинать</w:t>
      </w:r>
    </w:p>
    <w:p>
      <w:pPr>
        <w:pStyle w:val="FirstParagraph"/>
      </w:pPr>
      <w:r>
        <w:t xml:space="preserve">Официальные и первичные источники, наиболее «прикладные» для вашего стартапа:</w:t>
      </w:r>
    </w:p>
    <w:p>
      <w:pPr>
        <w:pStyle w:val="Compact"/>
        <w:numPr>
          <w:ilvl w:val="0"/>
          <w:numId w:val="1004"/>
        </w:numPr>
      </w:pPr>
      <w:r>
        <w:t xml:space="preserve">ФИПИ: открытый банк заданий и материалы ЕГЭ (как источник формата и таксономии тем).</w:t>
      </w:r>
      <w:r>
        <w:t xml:space="preserve"> </w:t>
      </w:r>
      <w:hyperlink r:id="rId26">
        <w:r>
          <w:rPr>
            <w:rStyle w:val="Hyperlink"/>
          </w:rPr>
          <w:t xml:space="preserve">[131]</w:t>
        </w:r>
      </w:hyperlink>
    </w:p>
    <w:p>
      <w:pPr>
        <w:pStyle w:val="Compact"/>
        <w:numPr>
          <w:ilvl w:val="0"/>
          <w:numId w:val="1004"/>
        </w:numPr>
      </w:pPr>
      <w:r>
        <w:t xml:space="preserve">ФИПИ: методические материалы для экспертов по проверке развернутых решений (прямой сигнал, какие шаги/обоснования «засчитываются»).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4"/>
        </w:numPr>
      </w:pPr>
      <w:r>
        <w:t xml:space="preserve">ControlNet (оригинальная работа) — для управляемой генерации и строгой композиции.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t xml:space="preserve">SDXL (оригинальная статья + model card) — как базовая open-weights платформа и как источник явных ограничений по тексту.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4"/>
        </w:numPr>
      </w:pPr>
      <w:r>
        <w:t xml:space="preserve">OpenAI Image Generation API guide (актуальные модели и deprecation DALL·E с датой).</w:t>
      </w:r>
      <w:r>
        <w:t xml:space="preserve"> </w:t>
      </w:r>
      <w:hyperlink r:id="rId22">
        <w:r>
          <w:rPr>
            <w:rStyle w:val="Hyperlink"/>
          </w:rPr>
          <w:t xml:space="preserve">[132]</w:t>
        </w:r>
      </w:hyperlink>
    </w:p>
    <w:p>
      <w:pPr>
        <w:pStyle w:val="Compact"/>
        <w:numPr>
          <w:ilvl w:val="0"/>
          <w:numId w:val="1004"/>
        </w:numPr>
      </w:pPr>
      <w:r>
        <w:t xml:space="preserve">Text-to-Viz (Microsoft Research) и IGenBench (2026) — как «фокусные» исследования именно по инфографике.</w:t>
      </w:r>
      <w:r>
        <w:t xml:space="preserve"> </w:t>
      </w:r>
      <w:hyperlink r:id="rId37">
        <w:r>
          <w:rPr>
            <w:rStyle w:val="Hyperlink"/>
          </w:rPr>
          <w:t xml:space="preserve">[133]</w:t>
        </w:r>
      </w:hyperlink>
    </w:p>
    <w:p>
      <w:pPr>
        <w:pStyle w:val="Compact"/>
        <w:numPr>
          <w:ilvl w:val="0"/>
          <w:numId w:val="1004"/>
        </w:numPr>
      </w:pPr>
      <w:r>
        <w:t xml:space="preserve">Vega-Lite (официальная документация + paper) — грамматика визуализаций как основа детерминированной инфографики.</w:t>
      </w:r>
      <w:r>
        <w:t xml:space="preserve"> </w:t>
      </w:r>
      <w:hyperlink r:id="rId81">
        <w:r>
          <w:rPr>
            <w:rStyle w:val="Hyperlink"/>
          </w:rPr>
          <w:t xml:space="preserve">[77]</w:t>
        </w:r>
      </w:hyperlink>
    </w:p>
    <w:p>
      <w:pPr>
        <w:pStyle w:val="Compact"/>
        <w:numPr>
          <w:ilvl w:val="0"/>
          <w:numId w:val="1004"/>
        </w:numPr>
      </w:pPr>
      <w:r>
        <w:t xml:space="preserve">AI2D / AI2D-RST (диаграммы + лицензии) — датасеты, близкие к школьным схемам.</w:t>
      </w:r>
      <w:r>
        <w:t xml:space="preserve"> </w:t>
      </w:r>
      <w:hyperlink r:id="rId69">
        <w:r>
          <w:rPr>
            <w:rStyle w:val="Hyperlink"/>
          </w:rPr>
          <w:t xml:space="preserve">[134]</w:t>
        </w:r>
      </w:hyperlink>
    </w:p>
    <w:p>
      <w:pPr>
        <w:pStyle w:val="Compact"/>
        <w:numPr>
          <w:ilvl w:val="0"/>
          <w:numId w:val="1004"/>
        </w:numPr>
      </w:pPr>
      <w:r>
        <w:t xml:space="preserve">PlotQA (CC-BY-4.0 датасеты) — для задач с графиками и проверки понимания графиков.</w:t>
      </w:r>
      <w:r>
        <w:t xml:space="preserve"> </w:t>
      </w:r>
      <w:hyperlink r:id="rId71">
        <w:r>
          <w:rPr>
            <w:rStyle w:val="Hyperlink"/>
          </w:rPr>
          <w:t xml:space="preserve">[135]</w:t>
        </w:r>
      </w:hyperlink>
    </w:p>
    <w:p>
      <w:pPr>
        <w:pStyle w:val="Compact"/>
        <w:numPr>
          <w:ilvl w:val="0"/>
          <w:numId w:val="1004"/>
        </w:numPr>
      </w:pPr>
      <w:r>
        <w:t xml:space="preserve">Knowledge tracing: DKT (оригинал), BKT (классика), обзор ACM CSUR (для выбора семейства моделей).</w:t>
      </w:r>
      <w:r>
        <w:t xml:space="preserve"> </w:t>
      </w:r>
      <w:hyperlink r:id="rId43">
        <w:r>
          <w:rPr>
            <w:rStyle w:val="Hyperlink"/>
          </w:rPr>
          <w:t xml:space="preserve">[136]</w:t>
        </w:r>
      </w:hyperlink>
    </w:p>
    <w:bookmarkEnd w:id="114"/>
    <w:bookmarkEnd w:id="115"/>
    <w:bookmarkEnd w:id="116"/>
    <w:bookmarkEnd w:id="117"/>
    <w:p>
      <w:r>
        <w:pict>
          <v:rect style="width:0;height:1.5pt" o:hralign="center" o:hrstd="t" o:hr="t"/>
        </w:pict>
      </w:r>
    </w:p>
    <w:bookmarkStart w:id="11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[89]</w:t>
        </w:r>
      </w:hyperlink>
      <w:r>
        <w:t xml:space="preserve"> </w:t>
      </w:r>
      <w:hyperlink r:id="rId21">
        <w:r>
          <w:rPr>
            <w:rStyle w:val="Hyperlink"/>
          </w:rPr>
          <w:t xml:space="preserve">[102]</w:t>
        </w:r>
      </w:hyperlink>
      <w:r>
        <w:t xml:space="preserve"> </w:t>
      </w:r>
      <w:hyperlink r:id="rId21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https://huggingface.co/stabilityai/stable-diffusion-xl-base-1.0</w:t>
      </w:r>
    </w:p>
    <w:p>
      <w:pPr>
        <w:pStyle w:val="BodyText"/>
      </w:pPr>
      <w:hyperlink r:id="rId21">
        <w:r>
          <w:rPr>
            <w:rStyle w:val="Hyperlink"/>
          </w:rPr>
          <w:t xml:space="preserve">https://huggingface.co/stabilityai/stable-diffusion-xl-base-1.0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[86]</w:t>
        </w:r>
      </w:hyperlink>
      <w:r>
        <w:t xml:space="preserve"> </w:t>
      </w:r>
      <w:hyperlink r:id="rId22">
        <w:r>
          <w:rPr>
            <w:rStyle w:val="Hyperlink"/>
          </w:rPr>
          <w:t xml:space="preserve">[105]</w:t>
        </w:r>
      </w:hyperlink>
      <w:r>
        <w:t xml:space="preserve"> </w:t>
      </w:r>
      <w:hyperlink r:id="rId22">
        <w:r>
          <w:rPr>
            <w:rStyle w:val="Hyperlink"/>
          </w:rPr>
          <w:t xml:space="preserve">[129]</w:t>
        </w:r>
      </w:hyperlink>
      <w:r>
        <w:t xml:space="preserve"> </w:t>
      </w:r>
      <w:hyperlink r:id="rId22">
        <w:r>
          <w:rPr>
            <w:rStyle w:val="Hyperlink"/>
          </w:rPr>
          <w:t xml:space="preserve">[132]</w:t>
        </w:r>
      </w:hyperlink>
      <w:r>
        <w:t xml:space="preserve"> </w:t>
      </w:r>
      <w:r>
        <w:t xml:space="preserve">https://developers.openai.com/api/docs/guides/image-generation/</w:t>
      </w:r>
    </w:p>
    <w:p>
      <w:pPr>
        <w:pStyle w:val="BodyText"/>
      </w:pPr>
      <w:hyperlink r:id="rId22">
        <w:r>
          <w:rPr>
            <w:rStyle w:val="Hyperlink"/>
          </w:rPr>
          <w:t xml:space="preserve">https://developers.openai.com/api/docs/guides/image-generation/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hyperlink r:id="rId23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https://doc.fipi.ru/ege/dlya-predmetnyh-komissiy-subektov-rf/2026/matematika_mr_ege_2026.pdf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https://doc.fipi.ru/ege/dlya-predmetnyh-komissiy-subektov-rf/2026/matematika_mr_ege_2026.pdf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https://act-r.psy.cmu.edu/wordpress/wp-content/uploads/2012/12/893CorbettAnderson1995.pdf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https://act-r.psy.cmu.edu/wordpress/wp-content/uploads/2012/12/893CorbettAnderson1995.pdf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[131]</w:t>
        </w:r>
      </w:hyperlink>
      <w:r>
        <w:t xml:space="preserve"> </w:t>
      </w:r>
      <w:r>
        <w:t xml:space="preserve">https://fipi.ru/ege/otkrytyy-bank-zadaniy-ege</w:t>
      </w:r>
    </w:p>
    <w:p>
      <w:pPr>
        <w:pStyle w:val="BodyText"/>
      </w:pPr>
      <w:hyperlink r:id="rId26">
        <w:r>
          <w:rPr>
            <w:rStyle w:val="Hyperlink"/>
          </w:rPr>
          <w:t xml:space="preserve">https://fipi.ru/ege/otkrytyy-bank-zadaniy-ege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https://fipi.ru/navigator-podgotovki/navigator-ege</w:t>
      </w:r>
    </w:p>
    <w:p>
      <w:pPr>
        <w:pStyle w:val="BodyText"/>
      </w:pPr>
      <w:hyperlink r:id="rId27">
        <w:r>
          <w:rPr>
            <w:rStyle w:val="Hyperlink"/>
          </w:rPr>
          <w:t xml:space="preserve">https://fipi.ru/navigator-podgotovki/navigator-ege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https://www.desmos.com/calculator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https://www.desmos.com/calculator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[81]</w:t>
        </w:r>
      </w:hyperlink>
      <w:r>
        <w:t xml:space="preserve"> </w:t>
      </w:r>
      <w:hyperlink r:id="rId29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https://ctan.org/pkg/pgf?lang=en</w:t>
      </w:r>
    </w:p>
    <w:p>
      <w:pPr>
        <w:pStyle w:val="BodyText"/>
      </w:pPr>
      <w:hyperlink r:id="rId29">
        <w:r>
          <w:rPr>
            <w:rStyle w:val="Hyperlink"/>
          </w:rPr>
          <w:t xml:space="preserve">https://ctan.org/pkg/pgf?lang=en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https://ctan.org/pkg/circuitikz?lang=en</w:t>
      </w:r>
    </w:p>
    <w:p>
      <w:pPr>
        <w:pStyle w:val="BodyText"/>
      </w:pPr>
      <w:hyperlink r:id="rId30">
        <w:r>
          <w:rPr>
            <w:rStyle w:val="Hyperlink"/>
          </w:rPr>
          <w:t xml:space="preserve">https://ctan.org/pkg/circuitikz?lang=en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https://arxiv.org/abs/2112.10752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https://arxiv.org/abs/2112.10752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https://arxiv.org/abs/2307.01952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https://arxiv.org/abs/2307.01952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https://arxiv.org/abs/2302.05543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https://arxiv.org/abs/2302.05543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https://arxiv.org/abs/2302.08453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https://arxiv.org/abs/2302.08453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7">
        <w:r>
          <w:rPr>
            <w:rStyle w:val="Hyperlink"/>
          </w:rPr>
          <w:t xml:space="preserve">[133]</w:t>
        </w:r>
      </w:hyperlink>
      <w:r>
        <w:t xml:space="preserve"> </w:t>
      </w:r>
      <w:r>
        <w:t xml:space="preserve">https://arxiv.org/abs/2601.04498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https://arxiv.org/abs/2601.04498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https://arxiv.org/abs/2104.04584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https://arxiv.org/abs/2104.04584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https://arxiv.org/abs/1912.03879</w:t>
      </w:r>
    </w:p>
    <w:p>
      <w:pPr>
        <w:pStyle w:val="BodyText"/>
      </w:pPr>
      <w:hyperlink r:id="rId39">
        <w:r>
          <w:rPr>
            <w:rStyle w:val="Hyperlink"/>
          </w:rPr>
          <w:t xml:space="preserve">https://arxiv.org/abs/1912.03879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https://proceedings.neurips.cc/paper/2020/hash/bcf9d6bd14a2095866ce8c950b702341-Abstract.html</w:t>
      </w:r>
    </w:p>
    <w:p>
      <w:pPr>
        <w:pStyle w:val="BodyText"/>
      </w:pPr>
      <w:hyperlink r:id="rId41">
        <w:r>
          <w:rPr>
            <w:rStyle w:val="Hyperlink"/>
          </w:rPr>
          <w:t xml:space="preserve">https://proceedings.neurips.cc/paper/2020/hash/bcf9d6bd14a2095866ce8c950b702341-Abstract.html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[136]</w:t>
        </w:r>
      </w:hyperlink>
      <w:r>
        <w:t xml:space="preserve"> </w:t>
      </w:r>
      <w:r>
        <w:t xml:space="preserve">https://stanford.edu/~cpiech/bio/papers/deepKnowledgeTracing.pdf</w:t>
      </w:r>
    </w:p>
    <w:p>
      <w:pPr>
        <w:pStyle w:val="BodyText"/>
      </w:pPr>
      <w:hyperlink r:id="rId43">
        <w:r>
          <w:rPr>
            <w:rStyle w:val="Hyperlink"/>
          </w:rPr>
          <w:t xml:space="preserve">https://stanford.edu/~cpiech/bio/papers/deepKnowledgeTracing.pdf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https://dl.acm.org/doi/10.1145/3569576</w:t>
      </w:r>
    </w:p>
    <w:p>
      <w:pPr>
        <w:pStyle w:val="BodyText"/>
      </w:pPr>
      <w:hyperlink r:id="rId44">
        <w:r>
          <w:rPr>
            <w:rStyle w:val="Hyperlink"/>
          </w:rPr>
          <w:t xml:space="preserve">https://dl.acm.org/doi/10.1145/3569576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https://aclanthology.org/2025.coling-main.340.pdf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https://aclanthology.org/2025.coling-main.340.pdf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https://ronan.collobert.com/pub/2009_curriculum_icml.pdf</w:t>
      </w:r>
    </w:p>
    <w:p>
      <w:pPr>
        <w:pStyle w:val="BodyText"/>
      </w:pPr>
      <w:hyperlink r:id="rId46">
        <w:r>
          <w:rPr>
            <w:rStyle w:val="Hyperlink"/>
          </w:rPr>
          <w:t xml:space="preserve">https://ronan.collobert.com/pub/2009_curriculum_icml.pdf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https://www.canva.com/magic/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https://www.canva.com/magic/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https://github.com/svg/svgo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https://github.com/svg/svgo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t xml:space="preserve"> </w:t>
      </w:r>
      <w:hyperlink r:id="rId51">
        <w:r>
          <w:rPr>
            <w:rStyle w:val="Hyperlink"/>
          </w:rPr>
          <w:t xml:space="preserve">[53]</w:t>
        </w:r>
      </w:hyperlink>
      <w:r>
        <w:t xml:space="preserve"> </w:t>
      </w:r>
      <w:hyperlink r:id="rId51">
        <w:r>
          <w:rPr>
            <w:rStyle w:val="Hyperlink"/>
          </w:rPr>
          <w:t xml:space="preserve">[54]</w:t>
        </w:r>
      </w:hyperlink>
      <w:r>
        <w:t xml:space="preserve"> </w:t>
      </w:r>
      <w:hyperlink r:id="rId51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https://github.com/lukas-blecher/LaTeX-OCR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https://github.com/lukas-blecher/LaTeX-OCR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https://piktochart.com/</w:t>
      </w:r>
    </w:p>
    <w:p>
      <w:pPr>
        <w:pStyle w:val="BodyText"/>
      </w:pPr>
      <w:hyperlink r:id="rId52">
        <w:r>
          <w:rPr>
            <w:rStyle w:val="Hyperlink"/>
          </w:rPr>
          <w:t xml:space="preserve">https://piktochart.com/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3">
        <w:r>
          <w:rPr>
            <w:rStyle w:val="Hyperlink"/>
          </w:rPr>
          <w:t xml:space="preserve">[36]</w:t>
        </w:r>
      </w:hyperlink>
      <w:r>
        <w:t xml:space="preserve"> </w:t>
      </w:r>
      <w:hyperlink r:id="rId53">
        <w:r>
          <w:rPr>
            <w:rStyle w:val="Hyperlink"/>
          </w:rPr>
          <w:t xml:space="preserve">[50]</w:t>
        </w:r>
      </w:hyperlink>
      <w:r>
        <w:t xml:space="preserve"> </w:t>
      </w:r>
      <w:hyperlink r:id="rId53">
        <w:r>
          <w:rPr>
            <w:rStyle w:val="Hyperlink"/>
          </w:rPr>
          <w:t xml:space="preserve">[51]</w:t>
        </w:r>
      </w:hyperlink>
      <w:r>
        <w:t xml:space="preserve"> </w:t>
      </w:r>
      <w:hyperlink r:id="rId53">
        <w:r>
          <w:rPr>
            <w:rStyle w:val="Hyperlink"/>
          </w:rPr>
          <w:t xml:space="preserve">[94]</w:t>
        </w:r>
      </w:hyperlink>
      <w:r>
        <w:t xml:space="preserve"> </w:t>
      </w:r>
      <w:hyperlink r:id="rId53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https://mathpix.com/ocr</w:t>
      </w:r>
    </w:p>
    <w:p>
      <w:pPr>
        <w:pStyle w:val="BodyText"/>
      </w:pPr>
      <w:hyperlink r:id="rId53">
        <w:r>
          <w:rPr>
            <w:rStyle w:val="Hyperlink"/>
          </w:rPr>
          <w:t xml:space="preserve">https://mathpix.com/ocr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hyperlink r:id="rId54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https://github.com/Karifannaa/Auto-check-EGE-math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https://github.com/Karifannaa/Auto-check-EGE-math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[37]</w:t>
        </w:r>
      </w:hyperlink>
      <w:r>
        <w:t xml:space="preserve"> </w:t>
      </w:r>
      <w:hyperlink r:id="rId55">
        <w:r>
          <w:rPr>
            <w:rStyle w:val="Hyperlink"/>
          </w:rPr>
          <w:t xml:space="preserve">[56]</w:t>
        </w:r>
      </w:hyperlink>
      <w:r>
        <w:t xml:space="preserve"> </w:t>
      </w:r>
      <w:hyperlink r:id="rId5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https://www.geogebra.org/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https://www.geogebra.org/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https://piktochart.com/generative-ai/</w:t>
      </w:r>
    </w:p>
    <w:p>
      <w:pPr>
        <w:pStyle w:val="BodyText"/>
      </w:pPr>
      <w:hyperlink r:id="rId56">
        <w:r>
          <w:rPr>
            <w:rStyle w:val="Hyperlink"/>
          </w:rPr>
          <w:t xml:space="preserve">https://piktochart.com/generative-ai/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https://piktochart.com/pricing/</w:t>
      </w:r>
    </w:p>
    <w:p>
      <w:pPr>
        <w:pStyle w:val="BodyText"/>
      </w:pPr>
      <w:hyperlink r:id="rId57">
        <w:r>
          <w:rPr>
            <w:rStyle w:val="Hyperlink"/>
          </w:rPr>
          <w:t xml:space="preserve">https://piktochart.com/pricing/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hyperlink r:id="rId58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https://www.visme.co/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https://www.visme.co/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[45]</w:t>
        </w:r>
      </w:hyperlink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https://www.visme.co/pricing/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https://www.visme.co/pricing/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[47]</w:t>
        </w:r>
      </w:hyperlink>
      <w:r>
        <w:t xml:space="preserve"> </w:t>
      </w:r>
      <w:hyperlink r:id="rId60">
        <w:r>
          <w:rPr>
            <w:rStyle w:val="Hyperlink"/>
          </w:rPr>
          <w:t xml:space="preserve">[48]</w:t>
        </w:r>
      </w:hyperlink>
      <w:r>
        <w:t xml:space="preserve"> </w:t>
      </w:r>
      <w:hyperlink r:id="rId60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https://designer.microsoft.com/</w:t>
      </w:r>
    </w:p>
    <w:p>
      <w:pPr>
        <w:pStyle w:val="BodyText"/>
      </w:pPr>
      <w:hyperlink r:id="rId60">
        <w:r>
          <w:rPr>
            <w:rStyle w:val="Hyperlink"/>
          </w:rPr>
          <w:t xml:space="preserve">https://designer.microsoft.com/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https://mathpix.com/pricing/api</w:t>
      </w:r>
    </w:p>
    <w:p>
      <w:pPr>
        <w:pStyle w:val="BodyText"/>
      </w:pPr>
      <w:hyperlink r:id="rId61">
        <w:r>
          <w:rPr>
            <w:rStyle w:val="Hyperlink"/>
          </w:rPr>
          <w:t xml:space="preserve">https://mathpix.com/pricing/api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https://theodi.org/insights/guides/publishers-guide-to-open-data-licensing/</w:t>
      </w:r>
    </w:p>
    <w:p>
      <w:pPr>
        <w:pStyle w:val="BodyText"/>
      </w:pPr>
      <w:hyperlink r:id="rId64">
        <w:r>
          <w:rPr>
            <w:rStyle w:val="Hyperlink"/>
          </w:rPr>
          <w:t xml:space="preserve">https://theodi.org/insights/guides/publishers-guide-to-open-data-licensing/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https://arxiv.org/pdf/1609.04938</w:t>
      </w:r>
    </w:p>
    <w:p>
      <w:pPr>
        <w:pStyle w:val="BodyText"/>
      </w:pPr>
      <w:hyperlink r:id="rId65">
        <w:r>
          <w:rPr>
            <w:rStyle w:val="Hyperlink"/>
          </w:rPr>
          <w:t xml:space="preserve">https://arxiv.org/pdf/1609.04938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https://www.kaggle.com/datasets/shahrukhkhan/im2latex100k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https://www.kaggle.com/datasets/shahrukhkhan/im2latex100k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[61]</w:t>
        </w:r>
      </w:hyperlink>
      <w:r>
        <w:t xml:space="preserve"> </w:t>
      </w:r>
      <w:hyperlink r:id="rId67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https://arxiv.org/html/2404.10690v1</w:t>
      </w:r>
    </w:p>
    <w:p>
      <w:pPr>
        <w:pStyle w:val="BodyText"/>
      </w:pPr>
      <w:hyperlink r:id="rId67">
        <w:r>
          <w:rPr>
            <w:rStyle w:val="Hyperlink"/>
          </w:rPr>
          <w:t xml:space="preserve">https://arxiv.org/html/2404.10690v1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https://www.iapr-tc11.org/mediawiki/index.php/CROHME%3A_Competition_on_Recognition_of_Online_Handwritten_Mathematical_Expressions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https://www.iapr-tc11.org/mediawiki/index.php/CROHME%3A_Competition_on_Recognition_of_Online_Handwritten_Mathematical_Expressions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[63]</w:t>
        </w:r>
      </w:hyperlink>
      <w:r>
        <w:t xml:space="preserve"> </w:t>
      </w:r>
      <w:hyperlink r:id="rId69">
        <w:r>
          <w:rPr>
            <w:rStyle w:val="Hyperlink"/>
          </w:rPr>
          <w:t xml:space="preserve">[64]</w:t>
        </w:r>
      </w:hyperlink>
      <w:r>
        <w:t xml:space="preserve"> </w:t>
      </w:r>
      <w:hyperlink r:id="rId69">
        <w:r>
          <w:rPr>
            <w:rStyle w:val="Hyperlink"/>
          </w:rPr>
          <w:t xml:space="preserve">[134]</w:t>
        </w:r>
      </w:hyperlink>
      <w:r>
        <w:t xml:space="preserve"> </w:t>
      </w:r>
      <w:r>
        <w:t xml:space="preserve">https://registry.opendata.aws/allenai-diagrams/</w:t>
      </w:r>
    </w:p>
    <w:p>
      <w:pPr>
        <w:pStyle w:val="BodyText"/>
      </w:pPr>
      <w:hyperlink r:id="rId69">
        <w:r>
          <w:rPr>
            <w:rStyle w:val="Hyperlink"/>
          </w:rPr>
          <w:t xml:space="preserve">https://registry.opendata.aws/allenai-diagrams/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https://github.com/thiippal/AI2D-RST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https://github.com/thiippal/AI2D-RST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[66]</w:t>
        </w:r>
      </w:hyperlink>
      <w:r>
        <w:t xml:space="preserve"> </w:t>
      </w:r>
      <w:hyperlink r:id="rId71">
        <w:r>
          <w:rPr>
            <w:rStyle w:val="Hyperlink"/>
          </w:rPr>
          <w:t xml:space="preserve">[67]</w:t>
        </w:r>
      </w:hyperlink>
      <w:r>
        <w:t xml:space="preserve"> </w:t>
      </w:r>
      <w:hyperlink r:id="rId71">
        <w:r>
          <w:rPr>
            <w:rStyle w:val="Hyperlink"/>
          </w:rPr>
          <w:t xml:space="preserve">[135]</w:t>
        </w:r>
      </w:hyperlink>
      <w:r>
        <w:t xml:space="preserve"> </w:t>
      </w:r>
      <w:r>
        <w:t xml:space="preserve">https://github.com/NiteshMethani/PlotQA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https://github.com/NiteshMethani/PlotQA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[68]</w:t>
        </w:r>
      </w:hyperlink>
      <w:r>
        <w:t xml:space="preserve"> </w:t>
      </w:r>
      <w:hyperlink r:id="rId72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https://github.com/vis-nlp/ChartQA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https://github.com/vis-nlp/ChartQA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https://arxiv.org/abs/2104.12756</w:t>
      </w:r>
    </w:p>
    <w:p>
      <w:pPr>
        <w:pStyle w:val="BodyText"/>
      </w:pPr>
      <w:hyperlink r:id="rId73">
        <w:r>
          <w:rPr>
            <w:rStyle w:val="Hyperlink"/>
          </w:rPr>
          <w:t xml:space="preserve">https://arxiv.org/abs/2104.12756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[70]</w:t>
        </w:r>
      </w:hyperlink>
      <w:r>
        <w:t xml:space="preserve"> </w:t>
      </w:r>
      <w:hyperlink r:id="rId7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https://github.com/ibm-aur-nlp/PubLayNet/blob/master/LICENSE.md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https://github.com/ibm-aur-nlp/PubLayNet/blob/master/LICENSE.md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https://huggingface.co/datasets/Vikhrmodels/physics_big</w:t>
      </w:r>
    </w:p>
    <w:p>
      <w:pPr>
        <w:pStyle w:val="BodyText"/>
      </w:pPr>
      <w:hyperlink r:id="rId75">
        <w:r>
          <w:rPr>
            <w:rStyle w:val="Hyperlink"/>
          </w:rPr>
          <w:t xml:space="preserve">https://huggingface.co/datasets/Vikhrmodels/physics_big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https://huggingface.co/datasets/d0rj/gsm8k-ru/discussions</w:t>
      </w:r>
    </w:p>
    <w:p>
      <w:pPr>
        <w:pStyle w:val="BodyText"/>
      </w:pPr>
      <w:hyperlink r:id="rId76">
        <w:r>
          <w:rPr>
            <w:rStyle w:val="Hyperlink"/>
          </w:rPr>
          <w:t xml:space="preserve">https://huggingface.co/datasets/d0rj/gsm8k-ru/discussions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[75]</w:t>
        </w:r>
      </w:hyperlink>
      <w:r>
        <w:t xml:space="preserve"> </w:t>
      </w:r>
      <w:hyperlink r:id="rId78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https://fipi.ru/</w:t>
      </w:r>
    </w:p>
    <w:p>
      <w:pPr>
        <w:pStyle w:val="BodyText"/>
      </w:pPr>
      <w:hyperlink r:id="rId78">
        <w:r>
          <w:rPr>
            <w:rStyle w:val="Hyperlink"/>
          </w:rPr>
          <w:t xml:space="preserve">https://fipi.ru/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[77]</w:t>
        </w:r>
      </w:hyperlink>
      <w:r>
        <w:t xml:space="preserve"> </w:t>
      </w:r>
      <w:hyperlink r:id="rId81">
        <w:r>
          <w:rPr>
            <w:rStyle w:val="Hyperlink"/>
          </w:rPr>
          <w:t xml:space="preserve">[91]</w:t>
        </w:r>
      </w:hyperlink>
      <w:r>
        <w:t xml:space="preserve"> </w:t>
      </w:r>
      <w:hyperlink r:id="rId81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https://vega.github.io/vega-lite/</w:t>
      </w:r>
    </w:p>
    <w:p>
      <w:pPr>
        <w:pStyle w:val="BodyText"/>
      </w:pPr>
      <w:hyperlink r:id="rId81">
        <w:r>
          <w:rPr>
            <w:rStyle w:val="Hyperlink"/>
          </w:rPr>
          <w:t xml:space="preserve">https://vega.github.io/vega-lite/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https://plotly.com/python/</w:t>
      </w:r>
    </w:p>
    <w:p>
      <w:pPr>
        <w:pStyle w:val="BodyText"/>
      </w:pPr>
      <w:hyperlink r:id="rId82">
        <w:r>
          <w:rPr>
            <w:rStyle w:val="Hyperlink"/>
          </w:rPr>
          <w:t xml:space="preserve">https://plotly.com/python/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https://katex.org/</w:t>
      </w:r>
    </w:p>
    <w:p>
      <w:pPr>
        <w:pStyle w:val="BodyText"/>
      </w:pPr>
      <w:hyperlink r:id="rId83">
        <w:r>
          <w:rPr>
            <w:rStyle w:val="Hyperlink"/>
          </w:rPr>
          <w:t xml:space="preserve">https://katex.org/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[80]</w:t>
        </w:r>
      </w:hyperlink>
      <w:r>
        <w:t xml:space="preserve"> </w:t>
      </w:r>
      <w:hyperlink r:id="rId84">
        <w:r>
          <w:rPr>
            <w:rStyle w:val="Hyperlink"/>
          </w:rPr>
          <w:t xml:space="preserve">[97]</w:t>
        </w:r>
      </w:hyperlink>
      <w:r>
        <w:t xml:space="preserve"> </w:t>
      </w:r>
      <w:hyperlink r:id="rId84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https://dvisvgm.de/Manpage/dvisvgm.pdf</w:t>
      </w:r>
    </w:p>
    <w:p>
      <w:pPr>
        <w:pStyle w:val="BodyText"/>
      </w:pPr>
      <w:hyperlink r:id="rId84">
        <w:r>
          <w:rPr>
            <w:rStyle w:val="Hyperlink"/>
          </w:rPr>
          <w:t xml:space="preserve">https://dvisvgm.de/Manpage/dvisvgm.pdf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https://mermaid.js.org/intro/syntax-reference.html</w:t>
      </w:r>
    </w:p>
    <w:p>
      <w:pPr>
        <w:pStyle w:val="BodyText"/>
      </w:pPr>
      <w:hyperlink r:id="rId85">
        <w:r>
          <w:rPr>
            <w:rStyle w:val="Hyperlink"/>
          </w:rPr>
          <w:t xml:space="preserve">https://mermaid.js.org/intro/syntax-reference.html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https://graphviz.org/license/</w:t>
      </w:r>
    </w:p>
    <w:p>
      <w:pPr>
        <w:pStyle w:val="BodyText"/>
      </w:pPr>
      <w:hyperlink r:id="rId86">
        <w:r>
          <w:rPr>
            <w:rStyle w:val="Hyperlink"/>
          </w:rPr>
          <w:t xml:space="preserve">https://graphviz.org/license/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https://plantuml.com/license</w:t>
      </w:r>
    </w:p>
    <w:p>
      <w:pPr>
        <w:pStyle w:val="BodyText"/>
      </w:pPr>
      <w:hyperlink r:id="rId87">
        <w:r>
          <w:rPr>
            <w:rStyle w:val="Hyperlink"/>
          </w:rPr>
          <w:t xml:space="preserve">https://plantuml.com/license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[87]</w:t>
        </w:r>
      </w:hyperlink>
      <w:r>
        <w:t xml:space="preserve"> </w:t>
      </w:r>
      <w:hyperlink r:id="rId89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https://github.com/huggingface/diffusers</w:t>
      </w:r>
    </w:p>
    <w:p>
      <w:pPr>
        <w:pStyle w:val="BodyText"/>
      </w:pPr>
      <w:hyperlink r:id="rId89">
        <w:r>
          <w:rPr>
            <w:rStyle w:val="Hyperlink"/>
          </w:rPr>
          <w:t xml:space="preserve">https://github.com/huggingface/diffusers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https://github.com/AUTOMATIC1111/stable-diffusion-webui</w:t>
      </w:r>
    </w:p>
    <w:p>
      <w:pPr>
        <w:pStyle w:val="BodyText"/>
      </w:pPr>
      <w:hyperlink r:id="rId90">
        <w:r>
          <w:rPr>
            <w:rStyle w:val="Hyperlink"/>
          </w:rPr>
          <w:t xml:space="preserve">https://github.com/AUTOMATIC1111/stable-diffusion-webui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[90]</w:t>
        </w:r>
      </w:hyperlink>
      <w:r>
        <w:t xml:space="preserve"> </w:t>
      </w:r>
      <w:hyperlink r:id="rId93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https://docs.mathjax.org/en/v4.0/output/svg.html</w:t>
      </w:r>
    </w:p>
    <w:p>
      <w:pPr>
        <w:pStyle w:val="BodyText"/>
      </w:pPr>
      <w:hyperlink r:id="rId93">
        <w:r>
          <w:rPr>
            <w:rStyle w:val="Hyperlink"/>
          </w:rPr>
          <w:t xml:space="preserve">https://docs.mathjax.org/en/v4.0/output/svg.html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https://wiki.inkscape.org/wiki/Using_the_Command_Line</w:t>
      </w:r>
    </w:p>
    <w:p>
      <w:pPr>
        <w:pStyle w:val="BodyText"/>
      </w:pPr>
      <w:hyperlink r:id="rId94">
        <w:r>
          <w:rPr>
            <w:rStyle w:val="Hyperlink"/>
          </w:rPr>
          <w:t xml:space="preserve">https://wiki.inkscape.org/wiki/Using_the_Command_Line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[95]</w:t>
        </w:r>
      </w:hyperlink>
      <w:r>
        <w:t xml:space="preserve"> </w:t>
      </w:r>
      <w:hyperlink r:id="rId95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https://www.sympy.org/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https://www.sympy.org/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[100]</w:t>
        </w:r>
      </w:hyperlink>
      <w:r>
        <w:t xml:space="preserve"> </w:t>
      </w:r>
      <w:hyperlink r:id="rId97">
        <w:r>
          <w:rPr>
            <w:rStyle w:val="Hyperlink"/>
          </w:rPr>
          <w:t xml:space="preserve">[101]</w:t>
        </w:r>
      </w:hyperlink>
      <w:r>
        <w:t xml:space="preserve"> </w:t>
      </w:r>
      <w:hyperlink r:id="rId97">
        <w:r>
          <w:rPr>
            <w:rStyle w:val="Hyperlink"/>
          </w:rPr>
          <w:t xml:space="preserve">[117]</w:t>
        </w:r>
      </w:hyperlink>
      <w:r>
        <w:t xml:space="preserve"> </w:t>
      </w:r>
      <w:hyperlink r:id="rId97">
        <w:r>
          <w:rPr>
            <w:rStyle w:val="Hyperlink"/>
          </w:rPr>
          <w:t xml:space="preserve">[118]</w:t>
        </w:r>
      </w:hyperlink>
      <w:r>
        <w:t xml:space="preserve"> </w:t>
      </w:r>
      <w:r>
        <w:t xml:space="preserve">https://matplotlib.org/stable/api/_as_gen/matplotlib.pyplot.savefig.html</w:t>
      </w:r>
    </w:p>
    <w:p>
      <w:pPr>
        <w:pStyle w:val="BodyText"/>
      </w:pPr>
      <w:hyperlink r:id="rId97">
        <w:r>
          <w:rPr>
            <w:rStyle w:val="Hyperlink"/>
          </w:rPr>
          <w:t xml:space="preserve">https://matplotlib.org/stable/api/_as_gen/matplotlib.pyplot.savefig.html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https://huggingface.co/docs/diffusers/en/index</w:t>
      </w:r>
    </w:p>
    <w:p>
      <w:pPr>
        <w:pStyle w:val="BodyText"/>
      </w:pPr>
      <w:hyperlink r:id="rId98">
        <w:r>
          <w:rPr>
            <w:rStyle w:val="Hyperlink"/>
          </w:rPr>
          <w:t xml:space="preserve">https://huggingface.co/docs/diffusers/en/index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[106]</w:t>
        </w:r>
      </w:hyperlink>
      <w:r>
        <w:t xml:space="preserve"> </w:t>
      </w:r>
      <w:hyperlink r:id="rId99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https://developers.openai.com/api/docs/guides/images-vision/</w:t>
      </w:r>
    </w:p>
    <w:p>
      <w:pPr>
        <w:pStyle w:val="BodyText"/>
      </w:pPr>
      <w:hyperlink r:id="rId99">
        <w:r>
          <w:rPr>
            <w:rStyle w:val="Hyperlink"/>
          </w:rPr>
          <w:t xml:space="preserve">https://developers.openai.com/api/docs/guides/images-vision/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[107]</w:t>
        </w:r>
      </w:hyperlink>
      <w:r>
        <w:t xml:space="preserve"> </w:t>
      </w:r>
      <w:hyperlink r:id="rId100">
        <w:r>
          <w:rPr>
            <w:rStyle w:val="Hyperlink"/>
          </w:rPr>
          <w:t xml:space="preserve">[108]</w:t>
        </w:r>
      </w:hyperlink>
      <w:r>
        <w:t xml:space="preserve"> </w:t>
      </w:r>
      <w:hyperlink r:id="rId100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https://developers.openai.com/api/reference/resources/images/</w:t>
      </w:r>
    </w:p>
    <w:p>
      <w:pPr>
        <w:pStyle w:val="BodyText"/>
      </w:pPr>
      <w:hyperlink r:id="rId100">
        <w:r>
          <w:rPr>
            <w:rStyle w:val="Hyperlink"/>
          </w:rPr>
          <w:t xml:space="preserve">https://developers.openai.com/api/reference/resources/images/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https://fastapi.tiangolo.com/</w:t>
      </w:r>
    </w:p>
    <w:p>
      <w:pPr>
        <w:pStyle w:val="BodyText"/>
      </w:pPr>
      <w:hyperlink r:id="rId102">
        <w:r>
          <w:rPr>
            <w:rStyle w:val="Hyperlink"/>
          </w:rPr>
          <w:t xml:space="preserve">https://fastapi.tiangolo.com/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https://fastapi.tiangolo.com/tutorial/first-steps/</w:t>
      </w:r>
    </w:p>
    <w:p>
      <w:pPr>
        <w:pStyle w:val="BodyText"/>
      </w:pPr>
      <w:hyperlink r:id="rId103">
        <w:r>
          <w:rPr>
            <w:rStyle w:val="Hyperlink"/>
          </w:rPr>
          <w:t xml:space="preserve">https://fastapi.tiangolo.com/tutorial/first-steps/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https://jinja.palletsprojects.com/en/stable/templates/</w:t>
      </w:r>
    </w:p>
    <w:p>
      <w:pPr>
        <w:pStyle w:val="BodyText"/>
      </w:pPr>
      <w:hyperlink r:id="rId104">
        <w:r>
          <w:rPr>
            <w:rStyle w:val="Hyperlink"/>
          </w:rPr>
          <w:t xml:space="preserve">https://jinja.palletsprojects.com/en/stable/templates/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https://arxiv.org/abs/2010.12042</w:t>
      </w:r>
    </w:p>
    <w:p>
      <w:pPr>
        <w:pStyle w:val="BodyText"/>
      </w:pPr>
      <w:hyperlink r:id="rId107">
        <w:r>
          <w:rPr>
            <w:rStyle w:val="Hyperlink"/>
          </w:rPr>
          <w:t xml:space="preserve">https://arxiv.org/abs/2010.12042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https://arxiv.org/abs/2005.11401</w:t>
      </w:r>
    </w:p>
    <w:p>
      <w:pPr>
        <w:pStyle w:val="BodyText"/>
      </w:pPr>
      <w:hyperlink r:id="rId108">
        <w:r>
          <w:rPr>
            <w:rStyle w:val="Hyperlink"/>
          </w:rPr>
          <w:t xml:space="preserve">https://arxiv.org/abs/2005.11401</w:t>
        </w:r>
      </w:hyperlink>
    </w:p>
    <w:p>
      <w:pPr>
        <w:pStyle w:val="BodyText"/>
      </w:pPr>
      <w:hyperlink r:id="rId110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https://dxzxy12138.github.io/PhysReason/</w:t>
      </w:r>
    </w:p>
    <w:p>
      <w:pPr>
        <w:pStyle w:val="BodyText"/>
      </w:pPr>
      <w:hyperlink r:id="rId110">
        <w:r>
          <w:rPr>
            <w:rStyle w:val="Hyperlink"/>
          </w:rPr>
          <w:t xml:space="preserve">https://dxzxy12138.github.io/PhysReason/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https://openai.com/index/gpt-4o-image-generation-system-card-addendum/</w:t>
      </w:r>
    </w:p>
    <w:p>
      <w:pPr>
        <w:pStyle w:val="BodyText"/>
      </w:pPr>
      <w:hyperlink r:id="rId112">
        <w:r>
          <w:rPr>
            <w:rStyle w:val="Hyperlink"/>
          </w:rPr>
          <w:t xml:space="preserve">https://openai.com/index/gpt-4o-image-generation-system-card-addendum/</w:t>
        </w:r>
      </w:hyperlink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aclanthology.org/2025.coling-main.340.pdf" TargetMode="External" /><Relationship Type="http://schemas.openxmlformats.org/officeDocument/2006/relationships/hyperlink" Id="rId24" Target="https://act-r.psy.cmu.edu/wordpress/wp-content/uploads/2012/12/893CorbettAnderson1995.pdf" TargetMode="External" /><Relationship Type="http://schemas.openxmlformats.org/officeDocument/2006/relationships/hyperlink" Id="rId39" Target="https://arxiv.org/abs/1912.03879" TargetMode="External" /><Relationship Type="http://schemas.openxmlformats.org/officeDocument/2006/relationships/hyperlink" Id="rId108" Target="https://arxiv.org/abs/2005.11401" TargetMode="External" /><Relationship Type="http://schemas.openxmlformats.org/officeDocument/2006/relationships/hyperlink" Id="rId107" Target="https://arxiv.org/abs/2010.12042" TargetMode="External" /><Relationship Type="http://schemas.openxmlformats.org/officeDocument/2006/relationships/hyperlink" Id="rId38" Target="https://arxiv.org/abs/2104.04584" TargetMode="External" /><Relationship Type="http://schemas.openxmlformats.org/officeDocument/2006/relationships/hyperlink" Id="rId73" Target="https://arxiv.org/abs/2104.12756" TargetMode="External" /><Relationship Type="http://schemas.openxmlformats.org/officeDocument/2006/relationships/hyperlink" Id="rId32" Target="https://arxiv.org/abs/2112.10752" TargetMode="External" /><Relationship Type="http://schemas.openxmlformats.org/officeDocument/2006/relationships/hyperlink" Id="rId34" Target="https://arxiv.org/abs/2302.05543" TargetMode="External" /><Relationship Type="http://schemas.openxmlformats.org/officeDocument/2006/relationships/hyperlink" Id="rId35" Target="https://arxiv.org/abs/2302.08453" TargetMode="External" /><Relationship Type="http://schemas.openxmlformats.org/officeDocument/2006/relationships/hyperlink" Id="rId33" Target="https://arxiv.org/abs/2307.01952" TargetMode="External" /><Relationship Type="http://schemas.openxmlformats.org/officeDocument/2006/relationships/hyperlink" Id="rId37" Target="https://arxiv.org/abs/2601.04498" TargetMode="External" /><Relationship Type="http://schemas.openxmlformats.org/officeDocument/2006/relationships/hyperlink" Id="rId67" Target="https://arxiv.org/html/2404.10690v1" TargetMode="External" /><Relationship Type="http://schemas.openxmlformats.org/officeDocument/2006/relationships/hyperlink" Id="rId65" Target="https://arxiv.org/pdf/1609.04938" TargetMode="External" /><Relationship Type="http://schemas.openxmlformats.org/officeDocument/2006/relationships/hyperlink" Id="rId30" Target="https://ctan.org/pkg/circuitikz?lang=en" TargetMode="External" /><Relationship Type="http://schemas.openxmlformats.org/officeDocument/2006/relationships/hyperlink" Id="rId29" Target="https://ctan.org/pkg/pgf?lang=en" TargetMode="External" /><Relationship Type="http://schemas.openxmlformats.org/officeDocument/2006/relationships/hyperlink" Id="rId60" Target="https://designer.microsoft.com/" TargetMode="External" /><Relationship Type="http://schemas.openxmlformats.org/officeDocument/2006/relationships/hyperlink" Id="rId22" Target="https://developers.openai.com/api/docs/guides/image-generation/" TargetMode="External" /><Relationship Type="http://schemas.openxmlformats.org/officeDocument/2006/relationships/hyperlink" Id="rId99" Target="https://developers.openai.com/api/docs/guides/images-vision/" TargetMode="External" /><Relationship Type="http://schemas.openxmlformats.org/officeDocument/2006/relationships/hyperlink" Id="rId100" Target="https://developers.openai.com/api/reference/resources/images/" TargetMode="External" /><Relationship Type="http://schemas.openxmlformats.org/officeDocument/2006/relationships/hyperlink" Id="rId44" Target="https://dl.acm.org/doi/10.1145/3569576" TargetMode="External" /><Relationship Type="http://schemas.openxmlformats.org/officeDocument/2006/relationships/hyperlink" Id="rId23" Target="https://doc.fipi.ru/ege/dlya-predmetnyh-komissiy-subektov-rf/2026/matematika_mr_ege_2026.pdf" TargetMode="External" /><Relationship Type="http://schemas.openxmlformats.org/officeDocument/2006/relationships/hyperlink" Id="rId93" Target="https://docs.mathjax.org/en/v4.0/output/svg.html" TargetMode="External" /><Relationship Type="http://schemas.openxmlformats.org/officeDocument/2006/relationships/hyperlink" Id="rId84" Target="https://dvisvgm.de/Manpage/dvisvgm.pdf" TargetMode="External" /><Relationship Type="http://schemas.openxmlformats.org/officeDocument/2006/relationships/hyperlink" Id="rId110" Target="https://dxzxy12138.github.io/PhysReason/" TargetMode="External" /><Relationship Type="http://schemas.openxmlformats.org/officeDocument/2006/relationships/hyperlink" Id="rId102" Target="https://fastapi.tiangolo.com/" TargetMode="External" /><Relationship Type="http://schemas.openxmlformats.org/officeDocument/2006/relationships/hyperlink" Id="rId103" Target="https://fastapi.tiangolo.com/tutorial/first-steps/" TargetMode="External" /><Relationship Type="http://schemas.openxmlformats.org/officeDocument/2006/relationships/hyperlink" Id="rId78" Target="https://fipi.ru/" TargetMode="External" /><Relationship Type="http://schemas.openxmlformats.org/officeDocument/2006/relationships/hyperlink" Id="rId26" Target="https://fipi.ru/ege/otkrytyy-bank-zadaniy-ege" TargetMode="External" /><Relationship Type="http://schemas.openxmlformats.org/officeDocument/2006/relationships/hyperlink" Id="rId27" Target="https://fipi.ru/navigator-podgotovki/navigator-ege" TargetMode="External" /><Relationship Type="http://schemas.openxmlformats.org/officeDocument/2006/relationships/hyperlink" Id="rId90" Target="https://github.com/AUTOMATIC1111/stable-diffusion-webui" TargetMode="External" /><Relationship Type="http://schemas.openxmlformats.org/officeDocument/2006/relationships/hyperlink" Id="rId54" Target="https://github.com/Karifannaa/Auto-check-EGE-math" TargetMode="External" /><Relationship Type="http://schemas.openxmlformats.org/officeDocument/2006/relationships/hyperlink" Id="rId71" Target="https://github.com/NiteshMethani/PlotQA" TargetMode="External" /><Relationship Type="http://schemas.openxmlformats.org/officeDocument/2006/relationships/hyperlink" Id="rId89" Target="https://github.com/huggingface/diffusers" TargetMode="External" /><Relationship Type="http://schemas.openxmlformats.org/officeDocument/2006/relationships/hyperlink" Id="rId74" Target="https://github.com/ibm-aur-nlp/PubLayNet/blob/master/LICENSE.md" TargetMode="External" /><Relationship Type="http://schemas.openxmlformats.org/officeDocument/2006/relationships/hyperlink" Id="rId51" Target="https://github.com/lukas-blecher/LaTeX-OCR" TargetMode="External" /><Relationship Type="http://schemas.openxmlformats.org/officeDocument/2006/relationships/hyperlink" Id="rId50" Target="https://github.com/svg/svgo" TargetMode="External" /><Relationship Type="http://schemas.openxmlformats.org/officeDocument/2006/relationships/hyperlink" Id="rId70" Target="https://github.com/thiippal/AI2D-RST" TargetMode="External" /><Relationship Type="http://schemas.openxmlformats.org/officeDocument/2006/relationships/hyperlink" Id="rId72" Target="https://github.com/vis-nlp/ChartQA" TargetMode="External" /><Relationship Type="http://schemas.openxmlformats.org/officeDocument/2006/relationships/hyperlink" Id="rId86" Target="https://graphviz.org/license/" TargetMode="External" /><Relationship Type="http://schemas.openxmlformats.org/officeDocument/2006/relationships/hyperlink" Id="rId75" Target="https://huggingface.co/datasets/Vikhrmodels/physics_big" TargetMode="External" /><Relationship Type="http://schemas.openxmlformats.org/officeDocument/2006/relationships/hyperlink" Id="rId76" Target="https://huggingface.co/datasets/d0rj/gsm8k-ru/discussions" TargetMode="External" /><Relationship Type="http://schemas.openxmlformats.org/officeDocument/2006/relationships/hyperlink" Id="rId98" Target="https://huggingface.co/docs/diffusers/en/index" TargetMode="External" /><Relationship Type="http://schemas.openxmlformats.org/officeDocument/2006/relationships/hyperlink" Id="rId21" Target="https://huggingface.co/stabilityai/stable-diffusion-xl-base-1.0" TargetMode="External" /><Relationship Type="http://schemas.openxmlformats.org/officeDocument/2006/relationships/hyperlink" Id="rId104" Target="https://jinja.palletsprojects.com/en/stable/templates/" TargetMode="External" /><Relationship Type="http://schemas.openxmlformats.org/officeDocument/2006/relationships/hyperlink" Id="rId83" Target="https://katex.org/" TargetMode="External" /><Relationship Type="http://schemas.openxmlformats.org/officeDocument/2006/relationships/hyperlink" Id="rId53" Target="https://mathpix.com/ocr" TargetMode="External" /><Relationship Type="http://schemas.openxmlformats.org/officeDocument/2006/relationships/hyperlink" Id="rId61" Target="https://mathpix.com/pricing/api" TargetMode="External" /><Relationship Type="http://schemas.openxmlformats.org/officeDocument/2006/relationships/hyperlink" Id="rId97" Target="https://matplotlib.org/stable/api/_as_gen/matplotlib.pyplot.savefig.html" TargetMode="External" /><Relationship Type="http://schemas.openxmlformats.org/officeDocument/2006/relationships/hyperlink" Id="rId85" Target="https://mermaid.js.org/intro/syntax-reference.html" TargetMode="External" /><Relationship Type="http://schemas.openxmlformats.org/officeDocument/2006/relationships/hyperlink" Id="rId112" Target="https://openai.com/index/gpt-4o-image-generation-system-card-addendum/" TargetMode="External" /><Relationship Type="http://schemas.openxmlformats.org/officeDocument/2006/relationships/hyperlink" Id="rId52" Target="https://piktochart.com/" TargetMode="External" /><Relationship Type="http://schemas.openxmlformats.org/officeDocument/2006/relationships/hyperlink" Id="rId56" Target="https://piktochart.com/generative-ai/" TargetMode="External" /><Relationship Type="http://schemas.openxmlformats.org/officeDocument/2006/relationships/hyperlink" Id="rId57" Target="https://piktochart.com/pricing/" TargetMode="External" /><Relationship Type="http://schemas.openxmlformats.org/officeDocument/2006/relationships/hyperlink" Id="rId87" Target="https://plantuml.com/license" TargetMode="External" /><Relationship Type="http://schemas.openxmlformats.org/officeDocument/2006/relationships/hyperlink" Id="rId82" Target="https://plotly.com/python/" TargetMode="External" /><Relationship Type="http://schemas.openxmlformats.org/officeDocument/2006/relationships/hyperlink" Id="rId41" Target="https://proceedings.neurips.cc/paper/2020/hash/bcf9d6bd14a2095866ce8c950b702341-Abstract.html" TargetMode="External" /><Relationship Type="http://schemas.openxmlformats.org/officeDocument/2006/relationships/hyperlink" Id="rId69" Target="https://registry.opendata.aws/allenai-diagrams/" TargetMode="External" /><Relationship Type="http://schemas.openxmlformats.org/officeDocument/2006/relationships/hyperlink" Id="rId46" Target="https://ronan.collobert.com/pub/2009_curriculum_icml.pdf" TargetMode="External" /><Relationship Type="http://schemas.openxmlformats.org/officeDocument/2006/relationships/hyperlink" Id="rId43" Target="https://stanford.edu/~cpiech/bio/papers/deepKnowledgeTracing.pdf" TargetMode="External" /><Relationship Type="http://schemas.openxmlformats.org/officeDocument/2006/relationships/hyperlink" Id="rId64" Target="https://theodi.org/insights/guides/publishers-guide-to-open-data-licensing/" TargetMode="External" /><Relationship Type="http://schemas.openxmlformats.org/officeDocument/2006/relationships/hyperlink" Id="rId81" Target="https://vega.github.io/vega-lite/" TargetMode="External" /><Relationship Type="http://schemas.openxmlformats.org/officeDocument/2006/relationships/hyperlink" Id="rId94" Target="https://wiki.inkscape.org/wiki/Using_the_Command_Line" TargetMode="External" /><Relationship Type="http://schemas.openxmlformats.org/officeDocument/2006/relationships/hyperlink" Id="rId49" Target="https://www.canva.com/magic/" TargetMode="External" /><Relationship Type="http://schemas.openxmlformats.org/officeDocument/2006/relationships/hyperlink" Id="rId28" Target="https://www.desmos.com/calculator" TargetMode="External" /><Relationship Type="http://schemas.openxmlformats.org/officeDocument/2006/relationships/hyperlink" Id="rId55" Target="https://www.geogebra.org/" TargetMode="External" /><Relationship Type="http://schemas.openxmlformats.org/officeDocument/2006/relationships/hyperlink" Id="rId68" Target="https://www.iapr-tc11.org/mediawiki/index.php/CROHME%3A_Competition_on_Recognition_of_Online_Handwritten_Mathematical_Expressions" TargetMode="External" /><Relationship Type="http://schemas.openxmlformats.org/officeDocument/2006/relationships/hyperlink" Id="rId66" Target="https://www.kaggle.com/datasets/shahrukhkhan/im2latex100k" TargetMode="External" /><Relationship Type="http://schemas.openxmlformats.org/officeDocument/2006/relationships/hyperlink" Id="rId95" Target="https://www.sympy.org/" TargetMode="External" /><Relationship Type="http://schemas.openxmlformats.org/officeDocument/2006/relationships/hyperlink" Id="rId58" Target="https://www.visme.co/" TargetMode="External" /><Relationship Type="http://schemas.openxmlformats.org/officeDocument/2006/relationships/hyperlink" Id="rId59" Target="https://www.visme.co/pric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clanthology.org/2025.coling-main.340.pdf" TargetMode="External" /><Relationship Type="http://schemas.openxmlformats.org/officeDocument/2006/relationships/hyperlink" Id="rId24" Target="https://act-r.psy.cmu.edu/wordpress/wp-content/uploads/2012/12/893CorbettAnderson1995.pdf" TargetMode="External" /><Relationship Type="http://schemas.openxmlformats.org/officeDocument/2006/relationships/hyperlink" Id="rId39" Target="https://arxiv.org/abs/1912.03879" TargetMode="External" /><Relationship Type="http://schemas.openxmlformats.org/officeDocument/2006/relationships/hyperlink" Id="rId108" Target="https://arxiv.org/abs/2005.11401" TargetMode="External" /><Relationship Type="http://schemas.openxmlformats.org/officeDocument/2006/relationships/hyperlink" Id="rId107" Target="https://arxiv.org/abs/2010.12042" TargetMode="External" /><Relationship Type="http://schemas.openxmlformats.org/officeDocument/2006/relationships/hyperlink" Id="rId38" Target="https://arxiv.org/abs/2104.04584" TargetMode="External" /><Relationship Type="http://schemas.openxmlformats.org/officeDocument/2006/relationships/hyperlink" Id="rId73" Target="https://arxiv.org/abs/2104.12756" TargetMode="External" /><Relationship Type="http://schemas.openxmlformats.org/officeDocument/2006/relationships/hyperlink" Id="rId32" Target="https://arxiv.org/abs/2112.10752" TargetMode="External" /><Relationship Type="http://schemas.openxmlformats.org/officeDocument/2006/relationships/hyperlink" Id="rId34" Target="https://arxiv.org/abs/2302.05543" TargetMode="External" /><Relationship Type="http://schemas.openxmlformats.org/officeDocument/2006/relationships/hyperlink" Id="rId35" Target="https://arxiv.org/abs/2302.08453" TargetMode="External" /><Relationship Type="http://schemas.openxmlformats.org/officeDocument/2006/relationships/hyperlink" Id="rId33" Target="https://arxiv.org/abs/2307.01952" TargetMode="External" /><Relationship Type="http://schemas.openxmlformats.org/officeDocument/2006/relationships/hyperlink" Id="rId37" Target="https://arxiv.org/abs/2601.04498" TargetMode="External" /><Relationship Type="http://schemas.openxmlformats.org/officeDocument/2006/relationships/hyperlink" Id="rId67" Target="https://arxiv.org/html/2404.10690v1" TargetMode="External" /><Relationship Type="http://schemas.openxmlformats.org/officeDocument/2006/relationships/hyperlink" Id="rId65" Target="https://arxiv.org/pdf/1609.04938" TargetMode="External" /><Relationship Type="http://schemas.openxmlformats.org/officeDocument/2006/relationships/hyperlink" Id="rId30" Target="https://ctan.org/pkg/circuitikz?lang=en" TargetMode="External" /><Relationship Type="http://schemas.openxmlformats.org/officeDocument/2006/relationships/hyperlink" Id="rId29" Target="https://ctan.org/pkg/pgf?lang=en" TargetMode="External" /><Relationship Type="http://schemas.openxmlformats.org/officeDocument/2006/relationships/hyperlink" Id="rId60" Target="https://designer.microsoft.com/" TargetMode="External" /><Relationship Type="http://schemas.openxmlformats.org/officeDocument/2006/relationships/hyperlink" Id="rId22" Target="https://developers.openai.com/api/docs/guides/image-generation/" TargetMode="External" /><Relationship Type="http://schemas.openxmlformats.org/officeDocument/2006/relationships/hyperlink" Id="rId99" Target="https://developers.openai.com/api/docs/guides/images-vision/" TargetMode="External" /><Relationship Type="http://schemas.openxmlformats.org/officeDocument/2006/relationships/hyperlink" Id="rId100" Target="https://developers.openai.com/api/reference/resources/images/" TargetMode="External" /><Relationship Type="http://schemas.openxmlformats.org/officeDocument/2006/relationships/hyperlink" Id="rId44" Target="https://dl.acm.org/doi/10.1145/3569576" TargetMode="External" /><Relationship Type="http://schemas.openxmlformats.org/officeDocument/2006/relationships/hyperlink" Id="rId23" Target="https://doc.fipi.ru/ege/dlya-predmetnyh-komissiy-subektov-rf/2026/matematika_mr_ege_2026.pdf" TargetMode="External" /><Relationship Type="http://schemas.openxmlformats.org/officeDocument/2006/relationships/hyperlink" Id="rId93" Target="https://docs.mathjax.org/en/v4.0/output/svg.html" TargetMode="External" /><Relationship Type="http://schemas.openxmlformats.org/officeDocument/2006/relationships/hyperlink" Id="rId84" Target="https://dvisvgm.de/Manpage/dvisvgm.pdf" TargetMode="External" /><Relationship Type="http://schemas.openxmlformats.org/officeDocument/2006/relationships/hyperlink" Id="rId110" Target="https://dxzxy12138.github.io/PhysReason/" TargetMode="External" /><Relationship Type="http://schemas.openxmlformats.org/officeDocument/2006/relationships/hyperlink" Id="rId102" Target="https://fastapi.tiangolo.com/" TargetMode="External" /><Relationship Type="http://schemas.openxmlformats.org/officeDocument/2006/relationships/hyperlink" Id="rId103" Target="https://fastapi.tiangolo.com/tutorial/first-steps/" TargetMode="External" /><Relationship Type="http://schemas.openxmlformats.org/officeDocument/2006/relationships/hyperlink" Id="rId78" Target="https://fipi.ru/" TargetMode="External" /><Relationship Type="http://schemas.openxmlformats.org/officeDocument/2006/relationships/hyperlink" Id="rId26" Target="https://fipi.ru/ege/otkrytyy-bank-zadaniy-ege" TargetMode="External" /><Relationship Type="http://schemas.openxmlformats.org/officeDocument/2006/relationships/hyperlink" Id="rId27" Target="https://fipi.ru/navigator-podgotovki/navigator-ege" TargetMode="External" /><Relationship Type="http://schemas.openxmlformats.org/officeDocument/2006/relationships/hyperlink" Id="rId90" Target="https://github.com/AUTOMATIC1111/stable-diffusion-webui" TargetMode="External" /><Relationship Type="http://schemas.openxmlformats.org/officeDocument/2006/relationships/hyperlink" Id="rId54" Target="https://github.com/Karifannaa/Auto-check-EGE-math" TargetMode="External" /><Relationship Type="http://schemas.openxmlformats.org/officeDocument/2006/relationships/hyperlink" Id="rId71" Target="https://github.com/NiteshMethani/PlotQA" TargetMode="External" /><Relationship Type="http://schemas.openxmlformats.org/officeDocument/2006/relationships/hyperlink" Id="rId89" Target="https://github.com/huggingface/diffusers" TargetMode="External" /><Relationship Type="http://schemas.openxmlformats.org/officeDocument/2006/relationships/hyperlink" Id="rId74" Target="https://github.com/ibm-aur-nlp/PubLayNet/blob/master/LICENSE.md" TargetMode="External" /><Relationship Type="http://schemas.openxmlformats.org/officeDocument/2006/relationships/hyperlink" Id="rId51" Target="https://github.com/lukas-blecher/LaTeX-OCR" TargetMode="External" /><Relationship Type="http://schemas.openxmlformats.org/officeDocument/2006/relationships/hyperlink" Id="rId50" Target="https://github.com/svg/svgo" TargetMode="External" /><Relationship Type="http://schemas.openxmlformats.org/officeDocument/2006/relationships/hyperlink" Id="rId70" Target="https://github.com/thiippal/AI2D-RST" TargetMode="External" /><Relationship Type="http://schemas.openxmlformats.org/officeDocument/2006/relationships/hyperlink" Id="rId72" Target="https://github.com/vis-nlp/ChartQA" TargetMode="External" /><Relationship Type="http://schemas.openxmlformats.org/officeDocument/2006/relationships/hyperlink" Id="rId86" Target="https://graphviz.org/license/" TargetMode="External" /><Relationship Type="http://schemas.openxmlformats.org/officeDocument/2006/relationships/hyperlink" Id="rId75" Target="https://huggingface.co/datasets/Vikhrmodels/physics_big" TargetMode="External" /><Relationship Type="http://schemas.openxmlformats.org/officeDocument/2006/relationships/hyperlink" Id="rId76" Target="https://huggingface.co/datasets/d0rj/gsm8k-ru/discussions" TargetMode="External" /><Relationship Type="http://schemas.openxmlformats.org/officeDocument/2006/relationships/hyperlink" Id="rId98" Target="https://huggingface.co/docs/diffusers/en/index" TargetMode="External" /><Relationship Type="http://schemas.openxmlformats.org/officeDocument/2006/relationships/hyperlink" Id="rId21" Target="https://huggingface.co/stabilityai/stable-diffusion-xl-base-1.0" TargetMode="External" /><Relationship Type="http://schemas.openxmlformats.org/officeDocument/2006/relationships/hyperlink" Id="rId104" Target="https://jinja.palletsprojects.com/en/stable/templates/" TargetMode="External" /><Relationship Type="http://schemas.openxmlformats.org/officeDocument/2006/relationships/hyperlink" Id="rId83" Target="https://katex.org/" TargetMode="External" /><Relationship Type="http://schemas.openxmlformats.org/officeDocument/2006/relationships/hyperlink" Id="rId53" Target="https://mathpix.com/ocr" TargetMode="External" /><Relationship Type="http://schemas.openxmlformats.org/officeDocument/2006/relationships/hyperlink" Id="rId61" Target="https://mathpix.com/pricing/api" TargetMode="External" /><Relationship Type="http://schemas.openxmlformats.org/officeDocument/2006/relationships/hyperlink" Id="rId97" Target="https://matplotlib.org/stable/api/_as_gen/matplotlib.pyplot.savefig.html" TargetMode="External" /><Relationship Type="http://schemas.openxmlformats.org/officeDocument/2006/relationships/hyperlink" Id="rId85" Target="https://mermaid.js.org/intro/syntax-reference.html" TargetMode="External" /><Relationship Type="http://schemas.openxmlformats.org/officeDocument/2006/relationships/hyperlink" Id="rId112" Target="https://openai.com/index/gpt-4o-image-generation-system-card-addendum/" TargetMode="External" /><Relationship Type="http://schemas.openxmlformats.org/officeDocument/2006/relationships/hyperlink" Id="rId52" Target="https://piktochart.com/" TargetMode="External" /><Relationship Type="http://schemas.openxmlformats.org/officeDocument/2006/relationships/hyperlink" Id="rId56" Target="https://piktochart.com/generative-ai/" TargetMode="External" /><Relationship Type="http://schemas.openxmlformats.org/officeDocument/2006/relationships/hyperlink" Id="rId57" Target="https://piktochart.com/pricing/" TargetMode="External" /><Relationship Type="http://schemas.openxmlformats.org/officeDocument/2006/relationships/hyperlink" Id="rId87" Target="https://plantuml.com/license" TargetMode="External" /><Relationship Type="http://schemas.openxmlformats.org/officeDocument/2006/relationships/hyperlink" Id="rId82" Target="https://plotly.com/python/" TargetMode="External" /><Relationship Type="http://schemas.openxmlformats.org/officeDocument/2006/relationships/hyperlink" Id="rId41" Target="https://proceedings.neurips.cc/paper/2020/hash/bcf9d6bd14a2095866ce8c950b702341-Abstract.html" TargetMode="External" /><Relationship Type="http://schemas.openxmlformats.org/officeDocument/2006/relationships/hyperlink" Id="rId69" Target="https://registry.opendata.aws/allenai-diagrams/" TargetMode="External" /><Relationship Type="http://schemas.openxmlformats.org/officeDocument/2006/relationships/hyperlink" Id="rId46" Target="https://ronan.collobert.com/pub/2009_curriculum_icml.pdf" TargetMode="External" /><Relationship Type="http://schemas.openxmlformats.org/officeDocument/2006/relationships/hyperlink" Id="rId43" Target="https://stanford.edu/~cpiech/bio/papers/deepKnowledgeTracing.pdf" TargetMode="External" /><Relationship Type="http://schemas.openxmlformats.org/officeDocument/2006/relationships/hyperlink" Id="rId64" Target="https://theodi.org/insights/guides/publishers-guide-to-open-data-licensing/" TargetMode="External" /><Relationship Type="http://schemas.openxmlformats.org/officeDocument/2006/relationships/hyperlink" Id="rId81" Target="https://vega.github.io/vega-lite/" TargetMode="External" /><Relationship Type="http://schemas.openxmlformats.org/officeDocument/2006/relationships/hyperlink" Id="rId94" Target="https://wiki.inkscape.org/wiki/Using_the_Command_Line" TargetMode="External" /><Relationship Type="http://schemas.openxmlformats.org/officeDocument/2006/relationships/hyperlink" Id="rId49" Target="https://www.canva.com/magic/" TargetMode="External" /><Relationship Type="http://schemas.openxmlformats.org/officeDocument/2006/relationships/hyperlink" Id="rId28" Target="https://www.desmos.com/calculator" TargetMode="External" /><Relationship Type="http://schemas.openxmlformats.org/officeDocument/2006/relationships/hyperlink" Id="rId55" Target="https://www.geogebra.org/" TargetMode="External" /><Relationship Type="http://schemas.openxmlformats.org/officeDocument/2006/relationships/hyperlink" Id="rId68" Target="https://www.iapr-tc11.org/mediawiki/index.php/CROHME%3A_Competition_on_Recognition_of_Online_Handwritten_Mathematical_Expressions" TargetMode="External" /><Relationship Type="http://schemas.openxmlformats.org/officeDocument/2006/relationships/hyperlink" Id="rId66" Target="https://www.kaggle.com/datasets/shahrukhkhan/im2latex100k" TargetMode="External" /><Relationship Type="http://schemas.openxmlformats.org/officeDocument/2006/relationships/hyperlink" Id="rId95" Target="https://www.sympy.org/" TargetMode="External" /><Relationship Type="http://schemas.openxmlformats.org/officeDocument/2006/relationships/hyperlink" Id="rId58" Target="https://www.visme.co/" TargetMode="External" /><Relationship Type="http://schemas.openxmlformats.org/officeDocument/2006/relationships/hyperlink" Id="rId59" Target="https://www.visme.co/pric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2026-03-11T16:13:08Z</dcterms:created>
  <dcterms:modified xsi:type="dcterms:W3CDTF">2026-03-11T16:13:08Z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