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STHeiti" w:hAnsi="STHeiti" w:eastAsia="STHeiti" w:cs="STHeiti"/>
          <w:b/>
          <w:i w:val="0"/>
          <w:color w:val="FE2C55"/>
          <w:sz w:val="18"/>
        </w:rPr>
        <w:t>TIKTOK TECHJAM 2026 · TRACK 5</w:t>
      </w:r>
    </w:p>
    <w:p>
      <w:pPr>
        <w:pStyle w:val="Title"/>
      </w:pPr>
      <w:r>
        <w:rPr>
          <w:rFonts w:ascii="STHeiti" w:hAnsi="STHeiti" w:eastAsia="STHeiti" w:cs="STHeiti"/>
          <w:b/>
          <w:i w:val="0"/>
          <w:color w:val="080806"/>
          <w:sz w:val="56"/>
        </w:rPr>
        <w:t>RobustFusion 前端需求分析报告</w:t>
      </w:r>
    </w:p>
    <w:p>
      <w:pPr>
        <w:pStyle w:val="Subtitle"/>
      </w:pPr>
      <w:r>
        <w:rPr>
          <w:rFonts w:ascii="STHeiti" w:hAnsi="STHeiti" w:eastAsia="STHeiti" w:cs="STHeiti"/>
          <w:b w:val="0"/>
          <w:i w:val="0"/>
          <w:color w:val="A8ADB3"/>
          <w:sz w:val="26"/>
        </w:rPr>
        <w:t>鲁棒 AI 生成图像检测展示站 · 最终产品、设计与开发规格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7810"/>
      </w:tblGrid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</w:tcPr>
          <w:p>
            <w:r>
              <w:rPr>
                <w:rFonts w:ascii="STHeiti" w:hAnsi="STHeiti" w:eastAsia="STHeiti" w:cs="STHeiti"/>
              </w:rPr>
              <w:t>版本</w:t>
            </w:r>
            <w:r>
              <w:rPr>
                <w:rFonts w:ascii="STHeiti" w:hAnsi="STHeiti" w:eastAsia="STHeiti" w:cs="STHeiti"/>
                <w:b/>
                <w:i w:val="0"/>
                <w:color w:val="25F4EE"/>
                <w:sz w:val="18"/>
              </w:rPr>
            </w:r>
          </w:p>
        </w:tc>
        <w:tc>
          <w:tcPr>
            <w:tcW w:type="dxa" w:w="7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</w:tcPr>
          <w:p>
            <w:r>
              <w:rPr>
                <w:rFonts w:ascii="STHeiti" w:hAnsi="STHeiti" w:eastAsia="STHeiti" w:cs="STHeiti"/>
              </w:rPr>
              <w:t>v2.0 · 最终交付版</w:t>
            </w: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9"/>
              </w:rPr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</w:tcPr>
          <w:p>
            <w:r>
              <w:rPr>
                <w:rFonts w:ascii="STHeiti" w:hAnsi="STHeiti" w:eastAsia="STHeiti" w:cs="STHeiti"/>
              </w:rPr>
              <w:t>目标</w:t>
            </w:r>
            <w:r>
              <w:rPr>
                <w:rFonts w:ascii="STHeiti" w:hAnsi="STHeiti" w:eastAsia="STHeiti" w:cs="STHeiti"/>
                <w:b/>
                <w:i w:val="0"/>
                <w:color w:val="25F4EE"/>
                <w:sz w:val="18"/>
              </w:rPr>
            </w:r>
          </w:p>
        </w:tc>
        <w:tc>
          <w:tcPr>
            <w:tcW w:type="dxa" w:w="7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</w:tcPr>
          <w:p>
            <w:r>
              <w:rPr>
                <w:rFonts w:ascii="STHeiti" w:hAnsi="STHeiti" w:eastAsia="STHeiti" w:cs="STHeiti"/>
              </w:rPr>
              <w:t>为评委提供可理解、可操作、可验证的冠军向演示体验</w:t>
            </w: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9"/>
              </w:rPr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</w:tcPr>
          <w:p>
            <w:r>
              <w:rPr>
                <w:rFonts w:ascii="STHeiti" w:hAnsi="STHeiti" w:eastAsia="STHeiti" w:cs="STHeiti"/>
              </w:rPr>
              <w:t>当前范围</w:t>
            </w:r>
            <w:r>
              <w:rPr>
                <w:rFonts w:ascii="STHeiti" w:hAnsi="STHeiti" w:eastAsia="STHeiti" w:cs="STHeiti"/>
                <w:b/>
                <w:i w:val="0"/>
                <w:color w:val="25F4EE"/>
                <w:sz w:val="18"/>
              </w:rPr>
            </w:r>
          </w:p>
        </w:tc>
        <w:tc>
          <w:tcPr>
            <w:tcW w:type="dxa" w:w="7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</w:tcPr>
          <w:p>
            <w:r>
              <w:rPr>
                <w:rFonts w:ascii="STHeiti" w:hAnsi="STHeiti" w:eastAsia="STHeiti" w:cs="STHeiti"/>
              </w:rPr>
              <w:t>响应式单页前端；浏览器本地图像处理；贡献与评分为交互原型</w:t>
            </w: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9"/>
              </w:rPr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</w:tcPr>
          <w:p>
            <w:r>
              <w:rPr>
                <w:rFonts w:ascii="STHeiti" w:hAnsi="STHeiti" w:eastAsia="STHeiti" w:cs="STHeiti"/>
              </w:rPr>
              <w:t>生产地址</w:t>
            </w:r>
            <w:r>
              <w:rPr>
                <w:rFonts w:ascii="STHeiti" w:hAnsi="STHeiti" w:eastAsia="STHeiti" w:cs="STHeiti"/>
                <w:b/>
                <w:i w:val="0"/>
                <w:color w:val="25F4EE"/>
                <w:sz w:val="18"/>
              </w:rPr>
            </w:r>
          </w:p>
        </w:tc>
        <w:tc>
          <w:tcPr>
            <w:tcW w:type="dxa" w:w="7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</w:tcPr>
          <w:p>
            <w:r>
              <w:rPr>
                <w:rFonts w:ascii="STHeiti" w:hAnsi="STHeiti" w:eastAsia="STHeiti" w:cs="STHeiti"/>
              </w:rPr>
              <w:t>https://truepix-techjam-2026.hiiiyou222.chatgpt.site</w:t>
            </w: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9"/>
              </w:rPr>
            </w:r>
          </w:p>
        </w:tc>
      </w:tr>
    </w:tbl>
    <w:p>
      <w:pPr>
        <w:spacing w:before="120" w:after="200"/>
        <w:ind w:left="173" w:right="115" w:firstLine="0"/>
        <w:shd w:fill="E7ECEC"/>
        <w:pBdr>
          <w:left w:val="single" w:sz="28" w:color="FE2C55" w:space="8"/>
        </w:pBdr>
      </w:pPr>
      <w:r>
        <w:rPr>
          <w:rFonts w:ascii="STHeiti" w:hAnsi="STHeiti" w:eastAsia="STHeiti" w:cs="STHeiti"/>
          <w:b/>
          <w:i w:val="0"/>
          <w:color w:val="FE2C55"/>
          <w:sz w:val="18"/>
        </w:rPr>
        <w:t>核心结论  前端将“真实变换下仍可靠”组织成可操作、可验证的评审证据链：本地图像处理、两类贡献可视化、16 条件轨迹与分支反事实贡献。</w:t>
      </w:r>
      <w:r>
        <w:rPr>
          <w:rFonts w:ascii="STHeiti" w:hAnsi="STHeiti" w:eastAsia="STHeiti" w:cs="STHeiti"/>
          <w:b/>
          <w:i w:val="0"/>
          <w:color w:val="080806"/>
          <w:sz w:val="21"/>
        </w:rPr>
      </w:r>
    </w:p>
    <w:p>
      <w:pPr>
        <w:spacing w:before="160" w:after="60"/>
      </w:pPr>
      <w:r>
        <w:rPr>
          <w:rFonts w:ascii="STHeiti" w:hAnsi="STHeiti" w:eastAsia="STHeiti" w:cs="STHeiti"/>
          <w:b/>
          <w:i w:val="0"/>
          <w:color w:val="FE2C55"/>
          <w:sz w:val="17"/>
        </w:rPr>
        <w:t>01 / PRODUCT INTENT</w:t>
      </w:r>
    </w:p>
    <w:p>
      <w:pPr>
        <w:pStyle w:val="Heading1"/>
        <w:pBdr>
          <w:bottom w:val="single" w:sz="12" w:space="6" w:color="25F4EE"/>
        </w:pBdr>
      </w:pPr>
      <w:r>
        <w:rPr>
          <w:rFonts w:ascii="STHeiti" w:hAnsi="STHeiti" w:eastAsia="STHeiti" w:cs="STHeiti"/>
        </w:rPr>
        <w:t>1. 项目目标与成功定义</w:t>
      </w:r>
    </w:p>
    <w:p>
      <w:pPr>
        <w:spacing w:after="160"/>
      </w:pPr>
      <w:r>
        <w:rPr>
          <w:rFonts w:ascii="STHeiti" w:hAnsi="STHeiti" w:eastAsia="STHeiti" w:cs="STHeiti"/>
        </w:rPr>
        <w:t>RobustFusion 面向 TikTok TechJam 2026 Track 5 评审场景。最终前端需要在 3–5 分钟内完成从问题、交互演示、鲁棒证据到测试契约的闭环，并支持评委快速复核关键结果。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第一眼：明确这是针对压缩、模糊、裁剪、重采样和噪声的鲁棒 AIGC 检测。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第一分钟：完成本地图片预览、16 种变换切换与两类贡献图切换。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深入追问：可查看 16 条件置信度轨迹、分支反事实贡献与精确图像处理参数。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可信表达：明确标注当前前端为交互原型，不伪装成已接通的真实模型服务。</w:t>
      </w:r>
    </w:p>
    <w:p>
      <w:r>
        <w:rPr>
          <w:rFonts w:ascii="STHeiti" w:hAnsi="STHeiti" w:eastAsia="STHeiti" w:cs="STHeiti"/>
        </w:rPr>
        <w:br w:type="page"/>
      </w:r>
    </w:p>
    <w:p>
      <w:pPr>
        <w:spacing w:before="160" w:after="60"/>
      </w:pPr>
      <w:r>
        <w:rPr>
          <w:rFonts w:ascii="STHeiti" w:hAnsi="STHeiti" w:eastAsia="STHeiti" w:cs="STHeiti"/>
          <w:b/>
          <w:i w:val="0"/>
          <w:color w:val="FE2C55"/>
          <w:sz w:val="17"/>
        </w:rPr>
        <w:t>02 / AUDIENCE</w:t>
      </w:r>
    </w:p>
    <w:p>
      <w:pPr>
        <w:pStyle w:val="Heading1"/>
        <w:pBdr>
          <w:bottom w:val="single" w:sz="12" w:space="6" w:color="25F4EE"/>
        </w:pBdr>
      </w:pPr>
      <w:r>
        <w:rPr>
          <w:rFonts w:ascii="STHeiti" w:hAnsi="STHeiti" w:eastAsia="STHeiti" w:cs="STHeiti"/>
        </w:rPr>
        <w:t>2. 用户与评审任务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3450"/>
        <w:gridCol w:w="2110"/>
      </w:tblGrid>
      <w:tr>
        <w:trPr>
          <w:tblHeader w:val="true"/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7"/>
              </w:rPr>
              <w:t>用户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7"/>
              </w:rPr>
              <w:t>核心问题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7"/>
              </w:rPr>
              <w:t>页面应给出的答案</w:t>
            </w:r>
          </w:p>
        </w:tc>
        <w:tc>
          <w:tcPr>
            <w:tcW w:type="dxa" w:w="2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7"/>
              </w:rPr>
              <w:t>成功信号</w:t>
            </w:r>
          </w:p>
        </w:tc>
      </w:tr>
      <w:tr>
        <w:trPr>
          <w:cantSplit/>
        </w:trPr>
        <w:tc>
          <w:tcPr>
            <w:tcW w:type="dxa" w:w="14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7"/>
              </w:rPr>
              <w:t>技术评委</w:t>
            </w:r>
          </w:p>
        </w:tc>
        <w:tc>
          <w:tcPr>
            <w:tcW w:type="dxa" w:w="23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证据是否可解释且与鲁棒目标一致？</w:t>
            </w:r>
          </w:p>
        </w:tc>
        <w:tc>
          <w:tcPr>
            <w:tcW w:type="dxa" w:w="34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局部 patch、多尺度融合、分支反事实与 16 条件轨迹</w:t>
            </w:r>
          </w:p>
        </w:tc>
        <w:tc>
          <w:tcPr>
            <w:tcW w:type="dxa" w:w="21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能快速复核证据类型与压力条件</w:t>
            </w:r>
          </w:p>
        </w:tc>
      </w:tr>
      <w:tr>
        <w:trPr>
          <w:cantSplit/>
        </w:trPr>
        <w:tc>
          <w:tcPr>
            <w:tcW w:type="dxa" w:w="14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7"/>
              </w:rPr>
              <w:t>产品/影响评委</w:t>
            </w:r>
          </w:p>
        </w:tc>
        <w:tc>
          <w:tcPr>
            <w:tcW w:type="dxa" w:w="23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为什么值得在平台使用？</w:t>
            </w:r>
          </w:p>
        </w:tc>
        <w:tc>
          <w:tcPr>
            <w:tcW w:type="dxa" w:w="34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真实转发变换、本地隐私说明与清晰置信度</w:t>
            </w:r>
          </w:p>
        </w:tc>
        <w:tc>
          <w:tcPr>
            <w:tcW w:type="dxa" w:w="211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能复述平台场景与边界</w:t>
            </w:r>
          </w:p>
        </w:tc>
      </w:tr>
      <w:tr>
        <w:trPr>
          <w:cantSplit/>
        </w:trPr>
        <w:tc>
          <w:tcPr>
            <w:tcW w:type="dxa" w:w="14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7"/>
              </w:rPr>
              <w:t>可行性评委</w:t>
            </w:r>
          </w:p>
        </w:tc>
        <w:tc>
          <w:tcPr>
            <w:tcW w:type="dxa" w:w="23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是否能继续做成真实系统？</w:t>
            </w:r>
          </w:p>
        </w:tc>
        <w:tc>
          <w:tcPr>
            <w:tcW w:type="dxa" w:w="34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前端状态、接口契约、拒判与部署边界</w:t>
            </w:r>
          </w:p>
        </w:tc>
        <w:tc>
          <w:tcPr>
            <w:tcW w:type="dxa" w:w="21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认为路线可接入真实服务</w:t>
            </w:r>
          </w:p>
        </w:tc>
      </w:tr>
      <w:tr>
        <w:trPr>
          <w:cantSplit/>
        </w:trPr>
        <w:tc>
          <w:tcPr>
            <w:tcW w:type="dxa" w:w="14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7"/>
              </w:rPr>
              <w:t>演示者</w:t>
            </w:r>
          </w:p>
        </w:tc>
        <w:tc>
          <w:tcPr>
            <w:tcW w:type="dxa" w:w="23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现场是否稳定且顺手？</w:t>
            </w:r>
          </w:p>
        </w:tc>
        <w:tc>
          <w:tcPr>
            <w:tcW w:type="dxa" w:w="34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默认样例、上传、Tab、变换选择与锚点导航</w:t>
            </w:r>
          </w:p>
        </w:tc>
        <w:tc>
          <w:tcPr>
            <w:tcW w:type="dxa" w:w="211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无需临场寻找内容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STHeiti" w:hAnsi="STHeiti" w:eastAsia="STHeiti" w:cs="STHeiti"/>
          <w:b/>
          <w:i w:val="0"/>
          <w:color w:val="FE2C55"/>
          <w:sz w:val="17"/>
        </w:rPr>
        <w:t>03 / INFORMATION ARCHITECTURE</w:t>
      </w:r>
    </w:p>
    <w:p>
      <w:pPr>
        <w:pStyle w:val="Heading1"/>
        <w:pBdr>
          <w:bottom w:val="single" w:sz="12" w:space="6" w:color="25F4EE"/>
        </w:pBdr>
      </w:pPr>
      <w:r>
        <w:rPr>
          <w:rFonts w:ascii="STHeiti" w:hAnsi="STHeiti" w:eastAsia="STHeiti" w:cs="STHeiti"/>
        </w:rPr>
        <w:t>3. 信息架构与叙事顺序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2700"/>
        <w:gridCol w:w="5810"/>
      </w:tblGrid>
      <w:tr>
        <w:trPr>
          <w:tblHeader w:val="true"/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70D0D8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080806"/>
                <w:sz w:val="18"/>
              </w:rPr>
              <w:t>序号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70D0D8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080806"/>
                <w:sz w:val="18"/>
              </w:rPr>
              <w:t>区块</w:t>
            </w:r>
          </w:p>
        </w:tc>
        <w:tc>
          <w:tcPr>
            <w:tcW w:type="dxa" w:w="5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70D0D8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080806"/>
                <w:sz w:val="18"/>
              </w:rPr>
              <w:t>叙事任务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01</w:t>
            </w:r>
          </w:p>
        </w:tc>
        <w:tc>
          <w:tcPr>
            <w:tcW w:type="dxa" w:w="27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Hero + Official-site Navigation</w:t>
            </w:r>
          </w:p>
        </w:tc>
        <w:tc>
          <w:tcPr>
            <w:tcW w:type="dxa" w:w="58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一句话价值、模型名称、团队与本地原型定位</w:t>
            </w:r>
          </w:p>
        </w:tc>
      </w:tr>
      <w:tr>
        <w:trPr>
          <w:cantSplit/>
        </w:trPr>
        <w:tc>
          <w:tcPr>
            <w:tcW w:type="dxa" w:w="8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02</w:t>
            </w:r>
          </w:p>
        </w:tc>
        <w:tc>
          <w:tcPr>
            <w:tcW w:type="dxa" w:w="27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Live Prototype</w:t>
            </w:r>
          </w:p>
        </w:tc>
        <w:tc>
          <w:tcPr>
            <w:tcW w:type="dxa" w:w="581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上传预览、P(AIGC)、raw logit、原图与贡献证据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03</w:t>
            </w:r>
          </w:p>
        </w:tc>
        <w:tc>
          <w:tcPr>
            <w:tcW w:type="dxa" w:w="27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Contribution Views</w:t>
            </w:r>
          </w:p>
        </w:tc>
        <w:tc>
          <w:tcPr>
            <w:tcW w:type="dxa" w:w="58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Local patches 与 Multi-scale fusion 可切换叠加图</w:t>
            </w:r>
          </w:p>
        </w:tc>
      </w:tr>
      <w:tr>
        <w:trPr>
          <w:cantSplit/>
        </w:trPr>
        <w:tc>
          <w:tcPr>
            <w:tcW w:type="dxa" w:w="8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04</w:t>
            </w:r>
          </w:p>
        </w:tc>
        <w:tc>
          <w:tcPr>
            <w:tcW w:type="dxa" w:w="27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Transformation Controls</w:t>
            </w:r>
          </w:p>
        </w:tc>
        <w:tc>
          <w:tcPr>
            <w:tcW w:type="dxa" w:w="581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16 个比赛压力条件，本地 Canvas 实际处理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05</w:t>
            </w:r>
          </w:p>
        </w:tc>
        <w:tc>
          <w:tcPr>
            <w:tcW w:type="dxa" w:w="27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Evidence</w:t>
            </w:r>
          </w:p>
        </w:tc>
        <w:tc>
          <w:tcPr>
            <w:tcW w:type="dxa" w:w="58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16 条件置信度轨迹与三分支反事实贡献</w:t>
            </w:r>
          </w:p>
        </w:tc>
      </w:tr>
      <w:tr>
        <w:trPr>
          <w:cantSplit/>
        </w:trPr>
        <w:tc>
          <w:tcPr>
            <w:tcW w:type="dxa" w:w="8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06</w:t>
            </w:r>
          </w:p>
        </w:tc>
        <w:tc>
          <w:tcPr>
            <w:tcW w:type="dxa" w:w="27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Test Contract + Close</w:t>
            </w:r>
          </w:p>
        </w:tc>
        <w:tc>
          <w:tcPr>
            <w:tcW w:type="dxa" w:w="581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六类处理参数、真实场景类比与团队收束</w:t>
            </w:r>
          </w:p>
        </w:tc>
      </w:tr>
    </w:tbl>
    <w:p>
      <w:pPr>
        <w:spacing w:after="0"/>
      </w:pPr>
    </w:p>
    <w:p>
      <w:pPr>
        <w:spacing w:before="120" w:after="200"/>
        <w:ind w:left="173" w:right="115" w:firstLine="0"/>
        <w:shd w:fill="E7ECEC"/>
        <w:pBdr>
          <w:left w:val="single" w:sz="28" w:color="FE2C55" w:space="8"/>
        </w:pBdr>
      </w:pPr>
      <w:r>
        <w:rPr>
          <w:rFonts w:ascii="STHeiti" w:hAnsi="STHeiti" w:eastAsia="STHeiti" w:cs="STHeiti"/>
          <w:b/>
          <w:i w:val="0"/>
          <w:color w:val="FE2C55"/>
          <w:sz w:val="18"/>
        </w:rPr>
        <w:t>演示原则  先让评委上传并切换变换，再展示局部与多尺度证据，最后用轨迹、分支贡献和测试契约完成复核。</w:t>
      </w:r>
      <w:r>
        <w:rPr>
          <w:rFonts w:ascii="STHeiti" w:hAnsi="STHeiti" w:eastAsia="STHeiti" w:cs="STHeiti"/>
          <w:b/>
          <w:i w:val="0"/>
          <w:color w:val="080806"/>
          <w:sz w:val="21"/>
        </w:rPr>
      </w:r>
    </w:p>
    <w:p>
      <w:r>
        <w:rPr>
          <w:rFonts w:ascii="STHeiti" w:hAnsi="STHeiti" w:eastAsia="STHeiti" w:cs="STHeiti"/>
        </w:rPr>
      </w:r>
    </w:p>
    <w:p>
      <w:pPr>
        <w:spacing w:before="160" w:after="60"/>
      </w:pPr>
      <w:r>
        <w:rPr>
          <w:rFonts w:ascii="STHeiti" w:hAnsi="STHeiti" w:eastAsia="STHeiti" w:cs="STHeiti"/>
          <w:b/>
          <w:i w:val="0"/>
          <w:color w:val="FE2C55"/>
          <w:sz w:val="17"/>
        </w:rPr>
        <w:t>04 / FUNCTIONAL REQUIREMENTS</w:t>
      </w:r>
    </w:p>
    <w:p>
      <w:pPr>
        <w:pStyle w:val="Heading1"/>
        <w:pBdr>
          <w:bottom w:val="single" w:sz="12" w:space="6" w:color="25F4EE"/>
        </w:pBdr>
      </w:pPr>
      <w:r>
        <w:rPr>
          <w:rFonts w:ascii="STHeiti" w:hAnsi="STHeiti" w:eastAsia="STHeiti" w:cs="STHeiti"/>
        </w:rPr>
        <w:t>4. 核心功能需求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1450"/>
        <w:gridCol w:w="780"/>
        <w:gridCol w:w="3270"/>
        <w:gridCol w:w="3060"/>
      </w:tblGrid>
      <w:tr>
        <w:trPr>
          <w:tblHeader w:val="true"/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5"/>
              </w:rPr>
              <w:t>ID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5"/>
              </w:rPr>
              <w:t>功能</w:t>
            </w:r>
          </w:p>
        </w:tc>
        <w:tc>
          <w:tcPr>
            <w:tcW w:type="dxa" w:w="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5"/>
              </w:rPr>
              <w:t>优先级</w:t>
            </w:r>
          </w:p>
        </w:tc>
        <w:tc>
          <w:tcPr>
            <w:tcW w:type="dxa" w:w="32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5"/>
              </w:rPr>
              <w:t>需求说明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8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5"/>
              </w:rPr>
              <w:t>FR-01</w:t>
            </w:r>
          </w:p>
        </w:tc>
        <w:tc>
          <w:tcPr>
            <w:tcW w:type="dxa" w:w="14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首屏价值表达</w:t>
            </w:r>
          </w:p>
        </w:tc>
        <w:tc>
          <w:tcPr>
            <w:tcW w:type="dxa" w:w="78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P0</w:t>
            </w:r>
          </w:p>
        </w:tc>
        <w:tc>
          <w:tcPr>
            <w:tcW w:type="dxa" w:w="327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展示赛道、RobustFusion 全称、价值主张和三项概览</w:t>
            </w:r>
          </w:p>
        </w:tc>
        <w:tc>
          <w:tcPr>
            <w:tcW w:type="dxa" w:w="306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首屏无需滚动即可识别项目定位</w:t>
            </w:r>
          </w:p>
        </w:tc>
      </w:tr>
      <w:tr>
        <w:trPr>
          <w:cantSplit/>
        </w:trPr>
        <w:tc>
          <w:tcPr>
            <w:tcW w:type="dxa" w:w="8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5"/>
              </w:rPr>
              <w:t>FR-02</w:t>
            </w:r>
          </w:p>
        </w:tc>
        <w:tc>
          <w:tcPr>
            <w:tcW w:type="dxa" w:w="14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图片本地预览</w:t>
            </w:r>
          </w:p>
        </w:tc>
        <w:tc>
          <w:tcPr>
            <w:tcW w:type="dxa" w:w="78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P0</w:t>
            </w:r>
          </w:p>
        </w:tc>
        <w:tc>
          <w:tcPr>
            <w:tcW w:type="dxa" w:w="327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支持 JPG/PNG/WEBP/SVG，≤12 MB，本地 Object URL</w:t>
            </w:r>
          </w:p>
        </w:tc>
        <w:tc>
          <w:tcPr>
            <w:tcW w:type="dxa" w:w="306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图片不上传；选择后立即更新画面</w:t>
            </w:r>
          </w:p>
        </w:tc>
      </w:tr>
      <w:tr>
        <w:trPr>
          <w:cantSplit/>
        </w:trPr>
        <w:tc>
          <w:tcPr>
            <w:tcW w:type="dxa" w:w="8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5"/>
              </w:rPr>
              <w:t>FR-03</w:t>
            </w:r>
          </w:p>
        </w:tc>
        <w:tc>
          <w:tcPr>
            <w:tcW w:type="dxa" w:w="14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16 条件图像处理</w:t>
            </w:r>
          </w:p>
        </w:tc>
        <w:tc>
          <w:tcPr>
            <w:tcW w:type="dxa" w:w="78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P0</w:t>
            </w:r>
          </w:p>
        </w:tc>
        <w:tc>
          <w:tcPr>
            <w:tcW w:type="dxa" w:w="327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JPEG/Blur/Resize/Noise/Color/Crop 全参数切换</w:t>
            </w:r>
          </w:p>
        </w:tc>
        <w:tc>
          <w:tcPr>
            <w:tcW w:type="dxa" w:w="306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Canvas 在 1 秒内更新处理结果</w:t>
            </w:r>
          </w:p>
        </w:tc>
      </w:tr>
      <w:tr>
        <w:trPr>
          <w:cantSplit/>
        </w:trPr>
        <w:tc>
          <w:tcPr>
            <w:tcW w:type="dxa" w:w="8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5"/>
              </w:rPr>
              <w:t>FR-04</w:t>
            </w:r>
          </w:p>
        </w:tc>
        <w:tc>
          <w:tcPr>
            <w:tcW w:type="dxa" w:w="14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检测状态</w:t>
            </w:r>
          </w:p>
        </w:tc>
        <w:tc>
          <w:tcPr>
            <w:tcW w:type="dxa" w:w="78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P0</w:t>
            </w:r>
          </w:p>
        </w:tc>
        <w:tc>
          <w:tcPr>
            <w:tcW w:type="dxa" w:w="327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Ready、Analyzing、Done、Review 与 Error</w:t>
            </w:r>
          </w:p>
        </w:tc>
        <w:tc>
          <w:tcPr>
            <w:tcW w:type="dxa" w:w="306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状态可读且保留当前图片</w:t>
            </w:r>
          </w:p>
        </w:tc>
      </w:tr>
      <w:tr>
        <w:trPr>
          <w:cantSplit/>
        </w:trPr>
        <w:tc>
          <w:tcPr>
            <w:tcW w:type="dxa" w:w="8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5"/>
              </w:rPr>
              <w:t>FR-05</w:t>
            </w:r>
          </w:p>
        </w:tc>
        <w:tc>
          <w:tcPr>
            <w:tcW w:type="dxa" w:w="14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局部 patch 贡献</w:t>
            </w:r>
          </w:p>
        </w:tc>
        <w:tc>
          <w:tcPr>
            <w:tcW w:type="dxa" w:w="78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P0</w:t>
            </w:r>
          </w:p>
        </w:tc>
        <w:tc>
          <w:tcPr>
            <w:tcW w:type="dxa" w:w="327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网格化叠加局部正负贡献</w:t>
            </w:r>
          </w:p>
        </w:tc>
        <w:tc>
          <w:tcPr>
            <w:tcW w:type="dxa" w:w="306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随图片和变换同步更新</w:t>
            </w:r>
          </w:p>
        </w:tc>
      </w:tr>
      <w:tr>
        <w:trPr>
          <w:cantSplit/>
        </w:trPr>
        <w:tc>
          <w:tcPr>
            <w:tcW w:type="dxa" w:w="8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5"/>
              </w:rPr>
              <w:t>FR-06</w:t>
            </w:r>
          </w:p>
        </w:tc>
        <w:tc>
          <w:tcPr>
            <w:tcW w:type="dxa" w:w="14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多尺度贡献叠加</w:t>
            </w:r>
          </w:p>
        </w:tc>
        <w:tc>
          <w:tcPr>
            <w:tcW w:type="dxa" w:w="78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P0</w:t>
            </w:r>
          </w:p>
        </w:tc>
        <w:tc>
          <w:tcPr>
            <w:tcW w:type="dxa" w:w="327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以软边色块叠加不同尺度的正负贡献</w:t>
            </w:r>
          </w:p>
        </w:tc>
        <w:tc>
          <w:tcPr>
            <w:tcW w:type="dxa" w:w="306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与 Local patches 通过 Tab 切换</w:t>
            </w:r>
          </w:p>
        </w:tc>
      </w:tr>
      <w:tr>
        <w:trPr>
          <w:cantSplit/>
        </w:trPr>
        <w:tc>
          <w:tcPr>
            <w:tcW w:type="dxa" w:w="8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5"/>
              </w:rPr>
              <w:t>FR-07</w:t>
            </w:r>
          </w:p>
        </w:tc>
        <w:tc>
          <w:tcPr>
            <w:tcW w:type="dxa" w:w="14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置信度轨迹</w:t>
            </w:r>
          </w:p>
        </w:tc>
        <w:tc>
          <w:tcPr>
            <w:tcW w:type="dxa" w:w="78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P0</w:t>
            </w:r>
          </w:p>
        </w:tc>
        <w:tc>
          <w:tcPr>
            <w:tcW w:type="dxa" w:w="327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展示 16 条件 P(AIGC) 折线与可点击节点</w:t>
            </w:r>
          </w:p>
        </w:tc>
        <w:tc>
          <w:tcPr>
            <w:tcW w:type="dxa" w:w="306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选中节点同步回到演示结果</w:t>
            </w:r>
          </w:p>
        </w:tc>
      </w:tr>
      <w:tr>
        <w:trPr>
          <w:cantSplit/>
        </w:trPr>
        <w:tc>
          <w:tcPr>
            <w:tcW w:type="dxa" w:w="8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5"/>
              </w:rPr>
              <w:t>FR-08</w:t>
            </w:r>
          </w:p>
        </w:tc>
        <w:tc>
          <w:tcPr>
            <w:tcW w:type="dxa" w:w="14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分支反事实贡献</w:t>
            </w:r>
          </w:p>
        </w:tc>
        <w:tc>
          <w:tcPr>
            <w:tcW w:type="dxa" w:w="78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P0</w:t>
            </w:r>
          </w:p>
        </w:tc>
        <w:tc>
          <w:tcPr>
            <w:tcW w:type="dxa" w:w="327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展示三证据分支中和后的置信度变化</w:t>
            </w:r>
          </w:p>
        </w:tc>
        <w:tc>
          <w:tcPr>
            <w:tcW w:type="dxa" w:w="306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正负方向与数值同时可读</w:t>
            </w:r>
          </w:p>
        </w:tc>
      </w:tr>
      <w:tr>
        <w:trPr>
          <w:cantSplit/>
        </w:trPr>
        <w:tc>
          <w:tcPr>
            <w:tcW w:type="dxa" w:w="8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5"/>
              </w:rPr>
              <w:t>FR-09</w:t>
            </w:r>
          </w:p>
        </w:tc>
        <w:tc>
          <w:tcPr>
            <w:tcW w:type="dxa" w:w="14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测试契约</w:t>
            </w:r>
          </w:p>
        </w:tc>
        <w:tc>
          <w:tcPr>
            <w:tcW w:type="dxa" w:w="78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P0</w:t>
            </w:r>
          </w:p>
        </w:tc>
        <w:tc>
          <w:tcPr>
            <w:tcW w:type="dxa" w:w="327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列出六类变换、精确参数和现实世界类比</w:t>
            </w:r>
          </w:p>
        </w:tc>
        <w:tc>
          <w:tcPr>
            <w:tcW w:type="dxa" w:w="306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与赛题参数逐项一致</w:t>
            </w:r>
          </w:p>
        </w:tc>
      </w:tr>
      <w:tr>
        <w:trPr>
          <w:cantSplit/>
        </w:trPr>
        <w:tc>
          <w:tcPr>
            <w:tcW w:type="dxa" w:w="8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5"/>
              </w:rPr>
              <w:t>FR-10</w:t>
            </w:r>
          </w:p>
        </w:tc>
        <w:tc>
          <w:tcPr>
            <w:tcW w:type="dxa" w:w="14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异常与降级</w:t>
            </w:r>
          </w:p>
        </w:tc>
        <w:tc>
          <w:tcPr>
            <w:tcW w:type="dxa" w:w="78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P1</w:t>
            </w:r>
          </w:p>
        </w:tc>
        <w:tc>
          <w:tcPr>
            <w:tcW w:type="dxa" w:w="327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格式、大小、解码失败、低置信度和未来服务错误</w:t>
            </w:r>
          </w:p>
        </w:tc>
        <w:tc>
          <w:tcPr>
            <w:tcW w:type="dxa" w:w="306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5"/>
              </w:rPr>
              <w:t>不显示伪成功；给出重试或复核提示</w:t>
            </w:r>
          </w:p>
        </w:tc>
      </w:tr>
    </w:tbl>
    <w:p>
      <w:pPr>
        <w:spacing w:after="0"/>
      </w:pPr>
    </w:p>
    <w:p>
      <w:r>
        <w:rPr>
          <w:rFonts w:ascii="STHeiti" w:hAnsi="STHeiti" w:eastAsia="STHeiti" w:cs="STHeiti"/>
        </w:rPr>
        <w:br w:type="page"/>
      </w:r>
    </w:p>
    <w:p>
      <w:pPr>
        <w:spacing w:before="160" w:after="60"/>
      </w:pPr>
      <w:r>
        <w:rPr>
          <w:rFonts w:ascii="STHeiti" w:hAnsi="STHeiti" w:eastAsia="STHeiti" w:cs="STHeiti"/>
          <w:b/>
          <w:i w:val="0"/>
          <w:color w:val="FE2C55"/>
          <w:sz w:val="17"/>
        </w:rPr>
        <w:t>05 / INTERACTION</w:t>
      </w:r>
    </w:p>
    <w:p>
      <w:pPr>
        <w:pStyle w:val="Heading1"/>
        <w:pBdr>
          <w:bottom w:val="single" w:sz="12" w:space="6" w:color="25F4EE"/>
        </w:pBdr>
      </w:pPr>
      <w:r>
        <w:rPr>
          <w:rFonts w:ascii="STHeiti" w:hAnsi="STHeiti" w:eastAsia="STHeiti" w:cs="STHeiti"/>
        </w:rPr>
        <w:t>5. 交互流程与状态</w:t>
      </w:r>
    </w:p>
    <w:p>
      <w:pPr>
        <w:pStyle w:val="Heading2"/>
      </w:pPr>
      <w:r>
        <w:rPr>
          <w:rFonts w:ascii="STHeiti" w:hAnsi="STHeiti" w:eastAsia="STHeiti" w:cs="STHeiti"/>
        </w:rPr>
        <w:t>5.1 演示主流程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1900"/>
        <w:gridCol w:w="6610"/>
      </w:tblGrid>
      <w:tr>
        <w:trPr>
          <w:tblHeader w:val="true"/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70D0D8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080806"/>
                <w:sz w:val="18"/>
              </w:rPr>
              <w:t>步骤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70D0D8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080806"/>
                <w:sz w:val="18"/>
              </w:rPr>
              <w:t>动作</w:t>
            </w:r>
          </w:p>
        </w:tc>
        <w:tc>
          <w:tcPr>
            <w:tcW w:type="dxa" w:w="6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70D0D8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080806"/>
                <w:sz w:val="18"/>
              </w:rPr>
              <w:t>系统响应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1</w:t>
            </w:r>
          </w:p>
        </w:tc>
        <w:tc>
          <w:tcPr>
            <w:tcW w:type="dxa" w:w="19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进入页面</w:t>
            </w:r>
          </w:p>
        </w:tc>
        <w:tc>
          <w:tcPr>
            <w:tcW w:type="dxa" w:w="66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加载内置样例与 Done 状态，保证无文件也可演示。</w:t>
            </w:r>
          </w:p>
        </w:tc>
      </w:tr>
      <w:tr>
        <w:trPr>
          <w:cantSplit/>
        </w:trPr>
        <w:tc>
          <w:tcPr>
            <w:tcW w:type="dxa" w:w="8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2</w:t>
            </w:r>
          </w:p>
        </w:tc>
        <w:tc>
          <w:tcPr>
            <w:tcW w:type="dxa" w:w="19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选择图片</w:t>
            </w:r>
          </w:p>
        </w:tc>
        <w:tc>
          <w:tcPr>
            <w:tcW w:type="dxa" w:w="661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校验类型与大小，创建本地 Object URL，不上传。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3</w:t>
            </w:r>
          </w:p>
        </w:tc>
        <w:tc>
          <w:tcPr>
            <w:tcW w:type="dxa" w:w="19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切换压力条件</w:t>
            </w:r>
          </w:p>
        </w:tc>
        <w:tc>
          <w:tcPr>
            <w:tcW w:type="dxa" w:w="66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执行 Canvas 图像处理，显示短扫描状态。</w:t>
            </w:r>
          </w:p>
        </w:tc>
      </w:tr>
      <w:tr>
        <w:trPr>
          <w:cantSplit/>
        </w:trPr>
        <w:tc>
          <w:tcPr>
            <w:tcW w:type="dxa" w:w="8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4</w:t>
            </w:r>
          </w:p>
        </w:tc>
        <w:tc>
          <w:tcPr>
            <w:tcW w:type="dxa" w:w="19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查看贡献</w:t>
            </w:r>
          </w:p>
        </w:tc>
        <w:tc>
          <w:tcPr>
            <w:tcW w:type="dxa" w:w="661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在 Local patches 与 Multi-scale fusion 间切换并重绘。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5</w:t>
            </w:r>
          </w:p>
        </w:tc>
        <w:tc>
          <w:tcPr>
            <w:tcW w:type="dxa" w:w="19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查看结果</w:t>
            </w:r>
          </w:p>
        </w:tc>
        <w:tc>
          <w:tcPr>
            <w:tcW w:type="dxa" w:w="66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展示演示 P(AIGC)、raw logit、状态和当前变换。</w:t>
            </w:r>
          </w:p>
        </w:tc>
      </w:tr>
      <w:tr>
        <w:trPr>
          <w:cantSplit/>
        </w:trPr>
        <w:tc>
          <w:tcPr>
            <w:tcW w:type="dxa" w:w="8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6</w:t>
            </w:r>
          </w:p>
        </w:tc>
        <w:tc>
          <w:tcPr>
            <w:tcW w:type="dxa" w:w="19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复核证据</w:t>
            </w:r>
          </w:p>
        </w:tc>
        <w:tc>
          <w:tcPr>
            <w:tcW w:type="dxa" w:w="661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查看 16 条件轨迹、分支贡献与测试契约。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THeiti" w:hAnsi="STHeiti" w:eastAsia="STHeiti" w:cs="STHeiti"/>
        </w:rPr>
        <w:t>5.2 状态与错误处理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850"/>
        <w:gridCol w:w="471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8"/>
              </w:rPr>
              <w:t>状态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8"/>
              </w:rPr>
              <w:t>触发条件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8"/>
              </w:rPr>
              <w:t>界面要求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Ready</w:t>
            </w:r>
          </w:p>
        </w:tc>
        <w:tc>
          <w:tcPr>
            <w:tcW w:type="dxa" w:w="28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原型可用但尚未分析</w:t>
            </w:r>
          </w:p>
        </w:tc>
        <w:tc>
          <w:tcPr>
            <w:tcW w:type="dxa" w:w="47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状态灯为青色；上传与切换可操作</w:t>
            </w:r>
          </w:p>
        </w:tc>
      </w:tr>
      <w:tr>
        <w:trPr>
          <w:cantSplit/>
        </w:trPr>
        <w:tc>
          <w:tcPr>
            <w:tcW w:type="dxa" w:w="18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Analyzing</w:t>
            </w:r>
          </w:p>
        </w:tc>
        <w:tc>
          <w:tcPr>
            <w:tcW w:type="dxa" w:w="28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正在处理或切换</w:t>
            </w:r>
          </w:p>
        </w:tc>
        <w:tc>
          <w:tcPr>
            <w:tcW w:type="dxa" w:w="471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扫描动画；保留图片与当前选项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Done</w:t>
            </w:r>
          </w:p>
        </w:tc>
        <w:tc>
          <w:tcPr>
            <w:tcW w:type="dxa" w:w="28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结果可读</w:t>
            </w:r>
          </w:p>
        </w:tc>
        <w:tc>
          <w:tcPr>
            <w:tcW w:type="dxa" w:w="47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展示 P(AIGC)、raw logit、贡献视图与变换标签</w:t>
            </w:r>
          </w:p>
        </w:tc>
      </w:tr>
      <w:tr>
        <w:trPr>
          <w:cantSplit/>
        </w:trPr>
        <w:tc>
          <w:tcPr>
            <w:tcW w:type="dxa" w:w="18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Low confidence</w:t>
            </w:r>
          </w:p>
        </w:tc>
        <w:tc>
          <w:tcPr>
            <w:tcW w:type="dxa" w:w="28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P(AIGC) 位于复核区间</w:t>
            </w:r>
          </w:p>
        </w:tc>
        <w:tc>
          <w:tcPr>
            <w:tcW w:type="dxa" w:w="471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显示 REVIEW / 建议人工复核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Error</w:t>
            </w:r>
          </w:p>
        </w:tc>
        <w:tc>
          <w:tcPr>
            <w:tcW w:type="dxa" w:w="28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格式、大小或解码失败</w:t>
            </w:r>
          </w:p>
        </w:tc>
        <w:tc>
          <w:tcPr>
            <w:tcW w:type="dxa" w:w="47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原位说明原因并允许重新选择</w:t>
            </w:r>
          </w:p>
        </w:tc>
      </w:tr>
    </w:tbl>
    <w:p>
      <w:pPr>
        <w:spacing w:after="0"/>
      </w:pPr>
    </w:p>
    <w:p>
      <w:pPr>
        <w:spacing w:before="120" w:after="200"/>
        <w:ind w:left="173" w:right="115" w:firstLine="0"/>
        <w:shd w:fill="FCE8EC"/>
        <w:pBdr>
          <w:left w:val="single" w:sz="28" w:color="FE2C55" w:space="8"/>
        </w:pBdr>
      </w:pPr>
      <w:r>
        <w:rPr>
          <w:rFonts w:ascii="STHeiti" w:hAnsi="STHeiti" w:eastAsia="STHeiti" w:cs="STHeiti"/>
          <w:b/>
          <w:i w:val="0"/>
          <w:color w:val="FE2C55"/>
          <w:sz w:val="18"/>
        </w:rPr>
        <w:t xml:space="preserve">隐私要求  </w:t>
      </w:r>
      <w:r>
        <w:rPr>
          <w:rFonts w:ascii="STHeiti" w:hAnsi="STHeiti" w:eastAsia="STHeiti" w:cs="STHeiti"/>
          <w:b/>
          <w:i w:val="0"/>
          <w:color w:val="080806"/>
          <w:sz w:val="21"/>
        </w:rPr>
        <w:t>浏览器原型不得把本地图片上传到任何第三方；接入后端时必须在上传前明确提示处理方式与保留策略。</w:t>
      </w:r>
    </w:p>
    <w:p>
      <w:r>
        <w:rPr>
          <w:rFonts w:ascii="STHeiti" w:hAnsi="STHeiti" w:eastAsia="STHeiti" w:cs="STHeiti"/>
        </w:rPr>
      </w:r>
    </w:p>
    <w:p>
      <w:pPr>
        <w:spacing w:before="160" w:after="60"/>
      </w:pPr>
      <w:r>
        <w:rPr>
          <w:rFonts w:ascii="STHeiti" w:hAnsi="STHeiti" w:eastAsia="STHeiti" w:cs="STHeiti"/>
          <w:b/>
          <w:i w:val="0"/>
          <w:color w:val="FE2C55"/>
          <w:sz w:val="17"/>
        </w:rPr>
        <w:t>06 / VISUAL SYSTEM</w:t>
      </w:r>
    </w:p>
    <w:p>
      <w:pPr>
        <w:pStyle w:val="Heading1"/>
        <w:pBdr>
          <w:bottom w:val="single" w:sz="12" w:space="6" w:color="25F4EE"/>
        </w:pBdr>
      </w:pPr>
      <w:r>
        <w:rPr>
          <w:rFonts w:ascii="STHeiti" w:hAnsi="STHeiti" w:eastAsia="STHeiti" w:cs="STHeiti"/>
        </w:rPr>
        <w:t>6. 视觉设计规范</w:t>
      </w:r>
    </w:p>
    <w:p>
      <w:r>
        <w:rPr>
          <w:rFonts w:ascii="STHeiti" w:hAnsi="STHeiti" w:eastAsia="STHeiti" w:cs="STHeiti"/>
        </w:rPr>
        <w:t>视觉系统继承比赛 PPT 配色，并吸收 TikTok 官方站点的官网语言：白色导航、浅青信息带、黑色首屏、洋红胶囊 CTA、大圆角卡片与宽松留白。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2400"/>
        <w:gridCol w:w="5210"/>
      </w:tblGrid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r>
              <w:rPr>
                <w:rFonts w:ascii="STHeiti" w:hAnsi="STHeiti" w:eastAsia="STHeiti" w:cs="STHeiti"/>
                <w:b/>
                <w:i w:val="0"/>
                <w:color w:val="F7F7F7"/>
                <w:sz w:val="18"/>
              </w:rPr>
              <w:t>颜色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r>
              <w:rPr>
                <w:rFonts w:ascii="STHeiti" w:hAnsi="STHeiti" w:eastAsia="STHeiti" w:cs="STHeiti"/>
                <w:b/>
                <w:i w:val="0"/>
                <w:color w:val="F7F7F7"/>
                <w:sz w:val="18"/>
              </w:rPr>
              <w:t>令牌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r>
              <w:rPr>
                <w:rFonts w:ascii="STHeiti" w:hAnsi="STHeiti" w:eastAsia="STHeiti" w:cs="STHeiti"/>
                <w:b/>
                <w:i w:val="0"/>
                <w:color w:val="F7F7F7"/>
                <w:sz w:val="18"/>
              </w:rPr>
              <w:t>使用场景</w:t>
            </w:r>
          </w:p>
        </w:tc>
      </w:tr>
      <w:tr>
        <w:trPr>
          <w:cantSplit/>
        </w:trPr>
        <w:tc>
          <w:tcPr>
            <w:tcW w:type="dxa" w:w="1750"/>
            <w:shd w:fill="080806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 xml:space="preserve"> </w:t>
            </w:r>
          </w:p>
        </w:tc>
        <w:tc>
          <w:tcPr>
            <w:tcW w:type="dxa" w:w="24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/>
                <w:i w:val="0"/>
                <w:color w:val="202024"/>
                <w:sz w:val="18"/>
              </w:rPr>
              <w:t>#080806 · Near Black</w:t>
            </w:r>
          </w:p>
        </w:tc>
        <w:tc>
          <w:tcPr>
            <w:tcW w:type="dxa" w:w="52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全站主背景、深色章节、页脚</w:t>
            </w:r>
          </w:p>
        </w:tc>
      </w:tr>
      <w:tr>
        <w:trPr>
          <w:cantSplit/>
        </w:trPr>
        <w:tc>
          <w:tcPr>
            <w:tcW w:type="dxa" w:w="1750"/>
            <w:shd w:fill="25F4EE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 xml:space="preserve"> </w:t>
            </w:r>
          </w:p>
        </w:tc>
        <w:tc>
          <w:tcPr>
            <w:tcW w:type="dxa" w:w="24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/>
                <w:i w:val="0"/>
                <w:color w:val="202024"/>
                <w:sz w:val="18"/>
              </w:rPr>
              <w:t>#25F4EE · TikTok Cyan</w:t>
            </w:r>
          </w:p>
        </w:tc>
        <w:tc>
          <w:tcPr>
            <w:tcW w:type="dxa" w:w="52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主 CTA、选中态、关键流程与正向证据</w:t>
            </w:r>
          </w:p>
        </w:tc>
      </w:tr>
      <w:tr>
        <w:trPr>
          <w:cantSplit/>
        </w:trPr>
        <w:tc>
          <w:tcPr>
            <w:tcW w:type="dxa" w:w="1750"/>
            <w:shd w:fill="FE2C55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 xml:space="preserve"> </w:t>
            </w:r>
          </w:p>
        </w:tc>
        <w:tc>
          <w:tcPr>
            <w:tcW w:type="dxa" w:w="24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/>
                <w:i w:val="0"/>
                <w:color w:val="202024"/>
                <w:sz w:val="18"/>
              </w:rPr>
              <w:t>#FE2C55 · TikTok Magenta</w:t>
            </w:r>
          </w:p>
        </w:tc>
        <w:tc>
          <w:tcPr>
            <w:tcW w:type="dxa" w:w="52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风险、对照、限制、扫描与局部转折</w:t>
            </w:r>
          </w:p>
        </w:tc>
      </w:tr>
      <w:tr>
        <w:trPr>
          <w:cantSplit/>
        </w:trPr>
        <w:tc>
          <w:tcPr>
            <w:tcW w:type="dxa" w:w="1750"/>
            <w:shd w:fill="70D0D8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 xml:space="preserve"> </w:t>
            </w:r>
          </w:p>
        </w:tc>
        <w:tc>
          <w:tcPr>
            <w:tcW w:type="dxa" w:w="24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/>
                <w:i w:val="0"/>
                <w:color w:val="202024"/>
                <w:sz w:val="18"/>
              </w:rPr>
              <w:t>#70D0D8 · Soft Cyan</w:t>
            </w:r>
          </w:p>
        </w:tc>
        <w:tc>
          <w:tcPr>
            <w:tcW w:type="dxa" w:w="52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章节面、大面积信息块、次级标题</w:t>
            </w:r>
          </w:p>
        </w:tc>
      </w:tr>
      <w:tr>
        <w:trPr>
          <w:cantSplit/>
        </w:trPr>
        <w:tc>
          <w:tcPr>
            <w:tcW w:type="dxa" w:w="1750"/>
            <w:shd w:fill="F7F7F7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 xml:space="preserve"> </w:t>
            </w:r>
          </w:p>
        </w:tc>
        <w:tc>
          <w:tcPr>
            <w:tcW w:type="dxa" w:w="24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/>
                <w:i w:val="0"/>
                <w:color w:val="202024"/>
                <w:sz w:val="18"/>
              </w:rPr>
              <w:t>#F7F7F7 · Off White</w:t>
            </w:r>
          </w:p>
        </w:tc>
        <w:tc>
          <w:tcPr>
            <w:tcW w:type="dxa" w:w="52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深色背景主文本</w:t>
            </w:r>
          </w:p>
        </w:tc>
      </w:tr>
      <w:tr>
        <w:trPr>
          <w:cantSplit/>
        </w:trPr>
        <w:tc>
          <w:tcPr>
            <w:tcW w:type="dxa" w:w="1750"/>
            <w:shd w:fill="A8ADB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 xml:space="preserve"> </w:t>
            </w:r>
          </w:p>
        </w:tc>
        <w:tc>
          <w:tcPr>
            <w:tcW w:type="dxa" w:w="24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/>
                <w:i w:val="0"/>
                <w:color w:val="202024"/>
                <w:sz w:val="18"/>
              </w:rPr>
              <w:t>#A8ADB3 · Muted Gray</w:t>
            </w:r>
          </w:p>
        </w:tc>
        <w:tc>
          <w:tcPr>
            <w:tcW w:type="dxa" w:w="52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说明文字、标签、坐标与脚注</w:t>
            </w:r>
          </w:p>
        </w:tc>
      </w:tr>
      <w:tr>
        <w:trPr>
          <w:cantSplit/>
        </w:trPr>
        <w:tc>
          <w:tcPr>
            <w:tcW w:type="dxa" w:w="1750"/>
            <w:shd w:fill="242428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 xml:space="preserve"> </w:t>
            </w:r>
          </w:p>
        </w:tc>
        <w:tc>
          <w:tcPr>
            <w:tcW w:type="dxa" w:w="24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/>
                <w:i w:val="0"/>
                <w:color w:val="202024"/>
                <w:sz w:val="18"/>
              </w:rPr>
              <w:t>#242428 · Divider</w:t>
            </w:r>
          </w:p>
        </w:tc>
        <w:tc>
          <w:tcPr>
            <w:tcW w:type="dxa" w:w="52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分隔线、深色卡片边框与图表网格</w:t>
            </w:r>
          </w:p>
        </w:tc>
      </w:tr>
    </w:tbl>
    <w:p>
      <w:pPr>
        <w:pStyle w:val="Heading2"/>
      </w:pPr>
      <w:r>
        <w:rPr>
          <w:rFonts w:ascii="STHeiti" w:hAnsi="STHeiti" w:eastAsia="STHeiti" w:cs="STHeiti"/>
        </w:rPr>
        <w:t>6.1 排版与组件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字体：Arial / PingFang SC 回退；标题使用粗体无衬线，数据使用大字号高对比。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标题：采用结果导向句式；青色承载主结论，白色承载上下文。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双线标识：短洋红线 + 青线作为章节起始、卡片顶边或流程重点。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卡片：仅用于确有分组意义的结果、错误和专家分支；深灰 #151517 / #202024。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图表：普通柱为青色，限制/最差项用洋红；坐标线使用 #242428。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动画：扫描、柱体与状态变化控制在 200–900 ms；尊重 prefers-reduced-motion。</w:t>
      </w:r>
    </w:p>
    <w:p>
      <w:r>
        <w:rPr>
          <w:rFonts w:ascii="STHeiti" w:hAnsi="STHeiti" w:eastAsia="STHeiti" w:cs="STHeiti"/>
        </w:rPr>
      </w:r>
    </w:p>
    <w:p>
      <w:pPr>
        <w:spacing w:before="160" w:after="60"/>
      </w:pPr>
      <w:r>
        <w:rPr>
          <w:rFonts w:ascii="STHeiti" w:hAnsi="STHeiti" w:eastAsia="STHeiti" w:cs="STHeiti"/>
          <w:b/>
          <w:i w:val="0"/>
          <w:color w:val="FE2C55"/>
          <w:sz w:val="17"/>
        </w:rPr>
        <w:t>07 / ENGINEERING</w:t>
      </w:r>
    </w:p>
    <w:p>
      <w:pPr>
        <w:pStyle w:val="Heading1"/>
        <w:pBdr>
          <w:bottom w:val="single" w:sz="12" w:space="6" w:color="25F4EE"/>
        </w:pBdr>
      </w:pPr>
      <w:r>
        <w:rPr>
          <w:rFonts w:ascii="STHeiti" w:hAnsi="STHeiti" w:eastAsia="STHeiti" w:cs="STHeiti"/>
        </w:rPr>
        <w:t>7. 技术架构与接口契约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000"/>
        <w:gridCol w:w="4660"/>
      </w:tblGrid>
      <w:tr>
        <w:trPr>
          <w:tblHeader w:val="true"/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8"/>
              </w:rPr>
              <w:t>层级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8"/>
              </w:rPr>
              <w:t>技术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7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视图层</w:t>
            </w:r>
          </w:p>
        </w:tc>
        <w:tc>
          <w:tcPr>
            <w:tcW w:type="dxa" w:w="30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React 19 + TypeScript</w:t>
            </w:r>
          </w:p>
        </w:tc>
        <w:tc>
          <w:tcPr>
            <w:tcW w:type="dxa" w:w="466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组件状态、上传预览、贡献 Tab、图表交互</w:t>
            </w:r>
          </w:p>
        </w:tc>
      </w:tr>
      <w:tr>
        <w:trPr>
          <w:cantSplit/>
        </w:trPr>
        <w:tc>
          <w:tcPr>
            <w:tcW w:type="dxa" w:w="17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应用框架</w:t>
            </w:r>
          </w:p>
        </w:tc>
        <w:tc>
          <w:tcPr>
            <w:tcW w:type="dxa" w:w="30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Next.js App Router 兼容 API</w:t>
            </w:r>
          </w:p>
        </w:tc>
        <w:tc>
          <w:tcPr>
            <w:tcW w:type="dxa" w:w="466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页面结构、元信息与资源组织</w:t>
            </w:r>
          </w:p>
        </w:tc>
      </w:tr>
      <w:tr>
        <w:trPr>
          <w:cantSplit/>
        </w:trPr>
        <w:tc>
          <w:tcPr>
            <w:tcW w:type="dxa" w:w="17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构建运行时</w:t>
            </w:r>
          </w:p>
        </w:tc>
        <w:tc>
          <w:tcPr>
            <w:tcW w:type="dxa" w:w="30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Vinext + Vite 8</w:t>
            </w:r>
          </w:p>
        </w:tc>
        <w:tc>
          <w:tcPr>
            <w:tcW w:type="dxa" w:w="466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快速构建与 Cloudflare Worker 兼容输出</w:t>
            </w:r>
          </w:p>
        </w:tc>
      </w:tr>
      <w:tr>
        <w:trPr>
          <w:cantSplit/>
        </w:trPr>
        <w:tc>
          <w:tcPr>
            <w:tcW w:type="dxa" w:w="17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样式</w:t>
            </w:r>
          </w:p>
        </w:tc>
        <w:tc>
          <w:tcPr>
            <w:tcW w:type="dxa" w:w="30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Tailwind CSS 4 + 手写 CSS</w:t>
            </w:r>
          </w:p>
        </w:tc>
        <w:tc>
          <w:tcPr>
            <w:tcW w:type="dxa" w:w="466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TikTok 官网风格、响应式与动效</w:t>
            </w:r>
          </w:p>
        </w:tc>
      </w:tr>
      <w:tr>
        <w:trPr>
          <w:cantSplit/>
        </w:trPr>
        <w:tc>
          <w:tcPr>
            <w:tcW w:type="dxa" w:w="17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部署</w:t>
            </w:r>
          </w:p>
        </w:tc>
        <w:tc>
          <w:tcPr>
            <w:tcW w:type="dxa" w:w="30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OpenAI Sites + Cloudflare</w:t>
            </w:r>
          </w:p>
        </w:tc>
        <w:tc>
          <w:tcPr>
            <w:tcW w:type="dxa" w:w="466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版本管理与生产运行</w:t>
            </w:r>
          </w:p>
        </w:tc>
      </w:tr>
      <w:tr>
        <w:trPr>
          <w:cantSplit/>
        </w:trPr>
        <w:tc>
          <w:tcPr>
            <w:tcW w:type="dxa" w:w="17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当前数据</w:t>
            </w:r>
          </w:p>
        </w:tc>
        <w:tc>
          <w:tcPr>
            <w:tcW w:type="dxa" w:w="30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前端常量 + Canvas + Object URL</w:t>
            </w:r>
          </w:p>
        </w:tc>
        <w:tc>
          <w:tcPr>
            <w:tcW w:type="dxa" w:w="466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16 条件数据、本地变换与贡献原型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THeiti" w:hAnsi="STHeiti" w:eastAsia="STHeiti" w:cs="STHeiti"/>
        </w:rPr>
        <w:t>7.1 推荐推理 API</w:t>
      </w:r>
    </w:p>
    <w:p>
      <w:r>
        <w:rPr>
          <w:rFonts w:ascii="STHeiti" w:hAnsi="STHeiti" w:eastAsia="STHeiti" w:cs="STHeiti"/>
          <w:b/>
          <w:i w:val="0"/>
          <w:color w:val="FE2C55"/>
          <w:sz w:val="22"/>
        </w:rPr>
        <w:t>POST /api/v1/detect</w:t>
      </w:r>
      <w:r>
        <w:rPr>
          <w:rFonts w:ascii="STHeiti" w:hAnsi="STHeiti" w:eastAsia="STHeiti" w:cs="STHeiti"/>
          <w:b w:val="0"/>
          <w:i w:val="0"/>
          <w:color w:val="202024"/>
          <w:sz w:val="20"/>
        </w:rPr>
        <w:t xml:space="preserve">  ·  multipart/form-data  ·  字段 image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00"/>
        <w:gridCol w:w="2600"/>
        <w:gridCol w:w="3660"/>
      </w:tblGrid>
      <w:tr>
        <w:trPr>
          <w:tblHeader w:val="true"/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70D0D8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080806"/>
                <w:sz w:val="17"/>
              </w:rPr>
              <w:t>字段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70D0D8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080806"/>
                <w:sz w:val="17"/>
              </w:rPr>
              <w:t>类型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70D0D8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08080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1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7"/>
              </w:rPr>
              <w:t>pred</w:t>
            </w:r>
          </w:p>
        </w:tc>
        <w:tc>
          <w:tcPr>
            <w:tcW w:type="dxa" w:w="26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number 0–1</w:t>
            </w:r>
          </w:p>
        </w:tc>
        <w:tc>
          <w:tcPr>
            <w:tcW w:type="dxa" w:w="366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AIGC 概率/置信度</w:t>
            </w:r>
          </w:p>
        </w:tc>
      </w:tr>
      <w:tr>
        <w:trPr>
          <w:cantSplit/>
        </w:trPr>
        <w:tc>
          <w:tcPr>
            <w:tcW w:type="dxa" w:w="31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7"/>
              </w:rPr>
              <w:t>label</w:t>
            </w:r>
          </w:p>
        </w:tc>
        <w:tc>
          <w:tcPr>
            <w:tcW w:type="dxa" w:w="26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ai_generated | authentic | uncertain</w:t>
            </w:r>
          </w:p>
        </w:tc>
        <w:tc>
          <w:tcPr>
            <w:tcW w:type="dxa" w:w="366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校准后的可读结论</w:t>
            </w:r>
          </w:p>
        </w:tc>
      </w:tr>
      <w:tr>
        <w:trPr>
          <w:cantSplit/>
        </w:trPr>
        <w:tc>
          <w:tcPr>
            <w:tcW w:type="dxa" w:w="31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7"/>
              </w:rPr>
              <w:t>signals.frequency_artifacts</w:t>
            </w:r>
          </w:p>
        </w:tc>
        <w:tc>
          <w:tcPr>
            <w:tcW w:type="dxa" w:w="26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low | medium | high</w:t>
            </w:r>
          </w:p>
        </w:tc>
        <w:tc>
          <w:tcPr>
            <w:tcW w:type="dxa" w:w="366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频率证据强度</w:t>
            </w:r>
          </w:p>
        </w:tc>
      </w:tr>
      <w:tr>
        <w:trPr>
          <w:cantSplit/>
        </w:trPr>
        <w:tc>
          <w:tcPr>
            <w:tcW w:type="dxa" w:w="31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7"/>
              </w:rPr>
              <w:t>signals.semantic_consistency</w:t>
            </w:r>
          </w:p>
        </w:tc>
        <w:tc>
          <w:tcPr>
            <w:tcW w:type="dxa" w:w="26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low | medium | high</w:t>
            </w:r>
          </w:p>
        </w:tc>
        <w:tc>
          <w:tcPr>
            <w:tcW w:type="dxa" w:w="366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语义一致性</w:t>
            </w:r>
          </w:p>
        </w:tc>
      </w:tr>
      <w:tr>
        <w:trPr>
          <w:cantSplit/>
        </w:trPr>
        <w:tc>
          <w:tcPr>
            <w:tcW w:type="dxa" w:w="31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7"/>
              </w:rPr>
              <w:t>signals.transformation_resilience</w:t>
            </w:r>
          </w:p>
        </w:tc>
        <w:tc>
          <w:tcPr>
            <w:tcW w:type="dxa" w:w="26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pass | warn</w:t>
            </w:r>
          </w:p>
        </w:tc>
        <w:tc>
          <w:tcPr>
            <w:tcW w:type="dxa" w:w="366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变换鲁棒性提示</w:t>
            </w:r>
          </w:p>
        </w:tc>
      </w:tr>
      <w:tr>
        <w:trPr>
          <w:cantSplit/>
        </w:trPr>
        <w:tc>
          <w:tcPr>
            <w:tcW w:type="dxa" w:w="31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7"/>
              </w:rPr>
              <w:t>model_version</w:t>
            </w:r>
          </w:p>
        </w:tc>
        <w:tc>
          <w:tcPr>
            <w:tcW w:type="dxa" w:w="26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string</w:t>
            </w:r>
          </w:p>
        </w:tc>
        <w:tc>
          <w:tcPr>
            <w:tcW w:type="dxa" w:w="366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审计和复现所需版本</w:t>
            </w:r>
          </w:p>
        </w:tc>
      </w:tr>
      <w:tr>
        <w:trPr>
          <w:cantSplit/>
        </w:trPr>
        <w:tc>
          <w:tcPr>
            <w:tcW w:type="dxa" w:w="31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7"/>
              </w:rPr>
              <w:t>latency_ms</w:t>
            </w:r>
          </w:p>
        </w:tc>
        <w:tc>
          <w:tcPr>
            <w:tcW w:type="dxa" w:w="26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integer</w:t>
            </w:r>
          </w:p>
        </w:tc>
        <w:tc>
          <w:tcPr>
            <w:tcW w:type="dxa" w:w="366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7"/>
              </w:rPr>
              <w:t>端到端推理延迟</w:t>
            </w:r>
          </w:p>
        </w:tc>
      </w:tr>
    </w:tbl>
    <w:p>
      <w:pPr>
        <w:spacing w:after="0"/>
      </w:pPr>
    </w:p>
    <w:p>
      <w:pPr>
        <w:spacing w:before="120" w:after="200"/>
        <w:ind w:left="173" w:right="115" w:firstLine="0"/>
        <w:shd w:fill="E7ECEC"/>
        <w:pBdr>
          <w:left w:val="single" w:sz="28" w:color="FE2C55" w:space="8"/>
        </w:pBdr>
      </w:pPr>
      <w:r>
        <w:rPr>
          <w:rFonts w:ascii="STHeiti" w:hAnsi="STHeiti" w:eastAsia="STHeiti" w:cs="STHeiti"/>
          <w:b/>
          <w:i w:val="0"/>
          <w:color w:val="FE2C55"/>
          <w:sz w:val="18"/>
        </w:rPr>
        <w:t xml:space="preserve">关键原则  </w:t>
      </w:r>
      <w:r>
        <w:rPr>
          <w:rFonts w:ascii="STHeiti" w:hAnsi="STHeiti" w:eastAsia="STHeiti" w:cs="STHeiti"/>
          <w:b/>
          <w:i w:val="0"/>
          <w:color w:val="080806"/>
          <w:sz w:val="21"/>
        </w:rPr>
        <w:t>服务端返回 uncertain 是正式结果，不是错误。前端必须支持拒判/人工复核，不得把所有概率强制渲染为确定结论。</w:t>
      </w:r>
    </w:p>
    <w:p>
      <w:r>
        <w:rPr>
          <w:rFonts w:ascii="STHeiti" w:hAnsi="STHeiti" w:eastAsia="STHeiti" w:cs="STHeiti"/>
        </w:rPr>
      </w:r>
    </w:p>
    <w:p>
      <w:pPr>
        <w:spacing w:before="160" w:after="60"/>
      </w:pPr>
      <w:r>
        <w:rPr>
          <w:rFonts w:ascii="STHeiti" w:hAnsi="STHeiti" w:eastAsia="STHeiti" w:cs="STHeiti"/>
          <w:b/>
          <w:i w:val="0"/>
          <w:color w:val="FE2C55"/>
          <w:sz w:val="17"/>
        </w:rPr>
        <w:t>08 / QUALITY</w:t>
      </w:r>
    </w:p>
    <w:p>
      <w:pPr>
        <w:pStyle w:val="Heading1"/>
        <w:pBdr>
          <w:bottom w:val="single" w:sz="12" w:space="6" w:color="25F4EE"/>
        </w:pBdr>
      </w:pPr>
      <w:r>
        <w:rPr>
          <w:rFonts w:ascii="STHeiti" w:hAnsi="STHeiti" w:eastAsia="STHeiti" w:cs="STHeiti"/>
        </w:rPr>
        <w:t>8. 非功能需求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8"/>
              </w:rPr>
              <w:t>维度</w:t>
            </w:r>
          </w:p>
        </w:tc>
        <w:tc>
          <w:tcPr>
            <w:tcW w:type="dxa" w:w="7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0806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F7F7F7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7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性能</w:t>
            </w:r>
          </w:p>
        </w:tc>
        <w:tc>
          <w:tcPr>
            <w:tcW w:type="dxa" w:w="76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首屏交互响应 &lt;100 ms；Canvas 切换目标 &lt;1 s；真实推理目标 &lt;3 s。</w:t>
            </w:r>
          </w:p>
        </w:tc>
      </w:tr>
      <w:tr>
        <w:trPr>
          <w:cantSplit/>
        </w:trPr>
        <w:tc>
          <w:tcPr>
            <w:tcW w:type="dxa" w:w="17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响应式</w:t>
            </w:r>
          </w:p>
        </w:tc>
        <w:tc>
          <w:tcPr>
            <w:tcW w:type="dxa" w:w="761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≥1200 px 双栏；768–1199 px 自适应；≤560 px 触控优先。</w:t>
            </w:r>
          </w:p>
        </w:tc>
      </w:tr>
      <w:tr>
        <w:trPr>
          <w:cantSplit/>
        </w:trPr>
        <w:tc>
          <w:tcPr>
            <w:tcW w:type="dxa" w:w="17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无障碍</w:t>
            </w:r>
          </w:p>
        </w:tc>
        <w:tc>
          <w:tcPr>
            <w:tcW w:type="dxa" w:w="76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键盘可操作上传、Tab 与图表；aria-live；可见焦点；reduced-motion。</w:t>
            </w:r>
          </w:p>
        </w:tc>
      </w:tr>
      <w:tr>
        <w:trPr>
          <w:cantSplit/>
        </w:trPr>
        <w:tc>
          <w:tcPr>
            <w:tcW w:type="dxa" w:w="17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兼容性</w:t>
            </w:r>
          </w:p>
        </w:tc>
        <w:tc>
          <w:tcPr>
            <w:tcW w:type="dxa" w:w="761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Chrome、Edge、Safari 当前稳定版；iOS Safari 与 Android Chrome。</w:t>
            </w:r>
          </w:p>
        </w:tc>
      </w:tr>
      <w:tr>
        <w:trPr>
          <w:cantSplit/>
        </w:trPr>
        <w:tc>
          <w:tcPr>
            <w:tcW w:type="dxa" w:w="17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安全</w:t>
            </w:r>
          </w:p>
        </w:tc>
        <w:tc>
          <w:tcPr>
            <w:tcW w:type="dxa" w:w="76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限制 MIME、扩展名和 12 MB 大小；未来后端隔离解码并设置超时。</w:t>
            </w:r>
          </w:p>
        </w:tc>
      </w:tr>
      <w:tr>
        <w:trPr>
          <w:cantSplit/>
        </w:trPr>
        <w:tc>
          <w:tcPr>
            <w:tcW w:type="dxa" w:w="17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隐私</w:t>
            </w:r>
          </w:p>
        </w:tc>
        <w:tc>
          <w:tcPr>
            <w:tcW w:type="dxa" w:w="761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原型不上传图片；生产环境明确处理位置、保留时间和删除机制。</w:t>
            </w:r>
          </w:p>
        </w:tc>
      </w:tr>
      <w:tr>
        <w:trPr>
          <w:cantSplit/>
        </w:trPr>
        <w:tc>
          <w:tcPr>
            <w:tcW w:type="dxa" w:w="175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可观测性</w:t>
            </w:r>
          </w:p>
        </w:tc>
        <w:tc>
          <w:tcPr>
            <w:tcW w:type="dxa" w:w="761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未来记录请求 ID、模型版本、延迟和错误类别，不记录原图。</w:t>
            </w:r>
          </w:p>
        </w:tc>
      </w:tr>
      <w:tr>
        <w:trPr>
          <w:cantSplit/>
        </w:trPr>
        <w:tc>
          <w:tcPr>
            <w:tcW w:type="dxa" w:w="175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可复现性</w:t>
            </w:r>
          </w:p>
        </w:tc>
        <w:tc>
          <w:tcPr>
            <w:tcW w:type="dxa" w:w="761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16 条件、贡献视图标签与报告一致；演示数据明确标注。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STHeiti" w:hAnsi="STHeiti" w:eastAsia="STHeiti" w:cs="STHeiti"/>
          <w:b/>
          <w:i w:val="0"/>
          <w:color w:val="FE2C55"/>
          <w:sz w:val="17"/>
        </w:rPr>
        <w:t>09 / ACCEPTANCE</w:t>
      </w:r>
    </w:p>
    <w:p>
      <w:pPr>
        <w:pStyle w:val="Heading1"/>
        <w:pBdr>
          <w:bottom w:val="single" w:sz="12" w:space="6" w:color="25F4EE"/>
        </w:pBdr>
      </w:pPr>
      <w:r>
        <w:rPr>
          <w:rFonts w:ascii="STHeiti" w:hAnsi="STHeiti" w:eastAsia="STHeiti" w:cs="STHeiti"/>
        </w:rPr>
        <w:t>9. 验收清单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首屏、全部章节和移动端均使用 PPT 指定的 7 个颜色令牌。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导航、本地上传、16 个变换、Local patches / Multi-scale fusion 两类贡献视图、轨迹点和分支贡献均可操作。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页面明确说明图像处理在浏览器本地执行；未接后端时，分数与贡献可视化均标注为演示数据。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16 条件名称与参数严格覆盖 JPEG、Blur、Resize、Noise、Color Jitter 和 Center Crop 六类比赛变换。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键盘、触控、焦点、aria-label/aria-live 和 reduced-motion 行为通过检查。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构建成功，无 TypeScript/运行时阻塞错误；生产地址可访问。</w:t>
      </w:r>
    </w:p>
    <w:p>
      <w:pPr>
        <w:numPr>
          <w:ilvl w:val="0"/>
          <w:numId w:val="10"/>
        </w:numPr>
      </w:pPr>
      <w:r>
        <w:rPr>
          <w:rFonts w:ascii="STHeiti" w:hAnsi="STHeiti" w:eastAsia="STHeiti" w:cs="STHeiti"/>
          <w:b w:val="0"/>
          <w:i w:val="0"/>
          <w:color w:val="202024"/>
          <w:sz w:val="21"/>
        </w:rPr>
        <w:t>接入后端后，错误、超时、低置信度和 uncertain 状态均有明确 UI。</w:t>
      </w:r>
    </w:p>
    <w:p>
      <w:pPr>
        <w:spacing w:before="160" w:after="60"/>
      </w:pPr>
      <w:r>
        <w:rPr>
          <w:rFonts w:ascii="STHeiti" w:hAnsi="STHeiti" w:eastAsia="STHeiti" w:cs="STHeiti"/>
          <w:b/>
          <w:i w:val="0"/>
          <w:color w:val="FE2C55"/>
          <w:sz w:val="17"/>
        </w:rPr>
        <w:t>10 / ROADMAP</w:t>
      </w:r>
    </w:p>
    <w:p>
      <w:pPr>
        <w:pStyle w:val="Heading1"/>
        <w:pBdr>
          <w:bottom w:val="single" w:sz="12" w:space="6" w:color="25F4EE"/>
        </w:pBdr>
      </w:pPr>
      <w:r>
        <w:rPr>
          <w:rFonts w:ascii="STHeiti" w:hAnsi="STHeiti" w:eastAsia="STHeiti" w:cs="STHeiti"/>
        </w:rPr>
        <w:t>10. 迭代路线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70D0D8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080806"/>
                <w:sz w:val="18"/>
              </w:rPr>
              <w:t>阶段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70D0D8"/>
            <w:tcBorders>
              <w:top w:val="single" w:sz="6" w:color="080806"/>
              <w:left w:val="single" w:sz="6" w:color="080806"/>
              <w:bottom w:val="single" w:sz="6" w:color="080806"/>
              <w:right w:val="single" w:sz="6" w:color="080806"/>
              <w:insideH w:val="single" w:sz="6" w:color="080806"/>
              <w:insideV w:val="single" w:sz="6" w:color="080806"/>
            </w:tcBorders>
          </w:tcPr>
          <w:p>
            <w:pPr>
              <w:spacing w:after="0"/>
            </w:pPr>
            <w:r>
              <w:rPr>
                <w:rFonts w:ascii="STHeiti" w:hAnsi="STHeiti" w:eastAsia="STHeiti" w:cs="STHeiti"/>
                <w:b/>
                <w:i w:val="0"/>
                <w:color w:val="080806"/>
                <w:sz w:val="18"/>
              </w:rPr>
              <w:t>交付重点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M0 · 已完成</w:t>
            </w:r>
          </w:p>
        </w:tc>
        <w:tc>
          <w:tcPr>
            <w:tcW w:type="dxa" w:w="726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TikTok 官网化视觉、本地上传、16 变换、双贡献视图、轨迹与分支图</w:t>
            </w:r>
          </w:p>
        </w:tc>
      </w:tr>
      <w:tr>
        <w:trPr>
          <w:cantSplit/>
        </w:trPr>
        <w:tc>
          <w:tcPr>
            <w:tcW w:type="dxa" w:w="21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M1 · 模型接入</w:t>
            </w:r>
          </w:p>
        </w:tc>
        <w:tc>
          <w:tcPr>
            <w:tcW w:type="dxa" w:w="726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真实 /detect 接口、真实 attribution 输出、错误与拒判、延迟显示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M2 · 证据校准</w:t>
            </w:r>
          </w:p>
        </w:tc>
        <w:tc>
          <w:tcPr>
            <w:tcW w:type="dxa" w:w="7260"/>
            <w:shd w:fill="FFFFFF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贡献稳定性验证、跨生成器校准、OOD abstention</w:t>
            </w:r>
          </w:p>
        </w:tc>
      </w:tr>
      <w:tr>
        <w:trPr>
          <w:cantSplit/>
        </w:trPr>
        <w:tc>
          <w:tcPr>
            <w:tcW w:type="dxa" w:w="210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/>
                <w:i w:val="0"/>
                <w:color w:val="FE2C55"/>
                <w:sz w:val="18"/>
              </w:rPr>
              <w:t>M3 · 比赛演示</w:t>
            </w:r>
          </w:p>
        </w:tc>
        <w:tc>
          <w:tcPr>
            <w:tcW w:type="dxa" w:w="7260"/>
            <w:shd w:fill="F1F3F3"/>
            <w:tcBorders>
              <w:top w:val="single" w:sz="6" w:color="D9DDDE"/>
              <w:left w:val="single" w:sz="6" w:color="D9DDDE"/>
              <w:bottom w:val="single" w:sz="6" w:color="D9DDDE"/>
              <w:right w:val="single" w:sz="6" w:color="D9DDDE"/>
              <w:insideH w:val="single" w:sz="6" w:color="D9DDDE"/>
              <w:insideV w:val="single" w:sz="6" w:color="D9DDDE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THeiti" w:hAnsi="STHeiti" w:eastAsia="STHeiti" w:cs="STHeiti"/>
                <w:b w:val="0"/>
                <w:i w:val="0"/>
                <w:color w:val="202024"/>
                <w:sz w:val="18"/>
              </w:rPr>
              <w:t>锁定样例、离线降级、演示脚本、录屏和审计导出</w:t>
            </w:r>
          </w:p>
        </w:tc>
      </w:tr>
    </w:tbl>
    <w:p>
      <w:pPr>
        <w:spacing w:after="0"/>
      </w:pPr>
    </w:p>
    <w:p>
      <w:pPr>
        <w:spacing w:before="120" w:after="200"/>
        <w:ind w:left="173" w:right="115" w:firstLine="0"/>
        <w:shd w:fill="D5FAF8"/>
        <w:pBdr>
          <w:left w:val="single" w:sz="28" w:color="25F4EE" w:space="8"/>
        </w:pBdr>
      </w:pPr>
      <w:r>
        <w:rPr>
          <w:rFonts w:ascii="STHeiti" w:hAnsi="STHeiti" w:eastAsia="STHeiti" w:cs="STHeiti"/>
          <w:b/>
          <w:i w:val="0"/>
          <w:color w:val="25F4EE"/>
          <w:sz w:val="18"/>
        </w:rPr>
        <w:t>完成定义  评委能在 30 秒理解价值、3 分钟完成上传与压力切换、追问时直接查看贡献图和测试契约；演示者无需解释界面操作。</w:t>
      </w:r>
      <w:r>
        <w:rPr>
          <w:rFonts w:ascii="STHeiti" w:hAnsi="STHeiti" w:eastAsia="STHeiti" w:cs="STHeiti"/>
          <w:b/>
          <w:i w:val="0"/>
          <w:color w:val="080806"/>
          <w:sz w:val="21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81" w:bottom="1080" w:left="1181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THeiti" w:hAnsi="STHeiti" w:eastAsia="STHeiti" w:cs="STHeiti"/>
        <w:b w:val="0"/>
        <w:i w:val="0"/>
        <w:color w:val="A8ADB3"/>
        <w:sz w:val="16"/>
      </w:rPr>
      <w:t xml:space="preserve">404 Brain Not Found  ·  TikTok TechJam 2026  ·  </w:t>
    </w:r>
    <w:r>
      <w:rPr>
        <w:rFonts w:ascii="STHeiti" w:hAnsi="STHeiti" w:eastAsia="STHeiti" w:cs="STHeiti"/>
        <w:b w:val="0"/>
        <w:i w:val="0"/>
        <w:color w:val="A8ADB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THeiti" w:hAnsi="STHeiti" w:eastAsia="STHeiti" w:cs="STHeiti"/>
        <w:b/>
        <w:i w:val="0"/>
        <w:color w:val="25F4EE"/>
        <w:sz w:val="17"/>
      </w:rPr>
      <w:t>RobustFusion  /  FRONTEND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  <w:spacing w:after="80" w:line="300" w:lineRule="auto"/>
      </w:pPr>
      <w:rPr>
        <w:color w:val="25F4EE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Noto Sans SC" w:hAnsi="Noto Sans SC" w:eastAsia="Noto Sans SC"/>
      <w:color w:val="2020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8080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8080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FE2C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08080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Noto Sans SC" w:hAnsi="Noto Sans SC" w:eastAsia="Noto Sans SC"/>
      <w:b/>
      <w:i/>
      <w:iCs/>
      <w:color w:val="A8ADB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SC" w:hAnsi="Noto Sans SC" w:eastAsia="Noto Sans SC"/>
      <w:b/>
      <w:bCs/>
      <w:color w:val="A8ADB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RobustFusion 前端需求分析报告（最终版）</dc:title>
  <dc:subject>TikTok TechJam 2026 Track 5 最终前端交付规格</dc:subject>
  <dc:creator>404 Brain Not Found</dc:creator>
  <cp:keywords>TRUEPIX, TechJam, AIGC detection, frontend requirements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