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5755B741" w:rsidR="005B7233" w:rsidRPr="00AC77B7" w:rsidRDefault="00AC77B7" w:rsidP="00AC77B7">
      <w:pPr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7B7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5B7233" w:rsidRPr="00AC77B7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1EED24EE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 xml:space="preserve"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свойства транспортной системы </w:t>
      </w:r>
      <w:r w:rsidR="00810421" w:rsidRPr="00810421">
        <w:rPr>
          <w:rFonts w:ascii="Times New Roman" w:hAnsi="Times New Roman" w:cs="Times New Roman"/>
          <w:sz w:val="28"/>
          <w:szCs w:val="28"/>
          <w:highlight w:val="green"/>
        </w:rPr>
        <w:t>и её надёжность</w:t>
      </w:r>
      <w:r w:rsidR="00810421">
        <w:rPr>
          <w:rFonts w:ascii="Times New Roman" w:hAnsi="Times New Roman" w:cs="Times New Roman"/>
          <w:sz w:val="28"/>
          <w:szCs w:val="28"/>
        </w:rPr>
        <w:t xml:space="preserve"> </w:t>
      </w:r>
      <w:r w:rsidRPr="00CC2ACB">
        <w:rPr>
          <w:rFonts w:ascii="Times New Roman" w:hAnsi="Times New Roman" w:cs="Times New Roman"/>
          <w:sz w:val="28"/>
          <w:szCs w:val="28"/>
        </w:rPr>
        <w:t xml:space="preserve">в целом. В рассматриваемой постановке батарея трактуется как многомасштабная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электрохими</w:t>
      </w:r>
      <w:r w:rsidR="00810421">
        <w:rPr>
          <w:rFonts w:ascii="Times New Roman" w:hAnsi="Times New Roman" w:cs="Times New Roman"/>
          <w:sz w:val="28"/>
          <w:szCs w:val="28"/>
          <w:highlight w:val="yellow"/>
        </w:rPr>
        <w:t xml:space="preserve">ческая и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электротехническая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система</w:t>
      </w:r>
      <w:r w:rsidR="00810421">
        <w:rPr>
          <w:rFonts w:ascii="Times New Roman" w:hAnsi="Times New Roman" w:cs="Times New Roman"/>
          <w:sz w:val="28"/>
          <w:szCs w:val="28"/>
        </w:rPr>
        <w:t xml:space="preserve">, </w:t>
      </w:r>
      <w:r w:rsidR="00810421" w:rsidRPr="00210611">
        <w:rPr>
          <w:rFonts w:ascii="Times New Roman" w:hAnsi="Times New Roman" w:cs="Times New Roman"/>
          <w:sz w:val="28"/>
          <w:szCs w:val="28"/>
          <w:highlight w:val="green"/>
        </w:rPr>
        <w:t>а не сводится к простому эквивалентному источнику ЭДС с внутренним сопротивлением</w:t>
      </w:r>
      <w:r w:rsidR="00210611">
        <w:rPr>
          <w:rFonts w:ascii="Times New Roman" w:hAnsi="Times New Roman" w:cs="Times New Roman"/>
          <w:sz w:val="28"/>
          <w:szCs w:val="28"/>
        </w:rPr>
        <w:t>. Она</w:t>
      </w:r>
      <w:r w:rsidRPr="00CC2ACB">
        <w:rPr>
          <w:rFonts w:ascii="Times New Roman" w:hAnsi="Times New Roman" w:cs="Times New Roman"/>
          <w:sz w:val="28"/>
          <w:szCs w:val="28"/>
        </w:rPr>
        <w:t xml:space="preserve"> взаимодейству</w:t>
      </w:r>
      <w:r w:rsidR="00210611">
        <w:rPr>
          <w:rFonts w:ascii="Times New Roman" w:hAnsi="Times New Roman" w:cs="Times New Roman"/>
          <w:sz w:val="28"/>
          <w:szCs w:val="28"/>
        </w:rPr>
        <w:t>ет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деградационное состояние. В общем виде напряжение батареи в динамическом режиме может быть представлено как</w:t>
      </w:r>
    </w:p>
    <w:p w14:paraId="36ABD8CD" w14:textId="77777777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CF9E50" w14:textId="18C6C893" w:rsidR="0072749C" w:rsidRP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6FD2">
        <w:rPr>
          <w:rFonts w:ascii="Times New Roman" w:hAnsi="Times New Roman" w:cs="Times New Roman"/>
          <w:position w:val="-14"/>
          <w:sz w:val="28"/>
          <w:szCs w:val="28"/>
        </w:rPr>
        <w:object w:dxaOrig="5300" w:dyaOrig="400" w14:anchorId="51D087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4.9pt;height:20.4pt" o:ole="">
            <v:imagedata r:id="rId6" o:title=""/>
          </v:shape>
          <o:OLEObject Type="Embed" ProgID="Equation.DSMT4" ShapeID="_x0000_i1025" DrawAspect="Content" ObjectID="_1841992645" r:id="rId7"/>
        </w:object>
      </w:r>
    </w:p>
    <w:p w14:paraId="2C2EE9BF" w14:textId="34984919" w:rsidR="0072749C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68E604C" w14:textId="0C7F575B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>
        <w:rPr>
          <w:rFonts w:ascii="Times New Roman" w:hAnsi="Times New Roman" w:cs="Times New Roman"/>
          <w:sz w:val="28"/>
          <w:szCs w:val="28"/>
        </w:rPr>
        <w:t xml:space="preserve">, контактов и </w:t>
      </w:r>
      <w:r w:rsidR="00A719C0" w:rsidRPr="00A719C0">
        <w:rPr>
          <w:rFonts w:ascii="Times New Roman" w:hAnsi="Times New Roman" w:cs="Times New Roman"/>
          <w:sz w:val="28"/>
          <w:szCs w:val="28"/>
          <w:highlight w:val="yellow"/>
        </w:rPr>
        <w:t>электролита</w:t>
      </w:r>
      <w:r w:rsidR="00A719C0">
        <w:rPr>
          <w:rFonts w:ascii="Times New Roman" w:hAnsi="Times New Roman" w:cs="Times New Roman"/>
          <w:sz w:val="28"/>
          <w:szCs w:val="28"/>
        </w:rPr>
        <w:t>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 w:rsidRPr="00C75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p w14:paraId="72F639AF" w14:textId="77777777" w:rsidR="00D56314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E40118" w14:textId="52A9B14D" w:rsidR="00D56314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37B2">
        <w:rPr>
          <w:rFonts w:ascii="Times New Roman" w:hAnsi="Times New Roman" w:cs="Times New Roman"/>
          <w:position w:val="-30"/>
          <w:sz w:val="28"/>
          <w:szCs w:val="28"/>
        </w:rPr>
        <w:object w:dxaOrig="3159" w:dyaOrig="680" w14:anchorId="4128C517">
          <v:shape id="_x0000_i1026" type="#_x0000_t75" style="width:157.95pt;height:33.85pt" o:ole="">
            <v:imagedata r:id="rId8" o:title=""/>
          </v:shape>
          <o:OLEObject Type="Embed" ProgID="Equation.DSMT4" ShapeID="_x0000_i1026" DrawAspect="Content" ObjectID="_1841992646" r:id="rId9"/>
        </w:object>
      </w:r>
    </w:p>
    <w:p w14:paraId="52AB0A51" w14:textId="7777777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4EC669" w14:textId="1AD6D4A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DA41FCE" w14:textId="512AB75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2441CE6A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По этой причине в современных задачах надёжности и ресурсного сопровождения батарей одной </w:t>
      </w:r>
      <w:r w:rsidR="008A0B55" w:rsidRPr="008A0B55">
        <w:rPr>
          <w:rFonts w:ascii="Times New Roman" w:hAnsi="Times New Roman" w:cs="Times New Roman"/>
          <w:sz w:val="28"/>
          <w:szCs w:val="28"/>
        </w:rPr>
        <w:lastRenderedPageBreak/>
        <w:t>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0"/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,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и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commentRangeEnd w:id="0"/>
      <w:r w:rsidR="00DB5B26" w:rsidRPr="00EE12F0">
        <w:rPr>
          <w:rStyle w:val="ad"/>
          <w:rFonts w:ascii="Times New Roman" w:hAnsi="Times New Roman" w:cs="Times New Roman"/>
          <w:sz w:val="28"/>
          <w:szCs w:val="28"/>
        </w:rPr>
        <w:commentReference w:id="0"/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p w14:paraId="68374410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989E" w14:textId="7B0126D9" w:rsidR="00EE12F0" w:rsidRPr="00DB5B26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359" w:dyaOrig="360" w14:anchorId="1157D90C">
          <v:shape id="_x0000_i1027" type="#_x0000_t75" style="width:67.7pt;height:17.75pt" o:ole="">
            <v:imagedata r:id="rId14" o:title=""/>
          </v:shape>
          <o:OLEObject Type="Embed" ProgID="Equation.DSMT4" ShapeID="_x0000_i1027" DrawAspect="Content" ObjectID="_1841992647" r:id="rId15"/>
        </w:object>
      </w:r>
      <w:r w:rsidR="00DB5B26">
        <w:rPr>
          <w:rFonts w:ascii="Times New Roman" w:hAnsi="Times New Roman" w:cs="Times New Roman"/>
          <w:sz w:val="28"/>
          <w:szCs w:val="28"/>
        </w:rPr>
        <w:t>,</w:t>
      </w:r>
    </w:p>
    <w:p w14:paraId="0ED3C069" w14:textId="02C8F7EA" w:rsidR="00EE12F0" w:rsidRPr="00C7589D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p w14:paraId="3BF40B19" w14:textId="3D2E5100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240" w:dyaOrig="400" w14:anchorId="3B9C0CF4">
          <v:shape id="_x0000_i1028" type="#_x0000_t75" style="width:162.8pt;height:20.4pt" o:ole="">
            <v:imagedata r:id="rId16" o:title=""/>
          </v:shape>
          <o:OLEObject Type="Embed" ProgID="Equation.DSMT4" ShapeID="_x0000_i1028" DrawAspect="Content" ObjectID="_1841992648" r:id="rId17"/>
        </w:object>
      </w:r>
    </w:p>
    <w:p w14:paraId="5C2F5723" w14:textId="77777777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866B4D" w14:textId="6B504CCA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DB5B26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DB5B2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эквивалентное внутреннее сопротивление, </w:t>
      </w:r>
      <w:r w:rsidRPr="00090672">
        <w:rPr>
          <w:rFonts w:ascii="Times New Roman" w:hAnsi="Times New Roman" w:cs="Times New Roman"/>
          <w:sz w:val="28"/>
          <w:szCs w:val="28"/>
        </w:rPr>
        <w:t>включающее омическую, зарядопереносную и диффузионную составляющие.</w:t>
      </w:r>
    </w:p>
    <w:p w14:paraId="0859D0BA" w14:textId="0573A4BC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 следует из закона Джоуля–Ленца, второе и третье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p w14:paraId="5FA7EC5C" w14:textId="77777777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B702C4" w14:textId="0DBE90FF" w:rsidR="00B324F1" w:rsidRP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F1B">
        <w:rPr>
          <w:rFonts w:ascii="Times New Roman" w:hAnsi="Times New Roman" w:cs="Times New Roman"/>
          <w:position w:val="-24"/>
          <w:sz w:val="28"/>
          <w:szCs w:val="28"/>
        </w:rPr>
        <w:object w:dxaOrig="3440" w:dyaOrig="620" w14:anchorId="3CFCB99D">
          <v:shape id="_x0000_i1029" type="#_x0000_t75" style="width:171.4pt;height:31.15pt" o:ole="">
            <v:imagedata r:id="rId18" o:title=""/>
          </v:shape>
          <o:OLEObject Type="Embed" ProgID="Equation.DSMT4" ShapeID="_x0000_i1029" DrawAspect="Content" ObjectID="_1841992649" r:id="rId19"/>
        </w:object>
      </w:r>
    </w:p>
    <w:p w14:paraId="29DE5A08" w14:textId="461FCD55" w:rsidR="00B324F1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259639" w14:textId="4A7F3EF6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</w:p>
    <w:p w14:paraId="0D8BD0F9" w14:textId="3696ED4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</w:p>
    <w:p w14:paraId="651A1325" w14:textId="6E9E3125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</w:p>
    <w:p w14:paraId="3E78362D" w14:textId="42F54C69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</w:p>
    <w:p w14:paraId="10C974D8" w14:textId="0FA0C2E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деградационную динамику напрямую: через изменение электропроводности, скорости межфазной реакции, коэффициента диффузии и толщины пассивирующего слоя.</w:t>
      </w:r>
    </w:p>
    <w:p w14:paraId="11438C5B" w14:textId="7D1069B7" w:rsidR="00AF1D4F" w:rsidRDefault="00AF1D4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t xml:space="preserve">Для последующего анализа в работе рассматриваются четыре группы аккумуляторных систем: NMC, LFP, LTO и Na-ion.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работоспособностью, а также альтернативные </w:t>
      </w:r>
      <w:r w:rsidRPr="003D52DF">
        <w:rPr>
          <w:rFonts w:ascii="Times New Roman" w:hAnsi="Times New Roman" w:cs="Times New Roman"/>
          <w:sz w:val="28"/>
          <w:szCs w:val="28"/>
          <w:highlight w:val="yellow"/>
        </w:rPr>
        <w:t>натрий-ионные решения</w:t>
      </w:r>
      <w:r w:rsidRPr="00AF1D4F">
        <w:rPr>
          <w:rFonts w:ascii="Times New Roman" w:hAnsi="Times New Roman" w:cs="Times New Roman"/>
          <w:sz w:val="28"/>
          <w:szCs w:val="28"/>
        </w:rPr>
        <w:t>. Введение LTO и Na-ion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876"/>
        <w:gridCol w:w="1378"/>
        <w:gridCol w:w="1367"/>
        <w:gridCol w:w="999"/>
        <w:gridCol w:w="1126"/>
        <w:gridCol w:w="1487"/>
        <w:gridCol w:w="1487"/>
        <w:gridCol w:w="957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Номинальная ёмкость, А·ч</w:t>
            </w:r>
          </w:p>
        </w:tc>
        <w:tc>
          <w:tcPr>
            <w:tcW w:w="999" w:type="dxa"/>
          </w:tcPr>
          <w:p w14:paraId="4852FB4D" w14:textId="4A0FC0A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энергия, Вт·ч/кг</w:t>
            </w:r>
          </w:p>
        </w:tc>
        <w:tc>
          <w:tcPr>
            <w:tcW w:w="1126" w:type="dxa"/>
          </w:tcPr>
          <w:p w14:paraId="327F8207" w14:textId="46B60F47" w:rsidR="009D7C13" w:rsidRPr="004B2ED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омическое сопротивление 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Ω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0B8B6A6E" w14:textId="77777777" w:rsid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283C2D2F" w14:textId="1BCFBCD1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vertAlign w:val="subscript"/>
                <w:lang w:val="en-US"/>
              </w:rPr>
              <w:t>ct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Na-ion</w:t>
            </w:r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lastRenderedPageBreak/>
        <w:t>Представленные данные отражают исходную параметризацию опытной серии, принятой в работе для последующих нагрузочных, импедансных и деградационных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минимальным внутренним сопротивлением и наивысшей циклической стойкостью, а Na-ion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 xml:space="preserve"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</w:t>
      </w:r>
      <w:r w:rsidRPr="005C3755">
        <w:rPr>
          <w:rFonts w:ascii="Times New Roman" w:hAnsi="Times New Roman" w:cs="Times New Roman"/>
          <w:sz w:val="28"/>
          <w:szCs w:val="28"/>
          <w:highlight w:val="yellow"/>
        </w:rPr>
        <w:t>термонапряжённого</w:t>
      </w:r>
      <w:r w:rsidRPr="00623599">
        <w:rPr>
          <w:rFonts w:ascii="Times New Roman" w:hAnsi="Times New Roman" w:cs="Times New Roman"/>
          <w:sz w:val="28"/>
          <w:szCs w:val="28"/>
        </w:rPr>
        <w:t xml:space="preserve"> узла и элемента динамического 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38CA198E" w14:textId="77777777" w:rsidR="001A0B8F" w:rsidRDefault="001A0B8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F373C" w14:textId="6EA62700" w:rsidR="001A0B8F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C445B0" wp14:editId="01AC8C84">
            <wp:extent cx="6119495" cy="3032760"/>
            <wp:effectExtent l="0" t="0" r="0" b="0"/>
            <wp:docPr id="13968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"/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  <w:commentRangeEnd w:id="1"/>
      <w:r w:rsidR="005C3755">
        <w:rPr>
          <w:rStyle w:val="ad"/>
          <w:rFonts w:ascii="Times New Roman" w:hAnsi="Times New Roman" w:cs="Times New Roman"/>
          <w:sz w:val="28"/>
          <w:szCs w:val="28"/>
        </w:rPr>
        <w:commentReference w:id="1"/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47D35204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>На рисунке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рекуперационным контуром, тепловым контуром и бортовой сетью. Такая структура демонстрирует, что состояние батареи определяет не только запас энергии, но и допустимые 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Практическая ценность рисунка состоит в том, что он задаёт архитектуру будущей инженерной реализации. Из него непосредственно следует, где могут </w:t>
      </w:r>
      <w:r w:rsidRPr="00BA7334">
        <w:rPr>
          <w:rFonts w:ascii="Times New Roman" w:hAnsi="Times New Roman" w:cs="Times New Roman"/>
          <w:sz w:val="28"/>
          <w:szCs w:val="28"/>
        </w:rPr>
        <w:lastRenderedPageBreak/>
        <w:t>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5E3C5F30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</w:t>
      </w:r>
      <w:r w:rsidRPr="005C3755">
        <w:rPr>
          <w:rFonts w:ascii="Times New Roman" w:hAnsi="Times New Roman" w:cs="Times New Roman"/>
          <w:sz w:val="28"/>
          <w:szCs w:val="28"/>
          <w:highlight w:val="green"/>
        </w:rPr>
        <w:t xml:space="preserve">также </w:t>
      </w:r>
      <w:r w:rsidR="005C3755" w:rsidRPr="005C3755">
        <w:rPr>
          <w:rFonts w:ascii="Times New Roman" w:hAnsi="Times New Roman" w:cs="Times New Roman"/>
          <w:sz w:val="28"/>
          <w:szCs w:val="28"/>
          <w:highlight w:val="green"/>
        </w:rPr>
        <w:t>мощных импульсов тока</w:t>
      </w:r>
      <w:r w:rsidR="005C3755">
        <w:rPr>
          <w:rFonts w:ascii="Times New Roman" w:hAnsi="Times New Roman" w:cs="Times New Roman"/>
          <w:sz w:val="28"/>
          <w:szCs w:val="28"/>
        </w:rPr>
        <w:t xml:space="preserve"> </w:t>
      </w:r>
      <w:r w:rsidRPr="005C3755">
        <w:rPr>
          <w:rFonts w:ascii="Times New Roman" w:hAnsi="Times New Roman" w:cs="Times New Roman"/>
          <w:sz w:val="28"/>
          <w:szCs w:val="28"/>
          <w:highlight w:val="red"/>
        </w:rPr>
        <w:t>пульсирующим токопотреблением</w:t>
      </w:r>
      <w:r w:rsidRPr="00BA7334">
        <w:rPr>
          <w:rFonts w:ascii="Times New Roman" w:hAnsi="Times New Roman" w:cs="Times New Roman"/>
          <w:sz w:val="28"/>
          <w:szCs w:val="28"/>
        </w:rPr>
        <w:t>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>Для описания режима тяговой эксплуатации удобно представить ток как суперпозицию базовой и динамической составляющих:</w:t>
      </w:r>
    </w:p>
    <w:p w14:paraId="1CA3F54B" w14:textId="77777777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33288B" w14:textId="12E4B02C" w:rsidR="00034171" w:rsidRPr="00F00EB5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0EB5">
        <w:rPr>
          <w:rFonts w:ascii="Times New Roman" w:hAnsi="Times New Roman" w:cs="Times New Roman"/>
          <w:position w:val="-14"/>
          <w:sz w:val="28"/>
          <w:szCs w:val="28"/>
        </w:rPr>
        <w:object w:dxaOrig="2079" w:dyaOrig="380" w14:anchorId="073C43AA">
          <v:shape id="_x0000_i1030" type="#_x0000_t75" style="width:103.7pt;height:18.8pt" o:ole="">
            <v:imagedata r:id="rId21" o:title=""/>
          </v:shape>
          <o:OLEObject Type="Embed" ProgID="Equation.DSMT4" ShapeID="_x0000_i1030" DrawAspect="Content" ObjectID="_1841992650" r:id="rId22"/>
        </w:object>
      </w:r>
    </w:p>
    <w:p w14:paraId="56B9266D" w14:textId="55BC64FA" w:rsidR="00034171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77A9D1F3" w14:textId="1B6AFB59" w:rsidR="00F00EB5" w:rsidRDefault="00384BE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</w:p>
    <w:p w14:paraId="3C1C83AC" w14:textId="479B9219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06D9475C">
            <wp:extent cx="6119495" cy="3304540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"/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  <w:commentRangeEnd w:id="2"/>
      <w:r w:rsidR="0060746B">
        <w:rPr>
          <w:rStyle w:val="ad"/>
          <w:rFonts w:ascii="Times New Roman" w:hAnsi="Times New Roman" w:cs="Times New Roman"/>
          <w:sz w:val="28"/>
          <w:szCs w:val="28"/>
        </w:rPr>
        <w:commentReference w:id="2"/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2FB3686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>На рисунке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разгона, рекуперации и установившегося движения, а температурная кривая не успевает вернуться к исходному уровню между отдельными нагрузочными пиками.</w:t>
      </w:r>
    </w:p>
    <w:p w14:paraId="2E481AD5" w14:textId="1AF3CDC7" w:rsidR="00516B33" w:rsidRPr="00C7589D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6B3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подтверждении того, что исследуемый объект работает в режиме параметрической нестационарности. Это служит прямым обоснованием дальнейшего отказа от чисто стационарной трактовки импеданса и необходимости введения динамических 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«</w:t>
      </w:r>
      <w:r w:rsidRPr="00516B33">
        <w:rPr>
          <w:rFonts w:ascii="Times New Roman" w:hAnsi="Times New Roman" w:cs="Times New Roman"/>
          <w:sz w:val="28"/>
          <w:szCs w:val="28"/>
        </w:rPr>
        <w:t>деградационных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»</w:t>
      </w:r>
      <w:r w:rsidRPr="00516B33">
        <w:rPr>
          <w:rFonts w:ascii="Times New Roman" w:hAnsi="Times New Roman" w:cs="Times New Roman"/>
          <w:sz w:val="28"/>
          <w:szCs w:val="28"/>
        </w:rPr>
        <w:t xml:space="preserve">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lastRenderedPageBreak/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SOH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1A21D945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массогабаритным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Na-ion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p w14:paraId="368EE463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3DD893" w14:textId="254BF959" w:rsidR="00395A91" w:rsidRPr="00AC04C1" w:rsidRDefault="00415E9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474779D0">
          <v:shape id="_x0000_i1031" type="#_x0000_t75" style="width:48.35pt;height:33.85pt" o:ole="">
            <v:imagedata r:id="rId24" o:title=""/>
          </v:shape>
          <o:OLEObject Type="Embed" ProgID="Equation.DSMT4" ShapeID="_x0000_i1031" DrawAspect="Content" ObjectID="_1841992651" r:id="rId25"/>
        </w:object>
      </w:r>
      <w:r w:rsidR="00F468BF">
        <w:rPr>
          <w:rFonts w:ascii="Times New Roman" w:hAnsi="Times New Roman" w:cs="Times New Roman"/>
          <w:sz w:val="28"/>
          <w:szCs w:val="28"/>
        </w:rPr>
        <w:t>,</w:t>
      </w:r>
    </w:p>
    <w:p w14:paraId="62E563EE" w14:textId="77777777" w:rsidR="00395A91" w:rsidRPr="00AC04C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19755D" w14:textId="781089C6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AC04C1">
        <w:rPr>
          <w:rFonts w:ascii="Times New Roman" w:hAnsi="Times New Roman" w:cs="Times New Roman"/>
          <w:sz w:val="28"/>
          <w:szCs w:val="28"/>
          <w:highlight w:val="yellow"/>
        </w:rPr>
        <w:t>обменного</w:t>
      </w:r>
      <w:r w:rsidRPr="00415E90">
        <w:rPr>
          <w:rFonts w:ascii="Times New Roman" w:hAnsi="Times New Roman" w:cs="Times New Roman"/>
          <w:sz w:val="28"/>
          <w:szCs w:val="28"/>
        </w:rPr>
        <w:t xml:space="preserve"> тока </w:t>
      </w:r>
      <w:r w:rsidRPr="00415E9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415E9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415E90">
        <w:rPr>
          <w:rFonts w:ascii="Times New Roman" w:hAnsi="Times New Roman" w:cs="Times New Roman"/>
          <w:sz w:val="28"/>
          <w:szCs w:val="28"/>
        </w:rPr>
        <w:t xml:space="preserve">, зависящего от материала электрода, площади </w:t>
      </w:r>
      <w:r w:rsidRPr="00AC04C1">
        <w:rPr>
          <w:rFonts w:ascii="Times New Roman" w:hAnsi="Times New Roman" w:cs="Times New Roman"/>
          <w:sz w:val="28"/>
          <w:szCs w:val="28"/>
          <w:highlight w:val="red"/>
        </w:rPr>
        <w:t>реакционной</w:t>
      </w:r>
      <w:r w:rsidRPr="00415E90">
        <w:rPr>
          <w:rFonts w:ascii="Times New Roman" w:hAnsi="Times New Roman" w:cs="Times New Roman"/>
          <w:sz w:val="28"/>
          <w:szCs w:val="28"/>
        </w:rPr>
        <w:t xml:space="preserve"> поверхности </w:t>
      </w:r>
      <w:r w:rsidR="00AC04C1" w:rsidRPr="00AC04C1">
        <w:rPr>
          <w:rFonts w:ascii="Times New Roman" w:hAnsi="Times New Roman" w:cs="Times New Roman"/>
          <w:sz w:val="28"/>
          <w:szCs w:val="28"/>
          <w:highlight w:val="green"/>
        </w:rPr>
        <w:t>реакции</w:t>
      </w:r>
      <w:r w:rsidR="00AC04C1">
        <w:rPr>
          <w:rFonts w:ascii="Times New Roman" w:hAnsi="Times New Roman" w:cs="Times New Roman"/>
          <w:sz w:val="28"/>
          <w:szCs w:val="28"/>
        </w:rPr>
        <w:t xml:space="preserve"> </w:t>
      </w:r>
      <w:r w:rsidRPr="00415E90">
        <w:rPr>
          <w:rFonts w:ascii="Times New Roman" w:hAnsi="Times New Roman" w:cs="Times New Roman"/>
          <w:sz w:val="28"/>
          <w:szCs w:val="28"/>
        </w:rPr>
        <w:t xml:space="preserve">и состояния интерфейса, приводит к систематическим 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</w:t>
      </w:r>
      <w:r w:rsidRPr="00415E90">
        <w:rPr>
          <w:rFonts w:ascii="Times New Roman" w:hAnsi="Times New Roman" w:cs="Times New Roman"/>
          <w:sz w:val="28"/>
          <w:szCs w:val="28"/>
        </w:rPr>
        <w:lastRenderedPageBreak/>
        <w:t>она должна учитывать класс химической системы как самостоятельный параметр.</w:t>
      </w:r>
    </w:p>
    <w:p w14:paraId="06C59DAB" w14:textId="41A42341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027">
        <w:rPr>
          <w:rFonts w:ascii="Times New Roman" w:hAnsi="Times New Roman" w:cs="Times New Roman"/>
          <w:sz w:val="28"/>
          <w:szCs w:val="28"/>
        </w:rPr>
        <w:t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не для «средней абстрактной батареи», а для батареи определённой химической природы, включённой в конкретный эксплуатационный сценарий.</w:t>
      </w:r>
    </w:p>
    <w:p w14:paraId="3D9DD619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7D1E0" w14:textId="1FB0F02E" w:rsidR="00552AA7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47975432">
            <wp:extent cx="6119495" cy="3527425"/>
            <wp:effectExtent l="0" t="0" r="0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Pr="00C7589D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C7E4B" w14:textId="1B41147D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6AE">
        <w:rPr>
          <w:rFonts w:ascii="Times New Roman" w:hAnsi="Times New Roman" w:cs="Times New Roman"/>
          <w:sz w:val="28"/>
          <w:szCs w:val="28"/>
        </w:rPr>
        <w:t xml:space="preserve">На рисунке в нормированном виде сопоставлены три группы показателей: энергоёмкость, мощностной потенциал и циклический ресурс для NMC, LFP, LTO и Na-ion систем. Нормирование выполнено по максимальному значению </w:t>
      </w:r>
      <w:r w:rsidRPr="000A06AE">
        <w:rPr>
          <w:rFonts w:ascii="Times New Roman" w:hAnsi="Times New Roman" w:cs="Times New Roman"/>
          <w:sz w:val="28"/>
          <w:szCs w:val="28"/>
        </w:rPr>
        <w:lastRenderedPageBreak/>
        <w:t>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C4">
        <w:rPr>
          <w:rFonts w:ascii="Times New Roman" w:hAnsi="Times New Roman" w:cs="Times New Roman"/>
          <w:sz w:val="28"/>
          <w:szCs w:val="28"/>
        </w:rPr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Na-ion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450">
        <w:rPr>
          <w:rFonts w:ascii="Times New Roman" w:hAnsi="Times New Roman" w:cs="Times New Roman"/>
          <w:sz w:val="28"/>
          <w:szCs w:val="28"/>
        </w:rPr>
        <w:t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деградационные процессы протекают совместно и во взаимном влиянии. Для NMC, LFP, LTO и Na-ion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импедансным параметрам в условиях нестационарной эксплуатации электротранспорта.</w:t>
      </w:r>
    </w:p>
    <w:p w14:paraId="414B3E00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lastRenderedPageBreak/>
        <w:t>1.2 Механизмы деградации NMC, LFP, LTO и Na-ion аккумуляторных систем</w:t>
      </w:r>
    </w:p>
    <w:p w14:paraId="2A1A5BF8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50DD6" w14:textId="71E5CEDF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EE6">
        <w:rPr>
          <w:rFonts w:ascii="Times New Roman" w:hAnsi="Times New Roman" w:cs="Times New Roman"/>
          <w:sz w:val="28"/>
          <w:szCs w:val="28"/>
        </w:rPr>
        <w:t xml:space="preserve">Деградация тяговых аккумуляторных батарей представляет собой совокупность необратимых процессов, приводящих к снижению доступной ёмкости, росту внутреннего импеданса, падению допустимой мощности и ухудшению тепловой устойчивости. Современные обзоры по старению литий-ионных систем сходятся в том, что основные наблюдаемые эффекты — это потеря </w:t>
      </w:r>
      <w:r w:rsidRPr="00250E7D">
        <w:rPr>
          <w:rFonts w:ascii="Times New Roman" w:hAnsi="Times New Roman" w:cs="Times New Roman"/>
          <w:sz w:val="28"/>
          <w:szCs w:val="28"/>
          <w:highlight w:val="yellow"/>
        </w:rPr>
        <w:t>циклируемого</w:t>
      </w:r>
      <w:r w:rsidRPr="00681EE6">
        <w:rPr>
          <w:rFonts w:ascii="Times New Roman" w:hAnsi="Times New Roman" w:cs="Times New Roman"/>
          <w:sz w:val="28"/>
          <w:szCs w:val="28"/>
        </w:rPr>
        <w:t xml:space="preserve"> лития, потеря активного материала, рост межфазных сопротивлений, ухудшение электролитного транспорта и структурная деградация электродов; при этом итоговыми макропроявлениями являются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снижение ёмкости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capacity fade</w:t>
      </w:r>
      <w:r w:rsidRPr="00681EE6">
        <w:rPr>
          <w:rFonts w:ascii="Times New Roman" w:hAnsi="Times New Roman" w:cs="Times New Roman"/>
          <w:sz w:val="28"/>
          <w:szCs w:val="28"/>
        </w:rPr>
        <w:t xml:space="preserve"> и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увеличением импеданса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impedance rise</w:t>
      </w:r>
      <w:r w:rsidRPr="00681EE6">
        <w:rPr>
          <w:rFonts w:ascii="Times New Roman" w:hAnsi="Times New Roman" w:cs="Times New Roman"/>
          <w:sz w:val="28"/>
          <w:szCs w:val="28"/>
        </w:rPr>
        <w:t>.</w:t>
      </w:r>
    </w:p>
    <w:p w14:paraId="749AA03B" w14:textId="586E47EC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sz w:val="28"/>
          <w:szCs w:val="28"/>
        </w:rPr>
        <w:t xml:space="preserve">С физико-математической точки зрения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деградационный</w:t>
      </w:r>
      <w:r w:rsidRPr="00522B5B">
        <w:rPr>
          <w:rFonts w:ascii="Times New Roman" w:hAnsi="Times New Roman" w:cs="Times New Roman"/>
          <w:sz w:val="28"/>
          <w:szCs w:val="28"/>
        </w:rPr>
        <w:t xml:space="preserve"> процесс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522B5B">
        <w:rPr>
          <w:rFonts w:ascii="Times New Roman" w:hAnsi="Times New Roman" w:cs="Times New Roman"/>
          <w:sz w:val="28"/>
          <w:szCs w:val="28"/>
        </w:rPr>
        <w:t xml:space="preserve">удобно рассматривать как эволюцию внутреннего состояния системы под действием электрохимических, диффузионных, тепловых и механических факторов. Пусть   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D</w:t>
      </w:r>
      <w:r w:rsidRPr="00522B5B">
        <w:rPr>
          <w:rFonts w:ascii="Times New Roman" w:hAnsi="Times New Roman" w:cs="Times New Roman"/>
          <w:sz w:val="28"/>
          <w:szCs w:val="28"/>
        </w:rPr>
        <w:t>(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t</w:t>
      </w:r>
      <w:r w:rsidRPr="00522B5B">
        <w:rPr>
          <w:rFonts w:ascii="Times New Roman" w:hAnsi="Times New Roman" w:cs="Times New Roman"/>
          <w:sz w:val="28"/>
          <w:szCs w:val="28"/>
        </w:rPr>
        <w:t>) деградации. Тогда в обобщённой форме можно записать</w:t>
      </w:r>
    </w:p>
    <w:p w14:paraId="29275B8A" w14:textId="77777777" w:rsidR="00AE27B1" w:rsidRDefault="00AE27B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28C990" w14:textId="7630A665" w:rsidR="0057524C" w:rsidRP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48B0">
        <w:rPr>
          <w:rFonts w:ascii="Times New Roman" w:hAnsi="Times New Roman" w:cs="Times New Roman"/>
          <w:position w:val="-24"/>
          <w:sz w:val="28"/>
          <w:szCs w:val="28"/>
        </w:rPr>
        <w:object w:dxaOrig="3379" w:dyaOrig="620" w14:anchorId="438A2006">
          <v:shape id="_x0000_i1032" type="#_x0000_t75" style="width:168.2pt;height:31.15pt" o:ole="">
            <v:imagedata r:id="rId27" o:title=""/>
          </v:shape>
          <o:OLEObject Type="Embed" ProgID="Equation.DSMT4" ShapeID="_x0000_i1032" DrawAspect="Content" ObjectID="_1841992652" r:id="rId28"/>
        </w:object>
      </w:r>
    </w:p>
    <w:p w14:paraId="01F43E17" w14:textId="17589237" w:rsidR="0057524C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5641733" w14:textId="7ED7BF77" w:rsid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SEI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</w:t>
      </w:r>
      <w:r w:rsidR="0044617A" w:rsidRPr="0044617A">
        <w:rPr>
          <w:rFonts w:ascii="Times New Roman" w:hAnsi="Times New Roman" w:cs="Times New Roman"/>
          <w:sz w:val="28"/>
          <w:szCs w:val="28"/>
        </w:rPr>
        <w:t>характеризует рост межфазного слоя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</w:p>
    <w:p w14:paraId="51612183" w14:textId="3DAAAB9E" w:rsidR="0044617A" w:rsidRPr="00341ACE" w:rsidRDefault="0044617A" w:rsidP="0044617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LLI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потерю циклируемого лития или натрия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1F68303" w14:textId="5A98A2F9" w:rsidR="00341ACE" w:rsidRPr="00341ACE" w:rsidRDefault="00341ACE" w:rsidP="00341AC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LAM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341ACE">
        <w:rPr>
          <w:rFonts w:ascii="Times New Roman" w:hAnsi="Times New Roman" w:cs="Times New Roman"/>
          <w:sz w:val="28"/>
          <w:szCs w:val="28"/>
        </w:rPr>
        <w:t>потерю активного материала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0C285C" w14:textId="0B308F91" w:rsidR="0006550F" w:rsidRPr="00341ACE" w:rsidRDefault="0006550F" w:rsidP="0006550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06550F">
        <w:rPr>
          <w:rFonts w:ascii="Times New Roman" w:hAnsi="Times New Roman" w:cs="Times New Roman"/>
          <w:sz w:val="28"/>
          <w:szCs w:val="28"/>
        </w:rPr>
        <w:t>вклад температуры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9CB4A8" w14:textId="10005990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mech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8D4C53">
        <w:rPr>
          <w:rFonts w:ascii="Times New Roman" w:hAnsi="Times New Roman" w:cs="Times New Roman"/>
          <w:sz w:val="28"/>
          <w:szCs w:val="28"/>
        </w:rPr>
        <w:t>механодеструкцию частиц и контактов.</w:t>
      </w:r>
    </w:p>
    <w:p w14:paraId="46B37C97" w14:textId="77777777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FD32E" w14:textId="68F6D3EA" w:rsidR="0044617A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4B9">
        <w:rPr>
          <w:rFonts w:ascii="Times New Roman" w:hAnsi="Times New Roman" w:cs="Times New Roman"/>
          <w:sz w:val="28"/>
          <w:szCs w:val="28"/>
        </w:rPr>
        <w:lastRenderedPageBreak/>
        <w:t>Наиболее универсальным следствием старения является рост сопротивления переноса заряда. Это следует из линеаризованного уравнения Батлера–Фольмера:</w:t>
      </w:r>
    </w:p>
    <w:p w14:paraId="453664FE" w14:textId="77777777" w:rsidR="00F564B9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AF2661" w14:textId="7B8014E3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0B2B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960" w:dyaOrig="680" w14:anchorId="4A0E180C">
          <v:shape id="_x0000_i1033" type="#_x0000_t75" style="width:47.8pt;height:33.85pt" o:ole="">
            <v:imagedata r:id="rId29" o:title=""/>
          </v:shape>
          <o:OLEObject Type="Embed" ProgID="Equation.DSMT4" ShapeID="_x0000_i1033" DrawAspect="Content" ObjectID="_1841992653" r:id="rId30"/>
        </w:object>
      </w:r>
    </w:p>
    <w:p w14:paraId="5544E993" w14:textId="1098940E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1F875F" w14:textId="39158485" w:rsidR="004D0B2B" w:rsidRDefault="002E572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572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2E572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2E572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обменный ток реакции.</w:t>
      </w:r>
    </w:p>
    <w:p w14:paraId="0112FE17" w14:textId="256F6DFF" w:rsidR="002E5720" w:rsidRDefault="00904F4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F4D">
        <w:rPr>
          <w:rFonts w:ascii="Times New Roman" w:hAnsi="Times New Roman" w:cs="Times New Roman"/>
          <w:sz w:val="28"/>
          <w:szCs w:val="28"/>
        </w:rPr>
        <w:t>Если в процессе старения уменьшается эффективная активная площадь, снижается доступность реакционных центров или ухудшается межфазная кинетика, обменный ток уменьшается,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04F4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04F4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04F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возрастает. 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Именно поэтому параметр 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 рассматривается в работе как один из ключевых диагностических и прогностических признаков.</w:t>
      </w:r>
      <w:r w:rsidR="004D0025">
        <w:rPr>
          <w:rFonts w:ascii="Times New Roman" w:hAnsi="Times New Roman" w:cs="Times New Roman"/>
          <w:sz w:val="28"/>
          <w:szCs w:val="28"/>
        </w:rPr>
        <w:t xml:space="preserve"> </w:t>
      </w:r>
      <w:r w:rsidR="005F331D" w:rsidRPr="005F331D">
        <w:rPr>
          <w:rFonts w:ascii="Times New Roman" w:hAnsi="Times New Roman" w:cs="Times New Roman"/>
          <w:sz w:val="28"/>
          <w:szCs w:val="28"/>
        </w:rPr>
        <w:t>Такой выбор согласуется и с современными исследованиями по EIS-диагностике, и с логикой уже сформированного каркаса диссертации.</w:t>
      </w:r>
    </w:p>
    <w:p w14:paraId="447C810E" w14:textId="0F527CC7" w:rsidR="005F33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>Не менее важен процесс роста межфазного слоя на отрицательном электроде. В первом приближении его можно связать с диффузионно-ограниченным режимом. Если толщина межфазного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i/>
          <w:iCs/>
          <w:sz w:val="28"/>
          <w:szCs w:val="28"/>
        </w:rPr>
        <w:t>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 xml:space="preserve">определяется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транспортом</w:t>
      </w:r>
      <w:r w:rsidRPr="00381AA1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переносом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>реагентов через уже сформировавшийся слой, то на основе второго закона Фика</w:t>
      </w:r>
    </w:p>
    <w:p w14:paraId="128767FE" w14:textId="77777777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48867E" w14:textId="67B8AB32" w:rsidR="00381AA1" w:rsidRP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position w:val="-24"/>
          <w:sz w:val="28"/>
          <w:szCs w:val="28"/>
        </w:rPr>
        <w:object w:dxaOrig="1280" w:dyaOrig="660" w14:anchorId="5867754B">
          <v:shape id="_x0000_i1034" type="#_x0000_t75" style="width:63.95pt;height:31.7pt" o:ole="">
            <v:imagedata r:id="rId31" o:title=""/>
          </v:shape>
          <o:OLEObject Type="Embed" ProgID="Equation.DSMT4" ShapeID="_x0000_i1034" DrawAspect="Content" ObjectID="_1841992654" r:id="rId32"/>
        </w:object>
      </w:r>
    </w:p>
    <w:p w14:paraId="3A125241" w14:textId="6560001D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sz w:val="28"/>
          <w:szCs w:val="28"/>
        </w:rPr>
        <w:t xml:space="preserve">получается </w:t>
      </w:r>
      <w:r w:rsidRPr="00381AA1">
        <w:rPr>
          <w:rFonts w:ascii="Times New Roman" w:hAnsi="Times New Roman" w:cs="Times New Roman"/>
          <w:sz w:val="28"/>
          <w:szCs w:val="28"/>
          <w:highlight w:val="yellow"/>
        </w:rPr>
        <w:t>корневой</w:t>
      </w:r>
      <w:r w:rsidRPr="00381AA1">
        <w:rPr>
          <w:rFonts w:ascii="Times New Roman" w:hAnsi="Times New Roman" w:cs="Times New Roman"/>
          <w:sz w:val="28"/>
          <w:szCs w:val="28"/>
        </w:rPr>
        <w:t xml:space="preserve"> закон роста</w:t>
      </w:r>
    </w:p>
    <w:p w14:paraId="16374A4B" w14:textId="16D6BF70" w:rsidR="00381AA1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603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40" w:dyaOrig="420" w14:anchorId="3514237A">
          <v:shape id="_x0000_i1035" type="#_x0000_t75" style="width:51.6pt;height:21.5pt" o:ole="">
            <v:imagedata r:id="rId33" o:title=""/>
          </v:shape>
          <o:OLEObject Type="Embed" ProgID="Equation.DSMT4" ShapeID="_x0000_i1035" DrawAspect="Content" ObjectID="_1841992655" r:id="rId34"/>
        </w:object>
      </w:r>
    </w:p>
    <w:p w14:paraId="4EF5A9C2" w14:textId="04E912EB" w:rsidR="00F96030" w:rsidRPr="00A07748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30">
        <w:rPr>
          <w:rFonts w:ascii="Times New Roman" w:hAnsi="Times New Roman" w:cs="Times New Roman"/>
          <w:sz w:val="28"/>
          <w:szCs w:val="28"/>
        </w:rPr>
        <w:t>Отсюда следует и корневой закон роста межфазного сопротивления:</w:t>
      </w:r>
    </w:p>
    <w:p w14:paraId="6CB04624" w14:textId="5714D378" w:rsidR="00F96030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157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400" w14:anchorId="61CEF41B">
          <v:shape id="_x0000_i1036" type="#_x0000_t75" style="width:62.85pt;height:20.4pt" o:ole="">
            <v:imagedata r:id="rId35" o:title=""/>
          </v:shape>
          <o:OLEObject Type="Embed" ProgID="Equation.DSMT4" ShapeID="_x0000_i1036" DrawAspect="Content" ObjectID="_1841992656" r:id="rId36"/>
        </w:object>
      </w:r>
    </w:p>
    <w:p w14:paraId="34578846" w14:textId="7C8EB4D6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Эта зависимость особенно важна для объяснения ранней стадии старения, когда снижение ёмкости ещё умеренно, а рост сопротивления уже становится заметным. В дальнейшем, по мере вовлечения механических и структурных механизмов, зависимость может стать близкой к линейной или даже сверхлинейной.</w:t>
      </w:r>
    </w:p>
    <w:p w14:paraId="2496D034" w14:textId="4D2B51DF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Температурная составляющая старения подчиняется закону Аррениуса:</w:t>
      </w:r>
    </w:p>
    <w:p w14:paraId="35BC6A69" w14:textId="77777777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BB8E95" w14:textId="2CE4140A" w:rsidR="00F35630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C7EA1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2079" w:dyaOrig="680" w14:anchorId="525A4C2A">
          <v:shape id="_x0000_i1037" type="#_x0000_t75" style="width:103.7pt;height:33.85pt" o:ole="">
            <v:imagedata r:id="rId37" o:title=""/>
          </v:shape>
          <o:OLEObject Type="Embed" ProgID="Equation.DSMT4" ShapeID="_x0000_i1037" DrawAspect="Content" ObjectID="_1841992657" r:id="rId38"/>
        </w:object>
      </w:r>
    </w:p>
    <w:p w14:paraId="7BCDAFA9" w14:textId="47407904" w:rsidR="00F35630" w:rsidRP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6C7EA1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6C7EA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r w:rsidRPr="006C7EA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C7EA1">
        <w:rPr>
          <w:rFonts w:ascii="Times New Roman" w:hAnsi="Times New Roman" w:cs="Times New Roman"/>
          <w:sz w:val="28"/>
          <w:szCs w:val="28"/>
        </w:rPr>
        <w:t>– энергия активации деградационного процесса.</w:t>
      </w:r>
    </w:p>
    <w:p w14:paraId="419344D0" w14:textId="7150AC78" w:rsid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EA1">
        <w:rPr>
          <w:rFonts w:ascii="Times New Roman" w:hAnsi="Times New Roman" w:cs="Times New Roman"/>
          <w:sz w:val="28"/>
          <w:szCs w:val="28"/>
        </w:rPr>
        <w:t xml:space="preserve">Применение этой формулы в данной работе обосновано тем, что межфазные реакции, разложение электролита, растворение переходных металлов, газообразование и многие формы структурной релаксации являются термоактивируемыми. Следовательно, даже одинаковая химическая система при разных тепловых режимах будет демонстрировать различную траекторию деградации. Современные обзоры по NMC, LFP и LTO системам подтверждают критическую роль температуры и </w:t>
      </w:r>
      <w:r w:rsidRPr="00C365AA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SOC</w:t>
      </w:r>
      <w:r w:rsidRPr="00C365AA">
        <w:rPr>
          <w:rFonts w:ascii="Times New Roman" w:hAnsi="Times New Roman" w:cs="Times New Roman"/>
          <w:sz w:val="28"/>
          <w:szCs w:val="28"/>
          <w:highlight w:val="yellow"/>
        </w:rPr>
        <w:t>-окна</w:t>
      </w:r>
      <w:r w:rsidRPr="006C7EA1">
        <w:rPr>
          <w:rFonts w:ascii="Times New Roman" w:hAnsi="Times New Roman" w:cs="Times New Roman"/>
          <w:sz w:val="28"/>
          <w:szCs w:val="28"/>
        </w:rPr>
        <w:t xml:space="preserve"> в старении аккумуляторов.</w:t>
      </w:r>
    </w:p>
    <w:p w14:paraId="711F7B32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91347" w14:textId="0501B371" w:rsidR="008E688D" w:rsidRP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688D">
        <w:rPr>
          <w:rFonts w:ascii="Times New Roman" w:hAnsi="Times New Roman" w:cs="Times New Roman"/>
          <w:b/>
          <w:bCs/>
          <w:sz w:val="28"/>
          <w:szCs w:val="28"/>
        </w:rPr>
        <w:t>1.2.1 Деградация аккумуляторов типа NMC</w:t>
      </w:r>
    </w:p>
    <w:p w14:paraId="2E8E8358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B82EC" w14:textId="6703216D" w:rsidR="008E688D" w:rsidRDefault="0050726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266">
        <w:rPr>
          <w:rFonts w:ascii="Times New Roman" w:hAnsi="Times New Roman" w:cs="Times New Roman"/>
          <w:sz w:val="28"/>
          <w:szCs w:val="28"/>
        </w:rPr>
        <w:t xml:space="preserve">Для аккумуляторов на основе никель-марганец-кобальтовых оксидов характерно сочетание высокой удельной энергии с повышенной чувствительностью к структурной и межфазной деградации. Современные обзоры показывают, что для NMC-систем наиболее типичны </w:t>
      </w:r>
      <w:r w:rsidRPr="00245DDD">
        <w:rPr>
          <w:rFonts w:ascii="Times New Roman" w:hAnsi="Times New Roman" w:cs="Times New Roman"/>
          <w:sz w:val="28"/>
          <w:szCs w:val="28"/>
          <w:highlight w:val="red"/>
        </w:rPr>
        <w:t>микротрещинообразование</w:t>
      </w:r>
      <w:r w:rsidR="00245DDD">
        <w:rPr>
          <w:rFonts w:ascii="Times New Roman" w:hAnsi="Times New Roman" w:cs="Times New Roman"/>
          <w:sz w:val="28"/>
          <w:szCs w:val="28"/>
        </w:rPr>
        <w:t xml:space="preserve"> 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образование микротрещим</w:t>
      </w:r>
      <w:r w:rsidRPr="00507266">
        <w:rPr>
          <w:rFonts w:ascii="Times New Roman" w:hAnsi="Times New Roman" w:cs="Times New Roman"/>
          <w:sz w:val="28"/>
          <w:szCs w:val="28"/>
        </w:rPr>
        <w:t xml:space="preserve"> вторичных частиц, деградация поверхности катода, растворение переходных металлов, катионное </w:t>
      </w:r>
      <w:r w:rsidRPr="00507266">
        <w:rPr>
          <w:rFonts w:ascii="Times New Roman" w:hAnsi="Times New Roman" w:cs="Times New Roman"/>
          <w:sz w:val="28"/>
          <w:szCs w:val="28"/>
        </w:rPr>
        <w:lastRenderedPageBreak/>
        <w:t xml:space="preserve">смешение, кислородная нестабильность при высоких степенях делитирования и ускоренное взаимодействие катода с электролитом, особенно у 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Ni</w:t>
      </w:r>
      <w:r w:rsidR="00376127" w:rsidRPr="00376127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rich</w:t>
      </w:r>
      <w:r w:rsidR="00245DDD">
        <w:rPr>
          <w:rFonts w:ascii="Times New Roman" w:hAnsi="Times New Roman" w:cs="Times New Roman"/>
          <w:sz w:val="28"/>
          <w:szCs w:val="28"/>
        </w:rPr>
        <w:t>(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богатых литием</w:t>
      </w:r>
      <w:r w:rsidR="00245DDD">
        <w:rPr>
          <w:rFonts w:ascii="Times New Roman" w:hAnsi="Times New Roman" w:cs="Times New Roman"/>
          <w:sz w:val="28"/>
          <w:szCs w:val="28"/>
        </w:rPr>
        <w:t>)</w:t>
      </w:r>
      <w:r w:rsidRPr="00507266">
        <w:rPr>
          <w:rFonts w:ascii="Times New Roman" w:hAnsi="Times New Roman" w:cs="Times New Roman"/>
          <w:sz w:val="28"/>
          <w:szCs w:val="28"/>
        </w:rPr>
        <w:t xml:space="preserve"> композиций.</w:t>
      </w:r>
    </w:p>
    <w:p w14:paraId="4196AE20" w14:textId="19A2E604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С точки зрения кинетики старения это означает, что деградация NMC идёт одновременно по двум связанным контурам. Первый контур — катодный: структурная перестройка кристаллической решётки, накопление механических дефектов, потеря электрического контакта между частицами и рост межфазной реакционной активности. Второй контур — анодный и межсистемный: осаждение продуктов побочных реакций, изменение состава SEI, перенос растворившихся переходных металлов к аноду и ускорение потери циклируемого лития. В спектре импеданса это, как правило, проявляется сравнительно быстрым ростом полукруга переноса заряда и последующим усилением низкочастотной диффузионной компоненты.</w:t>
      </w:r>
    </w:p>
    <w:p w14:paraId="5CB1984D" w14:textId="295EF8AC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В математической форме деградацию NMC-элемента удобно описывать как сумму структурной и межфазной составляющих:</w:t>
      </w:r>
    </w:p>
    <w:p w14:paraId="1D447F22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05500C" w14:textId="67C3E144" w:rsidR="00376127" w:rsidRPr="009726DE" w:rsidRDefault="009726D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26DE">
        <w:rPr>
          <w:rFonts w:ascii="Times New Roman" w:hAnsi="Times New Roman" w:cs="Times New Roman"/>
          <w:position w:val="-12"/>
          <w:sz w:val="28"/>
          <w:szCs w:val="28"/>
        </w:rPr>
        <w:object w:dxaOrig="3760" w:dyaOrig="400" w14:anchorId="1D68E6E1">
          <v:shape id="_x0000_i1038" type="#_x0000_t75" style="width:188.6pt;height:20.4pt" o:ole="">
            <v:imagedata r:id="rId39" o:title=""/>
          </v:shape>
          <o:OLEObject Type="Embed" ProgID="Equation.DSMT4" ShapeID="_x0000_i1038" DrawAspect="Content" ObjectID="_1841992658" r:id="rId40"/>
        </w:object>
      </w:r>
    </w:p>
    <w:p w14:paraId="32C46078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F556D7" w14:textId="606938D6" w:rsidR="009726DE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772">
        <w:rPr>
          <w:rFonts w:ascii="Times New Roman" w:hAnsi="Times New Roman" w:cs="Times New Roman"/>
          <w:sz w:val="28"/>
          <w:szCs w:val="28"/>
        </w:rPr>
        <w:t xml:space="preserve">Первое слагаемое отражает раннюю диффузионно-контролируемую стадию роста межфазного сопротивления, второе — квазилинейную стадию накопления потерь активного лития и активного материала, третье — позднюю стадию ускоренной деградации, когда механические нарушения катода начинают резко усиливать рост внутреннего импеданса. Такая форма модели особенно хорошо согласуется с наблюдаемой для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Ni-rich</w:t>
      </w:r>
      <w:r w:rsidRPr="00363772">
        <w:rPr>
          <w:rFonts w:ascii="Times New Roman" w:hAnsi="Times New Roman" w:cs="Times New Roman"/>
          <w:sz w:val="28"/>
          <w:szCs w:val="28"/>
        </w:rPr>
        <w:t xml:space="preserve"> NMC переходной динамикой от плавного старта к ускоренному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="000D55DB">
        <w:rPr>
          <w:rFonts w:ascii="Times New Roman" w:hAnsi="Times New Roman" w:cs="Times New Roman"/>
          <w:sz w:val="28"/>
          <w:szCs w:val="28"/>
        </w:rPr>
        <w:t xml:space="preserve"> (</w:t>
      </w:r>
      <w:r w:rsidR="000D55DB" w:rsidRPr="006721FE">
        <w:rPr>
          <w:rFonts w:ascii="Times New Roman" w:hAnsi="Times New Roman" w:cs="Times New Roman"/>
          <w:sz w:val="28"/>
          <w:szCs w:val="28"/>
          <w:highlight w:val="green"/>
        </w:rPr>
        <w:t>снижение способности батареи передавать или поглощать энергию с определённой скоростью</w:t>
      </w:r>
      <w:r w:rsidR="000D55DB">
        <w:rPr>
          <w:rFonts w:ascii="Times New Roman" w:hAnsi="Times New Roman" w:cs="Times New Roman"/>
          <w:sz w:val="28"/>
          <w:szCs w:val="28"/>
        </w:rPr>
        <w:t>)</w:t>
      </w:r>
      <w:r w:rsidRPr="00363772">
        <w:rPr>
          <w:rFonts w:ascii="Times New Roman" w:hAnsi="Times New Roman" w:cs="Times New Roman"/>
          <w:sz w:val="28"/>
          <w:szCs w:val="28"/>
        </w:rPr>
        <w:t>.</w:t>
      </w:r>
    </w:p>
    <w:p w14:paraId="0B322843" w14:textId="77777777" w:rsidR="00363772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DD99" w14:textId="239FC8A2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1B3E">
        <w:rPr>
          <w:rFonts w:ascii="Times New Roman" w:hAnsi="Times New Roman" w:cs="Times New Roman"/>
          <w:b/>
          <w:bCs/>
          <w:sz w:val="28"/>
          <w:szCs w:val="28"/>
        </w:rPr>
        <w:lastRenderedPageBreak/>
        <w:t>1.2.2 Деградация аккумуляторов типа LFP</w:t>
      </w:r>
    </w:p>
    <w:p w14:paraId="15463BF4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A2B8FE" w14:textId="2DF29F8B" w:rsidR="00AD1B3E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>Литий-железо-фосфатные аккумуляторы характеризуются более высокой термической стабильностью, развитой эксплуатационной безопасностью и, как правило, большим циклическим ресурсом по сравнению с NMC. Эти свойства связаны с оливиновой структурой LiFePO, которая термодинамически более устойчива и менее склонна к кислородной нестабильности, однако имеет меньшую собственную электронную проводимость и одномерные каналы диффузии лития. Современные обзоры LFP подчёркивают именно эту двойственность: высокая структурная устойчивость сочетается с более жёсткими требованиями к проводящим покрытиям, размеру частиц и межфазной архитектуре.</w:t>
      </w:r>
    </w:p>
    <w:p w14:paraId="4862550E" w14:textId="51D5D344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Для LFP-систем ранняя деградация часто определяется не столько разрушением катода, сколько потерей циклируемого лития, деградацией графитового анода и постепенным ростом импеданса на фоне сокращения эффективной реакционной площади. Обзор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Wang и соавт.</w:t>
      </w:r>
      <w:r w:rsidRPr="0051321D">
        <w:rPr>
          <w:rFonts w:ascii="Times New Roman" w:hAnsi="Times New Roman" w:cs="Times New Roman"/>
          <w:sz w:val="28"/>
          <w:szCs w:val="28"/>
        </w:rPr>
        <w:t xml:space="preserve"> указывает, что на ранней стадии главным механизмом является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LLI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(leading to irreversible capacity degradation</w:t>
      </w:r>
      <w:r w:rsidR="00A37019" w:rsidRPr="00BB19A8">
        <w:rPr>
          <w:rFonts w:ascii="Times New Roman" w:hAnsi="Times New Roman" w:cs="Times New Roman"/>
          <w:sz w:val="28"/>
          <w:szCs w:val="28"/>
          <w:highlight w:val="yellow"/>
        </w:rPr>
        <w:t xml:space="preserve"> - </w:t>
      </w:r>
      <w:r w:rsidR="00A37019" w:rsidRPr="00A37019">
        <w:rPr>
          <w:rFonts w:ascii="Times New Roman" w:hAnsi="Times New Roman" w:cs="Times New Roman"/>
          <w:sz w:val="28"/>
          <w:szCs w:val="28"/>
          <w:highlight w:val="yellow"/>
        </w:rPr>
        <w:t>Необратимая потеря ёмкости в литий-ионных аккумуляторах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51321D">
        <w:rPr>
          <w:rFonts w:ascii="Times New Roman" w:hAnsi="Times New Roman" w:cs="Times New Roman"/>
          <w:sz w:val="28"/>
          <w:szCs w:val="28"/>
        </w:rPr>
        <w:t>, а затем всё большую роль начинают играть уменьшение активной площади и рост импеданса. Это особенно важно для диссертации, поскольку показывает: даже у сравнительно стабильной химии ключевой прогностический параметр должен быть связан не только с ёмкостью, но и с сопротивлением переноса заряда.</w:t>
      </w:r>
    </w:p>
    <w:p w14:paraId="707891A8" w14:textId="22465C4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Физически деградация LFP-системы связана с двухфазным механизмом </w:t>
      </w:r>
      <w:commentRangeStart w:id="3"/>
      <w:r w:rsidRPr="00BB19A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commentRangeEnd w:id="3"/>
      <w:r w:rsidR="00BB19A8" w:rsidRPr="00BB19A8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"/>
      </w:r>
      <w:r w:rsidRPr="00BB19A8">
        <w:rPr>
          <w:rFonts w:ascii="Times New Roman" w:hAnsi="Times New Roman" w:cs="Times New Roman"/>
          <w:sz w:val="28"/>
          <w:szCs w:val="28"/>
          <w:highlight w:val="yellow"/>
        </w:rPr>
        <w:t>/деинтеркаляции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 системе FePO/LiFePO. В простейшей одномерной постановке диффузия лития в частице описывается вторым законом Фика, а движение фазовой границы подчиняется условию </w:t>
      </w:r>
      <w:r w:rsidRPr="0051321D">
        <w:rPr>
          <w:rFonts w:ascii="Times New Roman" w:hAnsi="Times New Roman" w:cs="Times New Roman"/>
          <w:sz w:val="28"/>
          <w:szCs w:val="28"/>
          <w:highlight w:val="yellow"/>
        </w:rPr>
        <w:t>потока на интерфейсе</w:t>
      </w:r>
      <w:r w:rsidRPr="0051321D">
        <w:rPr>
          <w:rFonts w:ascii="Times New Roman" w:hAnsi="Times New Roman" w:cs="Times New Roman"/>
          <w:sz w:val="28"/>
          <w:szCs w:val="28"/>
        </w:rPr>
        <w:t xml:space="preserve">. В инженерной аппроксимации это приводит к тому, что параметр </w:t>
      </w:r>
      <w:r w:rsidRPr="0051321D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1321D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возрастает медленнее, чем у NMC, но роль диффузионной составляющей остаётся выраженной, особенно при низких температурах и высоких токах.</w:t>
      </w:r>
    </w:p>
    <w:p w14:paraId="6CBC50A9" w14:textId="14ADF4D4" w:rsidR="0051321D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EB4">
        <w:rPr>
          <w:rFonts w:ascii="Times New Roman" w:hAnsi="Times New Roman" w:cs="Times New Roman"/>
          <w:sz w:val="28"/>
          <w:szCs w:val="28"/>
        </w:rPr>
        <w:lastRenderedPageBreak/>
        <w:t>Для LFP в диссертационной постановке целесообразно использовать зависимость</w:t>
      </w:r>
    </w:p>
    <w:p w14:paraId="55D8F883" w14:textId="77777777" w:rsidR="00561EB4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E91A40" w14:textId="6F17183F" w:rsidR="00561EB4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3A31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3320" w:dyaOrig="440" w14:anchorId="55016605">
          <v:shape id="_x0000_i1039" type="#_x0000_t75" style="width:166.05pt;height:22.05pt" o:ole="">
            <v:imagedata r:id="rId41" o:title=""/>
          </v:shape>
          <o:OLEObject Type="Embed" ProgID="Equation.DSMT4" ShapeID="_x0000_i1039" DrawAspect="Content" ObjectID="_1841992659" r:id="rId42"/>
        </w:object>
      </w:r>
    </w:p>
    <w:p w14:paraId="24A7B5DB" w14:textId="77777777" w:rsidR="00561EB4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FA2A01" w14:textId="4C13F483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95CA341" w14:textId="3800C8D4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раннюю межфазную деградацию;</w:t>
      </w:r>
    </w:p>
    <w:p w14:paraId="5CF11EAE" w14:textId="49E083EF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за постепенное нарастание кинетических ограничений.</w:t>
      </w:r>
    </w:p>
    <w:p w14:paraId="34EB3E79" w14:textId="00787EE2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sz w:val="28"/>
          <w:szCs w:val="28"/>
        </w:rPr>
        <w:t>Такая форма позволяет описывать наблюдаемую в ресурсных тестах ситуацию, когда ёмкость уменьшается относительно плавно, но внутренний импеданс устойчиво растёт и начинает ограничивать прежде всего мощностные характеристики батареи.</w:t>
      </w:r>
    </w:p>
    <w:p w14:paraId="484DB3BC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5AE6E" w14:textId="56A0E18D" w:rsidR="00863A31" w:rsidRPr="008B66C9" w:rsidRDefault="008B66C9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E108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1.2.3 Деградация аккумуляторов типа LTO</w:t>
      </w:r>
    </w:p>
    <w:p w14:paraId="47729D60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92D56F" w14:textId="39F565FB" w:rsidR="008B66C9" w:rsidRPr="00A07748" w:rsidRDefault="00962A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2AB9">
        <w:rPr>
          <w:rFonts w:ascii="Times New Roman" w:hAnsi="Times New Roman" w:cs="Times New Roman"/>
          <w:sz w:val="28"/>
          <w:szCs w:val="28"/>
        </w:rPr>
        <w:t xml:space="preserve">Литий-титанатные системы принципиально отличаются от </w:t>
      </w:r>
      <w:r w:rsidRPr="001A49AA">
        <w:rPr>
          <w:rFonts w:ascii="Times New Roman" w:hAnsi="Times New Roman" w:cs="Times New Roman"/>
          <w:sz w:val="28"/>
          <w:szCs w:val="28"/>
          <w:highlight w:val="yellow"/>
        </w:rPr>
        <w:t>графитовых</w:t>
      </w:r>
      <w:r w:rsidRPr="00962AB9">
        <w:rPr>
          <w:rFonts w:ascii="Times New Roman" w:hAnsi="Times New Roman" w:cs="Times New Roman"/>
          <w:sz w:val="28"/>
          <w:szCs w:val="28"/>
        </w:rPr>
        <w:t xml:space="preserve"> литий-ионных батарей </w:t>
      </w:r>
      <w:r w:rsidRPr="006A79FB">
        <w:rPr>
          <w:rFonts w:ascii="Times New Roman" w:hAnsi="Times New Roman" w:cs="Times New Roman"/>
          <w:sz w:val="28"/>
          <w:szCs w:val="28"/>
          <w:highlight w:val="yellow"/>
        </w:rPr>
        <w:t>за счёт использования анода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Li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4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Ti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5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12</w:t>
      </w:r>
      <w:r w:rsidRPr="00962AB9">
        <w:rPr>
          <w:rFonts w:ascii="Times New Roman" w:hAnsi="Times New Roman" w:cs="Times New Roman"/>
          <w:sz w:val="28"/>
          <w:szCs w:val="28"/>
        </w:rPr>
        <w:t xml:space="preserve">. 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Для LTO-анода характерно так называемое </w:t>
      </w:r>
      <w:r w:rsidR="001A49AA" w:rsidRPr="001A49AA">
        <w:rPr>
          <w:rFonts w:ascii="Times New Roman" w:hAnsi="Times New Roman" w:cs="Times New Roman"/>
          <w:sz w:val="28"/>
          <w:szCs w:val="28"/>
          <w:highlight w:val="yellow"/>
        </w:rPr>
        <w:t>zero-strain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поведение, то есть минимальное изменение объёма при </w:t>
      </w:r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и </w:t>
      </w:r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деинтеркаляции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лития. Именно это обстоятельство обеспечивает исключительно высокую циклическую стабильность, малую склонность к литиевому осаждению и хорошие высокомощностные свойства. Современные обзоры прямо связывают высокую долговечность LTO с </w:t>
      </w:r>
      <w:r w:rsidR="001A49AA" w:rsidRPr="000B5788">
        <w:rPr>
          <w:rFonts w:ascii="Times New Roman" w:hAnsi="Times New Roman" w:cs="Times New Roman"/>
          <w:sz w:val="28"/>
          <w:szCs w:val="28"/>
          <w:highlight w:val="yellow"/>
        </w:rPr>
        <w:t>near-zero 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характером анода.</w:t>
      </w:r>
    </w:p>
    <w:p w14:paraId="46EF66D8" w14:textId="336F7FFA" w:rsidR="00996796" w:rsidRPr="007649B5" w:rsidRDefault="007649B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9B5">
        <w:rPr>
          <w:rFonts w:ascii="Times New Roman" w:hAnsi="Times New Roman" w:cs="Times New Roman"/>
          <w:sz w:val="28"/>
          <w:szCs w:val="28"/>
        </w:rPr>
        <w:t xml:space="preserve">Однако у LTO имеются и принципиальные ограничения. Во-первых, такие системы уступают NMC и LFP по удельной энергии. Во-вторых, для LTO типичны сравнительно низкие электронная и ионная проводимости самого </w:t>
      </w:r>
      <w:r w:rsidRPr="007649B5">
        <w:rPr>
          <w:rFonts w:ascii="Times New Roman" w:hAnsi="Times New Roman" w:cs="Times New Roman"/>
          <w:sz w:val="28"/>
          <w:szCs w:val="28"/>
        </w:rPr>
        <w:lastRenderedPageBreak/>
        <w:t xml:space="preserve">анодного материала, из-за чего для реальных высокомощностных ячеек существенную роль играют архитектура электрода, проводящие добавки и межфазное сопротивление. Современные публикации также указывают на SOC-зависимое и температурно-ускоряемое старение, газообразование и образование поверхностных слоёв, особенно при жёстких режимах </w:t>
      </w:r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Pr="007649B5">
        <w:rPr>
          <w:rFonts w:ascii="Times New Roman" w:hAnsi="Times New Roman" w:cs="Times New Roman"/>
          <w:sz w:val="28"/>
          <w:szCs w:val="28"/>
        </w:rPr>
        <w:t>и высоких температурах.</w:t>
      </w:r>
    </w:p>
    <w:p w14:paraId="635F8921" w14:textId="224ABCF1" w:rsidR="007649B5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С импедансной точки зрения LTO-системы особенно интересны тем, что собственная деградация анода существенно подавлена, а рост сопротивления во многих конфигурациях определяется в большей степени катодной частью и межфазным сопротивлением, чем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разрушением LTO-анода</w:t>
      </w:r>
      <w:r w:rsidRPr="007D40EA">
        <w:rPr>
          <w:rFonts w:ascii="Times New Roman" w:hAnsi="Times New Roman" w:cs="Times New Roman"/>
          <w:sz w:val="28"/>
          <w:szCs w:val="28"/>
        </w:rPr>
        <w:t xml:space="preserve"> как такового. Это подтверждается и специализированным EIS-исследованием для Li-ion батарей с LTO-анодом, где было показано, что уменьшение ёмкости при циклировании главным образом связано с ростом межфазного сопротивления и деградацией катодной стороны.</w:t>
      </w:r>
    </w:p>
    <w:p w14:paraId="6ADAC690" w14:textId="6DEAFC0B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Для целей диссертации это важно по двум причинам. Во-первых, LTO служит эталонной </w:t>
      </w:r>
      <w:commentRangeStart w:id="4"/>
      <w:r w:rsidRPr="007D40EA">
        <w:rPr>
          <w:rFonts w:ascii="Times New Roman" w:hAnsi="Times New Roman" w:cs="Times New Roman"/>
          <w:sz w:val="28"/>
          <w:szCs w:val="28"/>
        </w:rPr>
        <w:t xml:space="preserve">высокоресурсной </w:t>
      </w:r>
      <w:commentRangeEnd w:id="4"/>
      <w:r w:rsidR="000B5788" w:rsidRPr="007D40EA">
        <w:rPr>
          <w:rStyle w:val="ad"/>
          <w:rFonts w:ascii="Times New Roman" w:hAnsi="Times New Roman" w:cs="Times New Roman"/>
          <w:sz w:val="28"/>
          <w:szCs w:val="28"/>
        </w:rPr>
        <w:commentReference w:id="4"/>
      </w:r>
      <w:r w:rsidRPr="007D40EA">
        <w:rPr>
          <w:rFonts w:ascii="Times New Roman" w:hAnsi="Times New Roman" w:cs="Times New Roman"/>
          <w:sz w:val="28"/>
          <w:szCs w:val="28"/>
        </w:rPr>
        <w:t>системой, на которой удобно проверять чувствительность импедансных критериев к медленным деградационным процессам. Во-вторых, поведение LTO показывает, что одна и та же диагностическая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D40E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D40E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7D40EA">
        <w:rPr>
          <w:rFonts w:ascii="Times New Roman" w:hAnsi="Times New Roman" w:cs="Times New Roman"/>
          <w:sz w:val="28"/>
          <w:szCs w:val="28"/>
        </w:rPr>
        <w:t xml:space="preserve"> может иметь различную физическую интерпретацию в зависимости от химической системы: в одном случае она отражает преимущественно анодную деградацию, в другом — катодную, в третьем — их совместный вклад.</w:t>
      </w:r>
    </w:p>
    <w:p w14:paraId="67159D09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C1141" w14:textId="081619E4" w:rsidR="007D40EA" w:rsidRPr="00903768" w:rsidRDefault="0090376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3768">
        <w:rPr>
          <w:rFonts w:ascii="Times New Roman" w:hAnsi="Times New Roman" w:cs="Times New Roman"/>
          <w:b/>
          <w:bCs/>
          <w:sz w:val="28"/>
          <w:szCs w:val="28"/>
        </w:rPr>
        <w:t>1.2.4 Деградация натрий-ионных аккумуляторов</w:t>
      </w:r>
    </w:p>
    <w:p w14:paraId="1C8DEA4A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2667F" w14:textId="4CBEEF24" w:rsidR="00903768" w:rsidRDefault="008B2348" w:rsidP="00B240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Натрий-ионные аккумуляторы</w:t>
      </w:r>
      <w:r w:rsidR="00B240AD">
        <w:rPr>
          <w:rFonts w:ascii="Times New Roman" w:hAnsi="Times New Roman" w:cs="Times New Roman"/>
          <w:sz w:val="28"/>
          <w:szCs w:val="28"/>
        </w:rPr>
        <w:t xml:space="preserve"> 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  <w:lang w:val="en-US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 xml:space="preserve"> – Sodium-Ion Batteries)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в последние годы активно рассматриваются как альтернатива литий-ионным системам, особенно в приложениях, где критичны стоимость, сырьевая доступность и </w:t>
      </w:r>
      <w:r w:rsidRPr="008B2348">
        <w:rPr>
          <w:rFonts w:ascii="Times New Roman" w:hAnsi="Times New Roman" w:cs="Times New Roman"/>
          <w:sz w:val="28"/>
          <w:szCs w:val="28"/>
        </w:rPr>
        <w:lastRenderedPageBreak/>
        <w:t xml:space="preserve">независимость от лития. Однако современные исследования показывают, что натрий-ионные системы в целом характеризуются более медленной кинетикой поляризационных процессов и, как следствие, более выраженными </w:t>
      </w:r>
      <w:commentRangeStart w:id="5"/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импедансными полукругами</w:t>
      </w:r>
      <w:commentRangeEnd w:id="5"/>
      <w:r w:rsidR="000B5788" w:rsidRPr="008B2348">
        <w:rPr>
          <w:rStyle w:val="ad"/>
          <w:rFonts w:ascii="Times New Roman" w:hAnsi="Times New Roman" w:cs="Times New Roman"/>
          <w:sz w:val="28"/>
          <w:szCs w:val="28"/>
        </w:rPr>
        <w:commentReference w:id="5"/>
      </w:r>
      <w:r w:rsidRPr="008B2348">
        <w:rPr>
          <w:rFonts w:ascii="Times New Roman" w:hAnsi="Times New Roman" w:cs="Times New Roman"/>
          <w:sz w:val="28"/>
          <w:szCs w:val="28"/>
        </w:rPr>
        <w:t>, что прямо связано с меньшей подвижностью ионов натрия и более медленным межфазным транспортом.</w:t>
      </w:r>
    </w:p>
    <w:p w14:paraId="1759A9FB" w14:textId="3B580C41" w:rsidR="008B234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Физическая причина такого поведения заключается в большем ионном радиусе Na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348">
        <w:rPr>
          <w:rFonts w:ascii="Times New Roman" w:hAnsi="Times New Roman" w:cs="Times New Roman"/>
          <w:sz w:val="28"/>
          <w:szCs w:val="28"/>
        </w:rPr>
        <w:t>по сравнению с Li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 w:rsidRPr="008B2348">
        <w:rPr>
          <w:rFonts w:ascii="Times New Roman" w:hAnsi="Times New Roman" w:cs="Times New Roman"/>
          <w:sz w:val="28"/>
          <w:szCs w:val="28"/>
        </w:rPr>
        <w:t xml:space="preserve">, что повышает энергетический барьер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Pr="008B2348">
        <w:rPr>
          <w:rFonts w:ascii="Times New Roman" w:hAnsi="Times New Roman" w:cs="Times New Roman"/>
          <w:sz w:val="28"/>
          <w:szCs w:val="28"/>
        </w:rPr>
        <w:t xml:space="preserve"> и усиливает чувствительность к геометрии каналов диффузии и к качеству межфазного контакта. В результате у Na</w:t>
      </w:r>
      <w:r w:rsidR="00D4400F">
        <w:rPr>
          <w:rFonts w:ascii="Times New Roman" w:hAnsi="Times New Roman" w:cs="Times New Roman"/>
          <w:sz w:val="28"/>
          <w:szCs w:val="28"/>
        </w:rPr>
        <w:t>-</w:t>
      </w:r>
      <w:r w:rsidRPr="008B2348">
        <w:rPr>
          <w:rFonts w:ascii="Times New Roman" w:hAnsi="Times New Roman" w:cs="Times New Roman"/>
          <w:sz w:val="28"/>
          <w:szCs w:val="28"/>
        </w:rPr>
        <w:t xml:space="preserve">ion аккумуляторов чаще наблюдаются более высокие значения как омической, так и зарядопереносной составляющей импеданса. Современные обзоры механизмов деградации </w:t>
      </w:r>
      <w:r w:rsidRPr="00D4400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(Sodium-Ion Batteries)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подчёркивают также важную роль нестабильности межфазного слоя, структурных превращений катодов и неоднородностей производства коммерческих элементов.</w:t>
      </w:r>
    </w:p>
    <w:p w14:paraId="5A352AC9" w14:textId="41B20294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018">
        <w:rPr>
          <w:rFonts w:ascii="Times New Roman" w:hAnsi="Times New Roman" w:cs="Times New Roman"/>
          <w:sz w:val="28"/>
          <w:szCs w:val="28"/>
        </w:rPr>
        <w:t>В инженерном представлении деградацию натрий-ионной системы можно записать как</w:t>
      </w:r>
    </w:p>
    <w:p w14:paraId="133C25A3" w14:textId="77777777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C238E0" w14:textId="53E9192F" w:rsidR="00EE6018" w:rsidRPr="00B240AD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5407">
        <w:rPr>
          <w:rFonts w:ascii="Times New Roman" w:hAnsi="Times New Roman" w:cs="Times New Roman"/>
          <w:position w:val="-12"/>
          <w:sz w:val="28"/>
          <w:szCs w:val="28"/>
        </w:rPr>
        <w:object w:dxaOrig="3420" w:dyaOrig="400" w14:anchorId="387CB7D6">
          <v:shape id="_x0000_i1040" type="#_x0000_t75" style="width:170.85pt;height:20.4pt" o:ole="">
            <v:imagedata r:id="rId43" o:title=""/>
          </v:shape>
          <o:OLEObject Type="Embed" ProgID="Equation.DSMT4" ShapeID="_x0000_i1040" DrawAspect="Content" ObjectID="_1841992660" r:id="rId44"/>
        </w:object>
      </w:r>
      <w:r w:rsidR="00B240AD" w:rsidRPr="00B240AD">
        <w:rPr>
          <w:rFonts w:ascii="Times New Roman" w:hAnsi="Times New Roman" w:cs="Times New Roman"/>
          <w:sz w:val="28"/>
          <w:szCs w:val="28"/>
        </w:rPr>
        <w:t>,</w:t>
      </w:r>
    </w:p>
    <w:p w14:paraId="08F83134" w14:textId="77777777" w:rsidR="00EE6018" w:rsidRPr="00B240AD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B3057C" w14:textId="08113CC9" w:rsidR="00445407" w:rsidRPr="00A07748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445407">
        <w:rPr>
          <w:rFonts w:ascii="Times New Roman" w:hAnsi="Times New Roman" w:cs="Times New Roman"/>
          <w:sz w:val="28"/>
          <w:szCs w:val="28"/>
        </w:rPr>
        <w:t>последнее слагаемое отражает вклад структурных перестроек и объёмных деформаций.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В отличие от LTO, где деградация распределена более мягко, и от LFP, где ведущую роль может долго играть потеря циклируемого лития, у Na-ion систем часто раньше и сильнее проявляется именно рост поляризационных потерь.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Поэтому в EIS-постановке такие системы особенно показательны для анализа связки «рост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4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45407">
        <w:rPr>
          <w:rFonts w:ascii="Times New Roman" w:hAnsi="Times New Roman" w:cs="Times New Roman"/>
          <w:sz w:val="28"/>
          <w:szCs w:val="28"/>
        </w:rPr>
        <w:t xml:space="preserve"> рост общего импеданса — снижение мощности».</w:t>
      </w:r>
    </w:p>
    <w:p w14:paraId="6FB4CF5A" w14:textId="10E714AE" w:rsidR="00445407" w:rsidRPr="00A07748" w:rsidRDefault="00204A1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4A17">
        <w:rPr>
          <w:rFonts w:ascii="Times New Roman" w:hAnsi="Times New Roman" w:cs="Times New Roman"/>
          <w:sz w:val="28"/>
          <w:szCs w:val="28"/>
        </w:rPr>
        <w:lastRenderedPageBreak/>
        <w:t>Для диссертационной логики введение Na-ion систем важно ещё и потому, что они позволяют проверить универсальность диагностико</w:t>
      </w:r>
      <w:r w:rsidR="00443C43" w:rsidRPr="00443C43">
        <w:rPr>
          <w:rFonts w:ascii="Times New Roman" w:hAnsi="Times New Roman" w:cs="Times New Roman"/>
          <w:sz w:val="28"/>
          <w:szCs w:val="28"/>
        </w:rPr>
        <w:t>-</w:t>
      </w:r>
      <w:r w:rsidRPr="00204A17">
        <w:rPr>
          <w:rFonts w:ascii="Times New Roman" w:hAnsi="Times New Roman" w:cs="Times New Roman"/>
          <w:sz w:val="28"/>
          <w:szCs w:val="28"/>
        </w:rPr>
        <w:t>прогностического аппарата на химии, существенно отличающейся от классических литиевых батарей. Если модель, построенная на параметрах комплексного импеданса, сохраняет прогностическую состоятельность и для Na-ion, это резко усиливает её обобщающую ценность.</w:t>
      </w:r>
    </w:p>
    <w:p w14:paraId="07A27348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7243BB" w14:textId="59FBC81D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43"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43C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Доминирующие </w:t>
      </w:r>
      <w:r w:rsidRPr="00443C43">
        <w:rPr>
          <w:rFonts w:ascii="Times New Roman" w:hAnsi="Times New Roman" w:cs="Times New Roman"/>
          <w:sz w:val="28"/>
          <w:szCs w:val="28"/>
        </w:rPr>
        <w:t>механизмы старения исследуемых аккумуляторных систем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72"/>
        <w:gridCol w:w="2399"/>
        <w:gridCol w:w="2396"/>
        <w:gridCol w:w="2460"/>
      </w:tblGrid>
      <w:tr w:rsidR="00140008" w14:paraId="49A89F90" w14:textId="77777777" w:rsidTr="00140008">
        <w:tc>
          <w:tcPr>
            <w:tcW w:w="2406" w:type="dxa"/>
          </w:tcPr>
          <w:p w14:paraId="05A6D033" w14:textId="079A7E19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Химическая система</w:t>
            </w:r>
          </w:p>
        </w:tc>
        <w:tc>
          <w:tcPr>
            <w:tcW w:w="2407" w:type="dxa"/>
          </w:tcPr>
          <w:p w14:paraId="6B8DD7D1" w14:textId="148CC97D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Доминирующие механизмы деградации</w:t>
            </w:r>
          </w:p>
        </w:tc>
        <w:tc>
          <w:tcPr>
            <w:tcW w:w="2407" w:type="dxa"/>
          </w:tcPr>
          <w:p w14:paraId="3B9D5BF8" w14:textId="4E3EA763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чувствительные импедансные признаки</w:t>
            </w:r>
          </w:p>
        </w:tc>
        <w:tc>
          <w:tcPr>
            <w:tcW w:w="2407" w:type="dxa"/>
          </w:tcPr>
          <w:p w14:paraId="1EDE1A6E" w14:textId="304CDBC0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уязвимый эксплуатационный фактор</w:t>
            </w:r>
          </w:p>
        </w:tc>
      </w:tr>
      <w:tr w:rsidR="00140008" w14:paraId="7D2B2107" w14:textId="77777777" w:rsidTr="00140008">
        <w:tc>
          <w:tcPr>
            <w:tcW w:w="2406" w:type="dxa"/>
          </w:tcPr>
          <w:p w14:paraId="64FE3A97" w14:textId="6751F74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NMC</w:t>
            </w:r>
          </w:p>
        </w:tc>
        <w:tc>
          <w:tcPr>
            <w:tcW w:w="2407" w:type="dxa"/>
          </w:tcPr>
          <w:p w14:paraId="081AA68C" w14:textId="711EFCA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рост межфазных сопротивлений, микротрещины катода, растворение переходных металлов, потеря активного лития</w:t>
            </w:r>
          </w:p>
        </w:tc>
        <w:tc>
          <w:tcPr>
            <w:tcW w:w="2407" w:type="dxa"/>
          </w:tcPr>
          <w:p w14:paraId="01740DB9" w14:textId="485E5703" w:rsidR="00140008" w:rsidRDefault="0048460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быстрый рост </w:t>
            </w:r>
            <w:r w:rsidRPr="0048460B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, расширение полукруга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графика 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>Найквиста, усиление низкочастотного хвоста</w:t>
            </w:r>
          </w:p>
        </w:tc>
        <w:tc>
          <w:tcPr>
            <w:tcW w:w="2407" w:type="dxa"/>
          </w:tcPr>
          <w:p w14:paraId="5C3F22E9" w14:textId="29AD4642" w:rsidR="00140008" w:rsidRDefault="00E2245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22459">
              <w:rPr>
                <w:rFonts w:ascii="Times New Roman" w:hAnsi="Times New Roman" w:cs="Times New Roman"/>
                <w:sz w:val="28"/>
                <w:szCs w:val="28"/>
              </w:rPr>
              <w:t>высокий SOC, высокая температура, высокое верхнее напряжение</w:t>
            </w:r>
          </w:p>
        </w:tc>
      </w:tr>
      <w:tr w:rsidR="00140008" w14:paraId="223A922C" w14:textId="77777777" w:rsidTr="00140008">
        <w:tc>
          <w:tcPr>
            <w:tcW w:w="2406" w:type="dxa"/>
          </w:tcPr>
          <w:p w14:paraId="7A9F13C8" w14:textId="6C26E457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LFP</w:t>
            </w:r>
          </w:p>
        </w:tc>
        <w:tc>
          <w:tcPr>
            <w:tcW w:w="2407" w:type="dxa"/>
          </w:tcPr>
          <w:p w14:paraId="43C6E4CE" w14:textId="191BA1E4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 xml:space="preserve">потеря циклируемого лития, снижение активной площади, рост межфазного сопротивления анода, </w:t>
            </w:r>
            <w:r w:rsidRPr="003C4AE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диффузионные ограничения</w:t>
            </w:r>
          </w:p>
        </w:tc>
        <w:tc>
          <w:tcPr>
            <w:tcW w:w="2407" w:type="dxa"/>
          </w:tcPr>
          <w:p w14:paraId="40448422" w14:textId="5B4915F9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умеренный рост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выраженная диффузионная область</w:t>
            </w:r>
          </w:p>
        </w:tc>
        <w:tc>
          <w:tcPr>
            <w:tcW w:w="2407" w:type="dxa"/>
          </w:tcPr>
          <w:p w14:paraId="1F8DE944" w14:textId="02479D38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низкие температуры, длительное хранение при высоком SOC, высокий ток</w:t>
            </w:r>
          </w:p>
        </w:tc>
      </w:tr>
      <w:tr w:rsidR="00140008" w14:paraId="657E195D" w14:textId="77777777" w:rsidTr="00140008">
        <w:tc>
          <w:tcPr>
            <w:tcW w:w="2406" w:type="dxa"/>
          </w:tcPr>
          <w:p w14:paraId="3C066BDD" w14:textId="4DB39087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LTO</w:t>
            </w:r>
          </w:p>
        </w:tc>
        <w:tc>
          <w:tcPr>
            <w:tcW w:w="2407" w:type="dxa"/>
          </w:tcPr>
          <w:p w14:paraId="5D64DADE" w14:textId="5E4C0DAD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межфазное сопротивление, газообразование, катодная деградация, температурно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ускоренное старение</w:t>
            </w:r>
          </w:p>
        </w:tc>
        <w:tc>
          <w:tcPr>
            <w:tcW w:w="2407" w:type="dxa"/>
          </w:tcPr>
          <w:p w14:paraId="012D71D6" w14:textId="220A40BC" w:rsidR="00140008" w:rsidRDefault="002D579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D5799">
              <w:rPr>
                <w:rFonts w:ascii="Times New Roman" w:hAnsi="Times New Roman" w:cs="Times New Roman"/>
                <w:sz w:val="28"/>
                <w:szCs w:val="28"/>
              </w:rPr>
              <w:t xml:space="preserve">медленный рост </w:t>
            </w:r>
            <w:r w:rsidRPr="002D579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r w:rsidRPr="002D5799">
              <w:rPr>
                <w:rFonts w:ascii="Times New Roman" w:hAnsi="Times New Roman" w:cs="Times New Roman"/>
                <w:sz w:val="28"/>
                <w:szCs w:val="28"/>
              </w:rPr>
              <w:t>, слабый рост общего импеданса на ранней стадии</w:t>
            </w:r>
          </w:p>
        </w:tc>
        <w:tc>
          <w:tcPr>
            <w:tcW w:w="2407" w:type="dxa"/>
          </w:tcPr>
          <w:p w14:paraId="4774C388" w14:textId="0405A1D0" w:rsidR="00140008" w:rsidRPr="0056443E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высокие температуры, неблагоприятное SOC-окно, экстремальный power cycling</w:t>
            </w:r>
          </w:p>
        </w:tc>
      </w:tr>
      <w:tr w:rsidR="00140008" w14:paraId="225EA8F9" w14:textId="77777777" w:rsidTr="00140008">
        <w:tc>
          <w:tcPr>
            <w:tcW w:w="2406" w:type="dxa"/>
          </w:tcPr>
          <w:p w14:paraId="319FEBBD" w14:textId="15EEFBAF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Na-ion</w:t>
            </w:r>
          </w:p>
        </w:tc>
        <w:tc>
          <w:tcPr>
            <w:tcW w:w="2407" w:type="dxa"/>
          </w:tcPr>
          <w:p w14:paraId="5F237B2A" w14:textId="4AE9EE06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нестабильность интерфейса, структурные превращения катода, замедленный транспорт Na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+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рост поляризации</w:t>
            </w:r>
          </w:p>
        </w:tc>
        <w:tc>
          <w:tcPr>
            <w:tcW w:w="2407" w:type="dxa"/>
          </w:tcPr>
          <w:p w14:paraId="6F38DB5D" w14:textId="27E5F309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высокий начальный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2B43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крупные полукруги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сильный рост импеданса при старении</w:t>
            </w:r>
          </w:p>
        </w:tc>
        <w:tc>
          <w:tcPr>
            <w:tcW w:w="2407" w:type="dxa"/>
          </w:tcPr>
          <w:p w14:paraId="73446835" w14:textId="0CD19718" w:rsidR="00140008" w:rsidRDefault="007154B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54BD">
              <w:rPr>
                <w:rFonts w:ascii="Times New Roman" w:hAnsi="Times New Roman" w:cs="Times New Roman"/>
                <w:sz w:val="28"/>
                <w:szCs w:val="28"/>
              </w:rPr>
              <w:t>температурные возмущения, высокие токи, неоднородность материала</w:t>
            </w:r>
          </w:p>
        </w:tc>
      </w:tr>
    </w:tbl>
    <w:p w14:paraId="42AD9D8D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073C1C" w14:textId="75CA3FA3" w:rsidR="00283988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Таблица фиксирует, что одинаковая наблюдаемая макровеличина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>например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 xml:space="preserve">может иметь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различную причинную природу</w:t>
      </w:r>
      <w:r w:rsidRPr="00216404">
        <w:rPr>
          <w:rFonts w:ascii="Times New Roman" w:hAnsi="Times New Roman" w:cs="Times New Roman"/>
          <w:sz w:val="28"/>
          <w:szCs w:val="28"/>
        </w:rPr>
        <w:t>. Следовательно, в дальнейших разделах диссертации параметрическая идентификация должна сопровождаться химически-специфичной интерпретацией спектра.</w:t>
      </w:r>
    </w:p>
    <w:p w14:paraId="525494A6" w14:textId="51A69974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Механистические различия между химическими системами удобно представить не только в словесной, но и в сравнительно аналитической форме.</w:t>
      </w:r>
    </w:p>
    <w:p w14:paraId="1CAD35ED" w14:textId="1D94E8D5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  <w:r w:rsidRPr="00216404">
        <w:rPr>
          <w:rFonts w:ascii="Times New Roman" w:hAnsi="Times New Roman" w:cs="Times New Roman"/>
          <w:sz w:val="28"/>
          <w:szCs w:val="28"/>
        </w:rPr>
        <w:t xml:space="preserve"> показывают, что каждая химическая система обладает собственным профилем доминирующих деградационных механизмов. Это означает, что универсальная диагностика возможна только при сохранении </w:t>
      </w:r>
      <w:r w:rsidRPr="00216404">
        <w:rPr>
          <w:rFonts w:ascii="Times New Roman" w:hAnsi="Times New Roman" w:cs="Times New Roman"/>
          <w:sz w:val="28"/>
          <w:szCs w:val="28"/>
        </w:rPr>
        <w:lastRenderedPageBreak/>
        <w:t>единого математического ядра и одновременном введении химически-специфичных коэффициентов интерпретации.</w:t>
      </w:r>
    </w:p>
    <w:p w14:paraId="3CF7DE4B" w14:textId="69670347" w:rsidR="00216404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7E798C6" wp14:editId="3197B26A">
            <wp:extent cx="6119495" cy="3190240"/>
            <wp:effectExtent l="0" t="0" r="0" b="0"/>
            <wp:docPr id="1679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6DABD" w14:textId="0A8B821D" w:rsidR="00D400C8" w:rsidRDefault="00824D2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4D26">
        <w:rPr>
          <w:rFonts w:ascii="Times New Roman" w:hAnsi="Times New Roman" w:cs="Times New Roman"/>
          <w:sz w:val="28"/>
          <w:szCs w:val="28"/>
        </w:rPr>
        <w:t xml:space="preserve">Рисунок 1.4 — Доминирующие механизмы деградации по результатам </w:t>
      </w:r>
      <w:r w:rsidRPr="00824D26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</w:p>
    <w:p w14:paraId="63D9B23D" w14:textId="77777777" w:rsidR="00D400C8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FF949" w14:textId="38FB3BBE" w:rsidR="00824D26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На рисунке представлена сравнительная карта основных механизмов старения для NMC, LFP, LTO и Na-ion систем. Числовые индексы отражают относительный вклад межфазного роста, потери циклируемого лития или натрия, структурной деградации, роста зарядопереносного сопротивления и диффузионных ограничений в суммарную деградационную картину исследуемых батарей.</w:t>
      </w:r>
    </w:p>
    <w:p w14:paraId="187963D2" w14:textId="61DD8DBD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Из рисунка следует, что для NMC наиболее существенны структурная деградация и рост межфазных сопротивлений, для LFP — зарядопереносная и диффузионная составляющие, для LTO вклад механизмов распределён более мягко и равномерно, а для Na-ion наиболее резко проявляются зарядопереносные и диффузионные ограничения. Такая картина согласуется с современными обзорами по соответствующим химическим системам.</w:t>
      </w:r>
    </w:p>
    <w:p w14:paraId="3313B55E" w14:textId="1BDF451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состоит в том, что он переводит механизм старения из качественного описания в сравнительную матрицу, пригодную для дальнейшей математической параметризации. Практическая ценность состоит в возможности заранее определить, какой набор импедансных признаков должен быть приоритетным для конкретной химической системы: для NMC — ранний мониторинг </w:t>
      </w:r>
      <w:r w:rsidRPr="00BB724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B724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7242">
        <w:rPr>
          <w:rFonts w:ascii="Times New Roman" w:hAnsi="Times New Roman" w:cs="Times New Roman"/>
          <w:sz w:val="28"/>
          <w:szCs w:val="28"/>
        </w:rPr>
        <w:t>структурно-индуцированной поляризации, для LFP — диффузионных изменений, для LTO — долгосрочного дрейфа межфазных параметров, для Na-ion — совокупной поляризационной динамики.</w:t>
      </w:r>
    </w:p>
    <w:p w14:paraId="72BE98C9" w14:textId="5253DB4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Следующее фундаментальное различие между системами проявляется в скорости потери ёмкости при циклическом старении.</w:t>
      </w:r>
    </w:p>
    <w:p w14:paraId="5D8B08D4" w14:textId="0FF79037" w:rsidR="00BB7242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725">
        <w:rPr>
          <w:rFonts w:ascii="Times New Roman" w:hAnsi="Times New Roman" w:cs="Times New Roman"/>
          <w:sz w:val="28"/>
          <w:szCs w:val="28"/>
        </w:rPr>
        <w:t xml:space="preserve">Кривые деградации относительной ёмкости, полученные в опытной серии циклических испытаний, позволяют проследить различие не только в общем ресурсе батарей, но и в </w:t>
      </w:r>
      <w:r w:rsidRPr="00B240AD">
        <w:rPr>
          <w:rFonts w:ascii="Times New Roman" w:hAnsi="Times New Roman" w:cs="Times New Roman"/>
          <w:sz w:val="28"/>
          <w:szCs w:val="28"/>
          <w:highlight w:val="yellow"/>
        </w:rPr>
        <w:t>форме деградационной траектории</w:t>
      </w:r>
      <w:r w:rsidRPr="003A7725">
        <w:rPr>
          <w:rFonts w:ascii="Times New Roman" w:hAnsi="Times New Roman" w:cs="Times New Roman"/>
          <w:sz w:val="28"/>
          <w:szCs w:val="28"/>
        </w:rPr>
        <w:t>. Именно форма траектории, а не только точка достижения 80% ёмкости, играет решающую роль при построении прогностической модели.</w:t>
      </w:r>
    </w:p>
    <w:p w14:paraId="0842A7E6" w14:textId="77777777" w:rsidR="003A7725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4C4A6" w14:textId="1EEF3B4F" w:rsidR="003A7725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1FE863" wp14:editId="078E888B">
            <wp:extent cx="6119495" cy="3638550"/>
            <wp:effectExtent l="0" t="0" r="0" b="0"/>
            <wp:docPr id="10308119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6C64B" w14:textId="70751801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53A">
        <w:rPr>
          <w:rFonts w:ascii="Times New Roman" w:hAnsi="Times New Roman" w:cs="Times New Roman"/>
          <w:sz w:val="28"/>
          <w:szCs w:val="28"/>
        </w:rPr>
        <w:lastRenderedPageBreak/>
        <w:t>Рисунок 1.5 — Деградация относительной ёмкости в опытной серии циклических испытаний</w:t>
      </w:r>
    </w:p>
    <w:p w14:paraId="4882A8B6" w14:textId="77777777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E83D90" w14:textId="2C2C1886" w:rsidR="0000453A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На рисунке представлены зависимости C/C</w:t>
      </w:r>
      <w:r w:rsidRPr="00795D96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795D96">
        <w:rPr>
          <w:rFonts w:ascii="Times New Roman" w:hAnsi="Times New Roman" w:cs="Times New Roman"/>
          <w:sz w:val="28"/>
          <w:szCs w:val="28"/>
        </w:rPr>
        <w:t xml:space="preserve"> от числа циклов для NMC, LFP, LTO и Na-ion батарей. Горизонтальная линия соответствует принятому пороговому критерию конца ресурса по ёмкости, равному 80% от исходного значения. Кривая NMC демонстрирует наиболее ранний переход к ускоренному снижению ёмкости; LFP убывает медленнее и более плавно; LTO сохраняет наивысшую стабильность во всём диапазоне циклирования; Na-ion занимает промежуточное положение, однако характеризуется более выраженным ускорением деградации на поздних стадиях</w:t>
      </w:r>
    </w:p>
    <w:p w14:paraId="7BC544E0" w14:textId="4931796C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подчёркивает различие </w:t>
      </w:r>
      <w:r w:rsidRPr="000A5FBD">
        <w:rPr>
          <w:rFonts w:ascii="Times New Roman" w:hAnsi="Times New Roman" w:cs="Times New Roman"/>
          <w:sz w:val="28"/>
          <w:szCs w:val="28"/>
          <w:highlight w:val="yellow"/>
        </w:rPr>
        <w:t>деградационных законов</w:t>
      </w:r>
      <w:r w:rsidRPr="00795D96">
        <w:rPr>
          <w:rFonts w:ascii="Times New Roman" w:hAnsi="Times New Roman" w:cs="Times New Roman"/>
          <w:sz w:val="28"/>
          <w:szCs w:val="28"/>
        </w:rPr>
        <w:t xml:space="preserve"> для разных химических систем. Для NMC и Na-ion существенно выражена нелинейная ускоряющаяся стадия старения, тогда как для LFP и особенно LTO траектория дольше сохраняет квазилинейный характер. Это означает, что прогностическая модель </w:t>
      </w:r>
      <w:r w:rsidRPr="000A5FBD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RUL</w:t>
      </w:r>
      <w:r w:rsidRPr="00795D96">
        <w:rPr>
          <w:rFonts w:ascii="Times New Roman" w:hAnsi="Times New Roman" w:cs="Times New Roman"/>
          <w:sz w:val="28"/>
          <w:szCs w:val="28"/>
        </w:rPr>
        <w:t xml:space="preserve"> линейной аппроксимации для всех химий.</w:t>
      </w:r>
    </w:p>
    <w:p w14:paraId="0BAE5317" w14:textId="50AE28A0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заключается в возможности формирования химически-адаптивных эксплуатационных регламентов. Для NMC важен более ранний переход к режимам щадящей эксплуатации при росте импеданса, для LFP — контроль длительного </w:t>
      </w:r>
      <w:r w:rsidRPr="00795D9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795D96">
        <w:rPr>
          <w:rFonts w:ascii="Times New Roman" w:hAnsi="Times New Roman" w:cs="Times New Roman"/>
          <w:sz w:val="28"/>
          <w:szCs w:val="28"/>
        </w:rPr>
        <w:t>, для LTO — мониторинг сверхдолгосрочного ресурса, для Na-ion — предупреждение ускоренной поляризационной деградации.</w:t>
      </w:r>
    </w:p>
    <w:p w14:paraId="38F6DB1F" w14:textId="5B1DB699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Однако с точки зрения импедансной диагностики ещё более показательным параметром является не сама ёмкость, а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689CC5" w14:textId="2187D9CE" w:rsidR="00574A9B" w:rsidRDefault="00574A9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A9B">
        <w:rPr>
          <w:rFonts w:ascii="Times New Roman" w:hAnsi="Times New Roman" w:cs="Times New Roman"/>
          <w:sz w:val="28"/>
          <w:szCs w:val="28"/>
        </w:rPr>
        <w:t xml:space="preserve">Даже в тех случаях, когда потеря ёмкости остаётся умеренной, сопротивление переноса заряда может возрастать существенно быстрее. Это </w:t>
      </w:r>
      <w:r w:rsidRPr="00574A9B">
        <w:rPr>
          <w:rFonts w:ascii="Times New Roman" w:hAnsi="Times New Roman" w:cs="Times New Roman"/>
          <w:sz w:val="28"/>
          <w:szCs w:val="28"/>
        </w:rPr>
        <w:lastRenderedPageBreak/>
        <w:t xml:space="preserve">особенно важно для тягового применения, поскольку именно </w:t>
      </w:r>
      <w:r w:rsidRPr="00574A9B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74A9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74A9B">
        <w:rPr>
          <w:rFonts w:ascii="Times New Roman" w:hAnsi="Times New Roman" w:cs="Times New Roman"/>
          <w:sz w:val="28"/>
          <w:szCs w:val="28"/>
        </w:rPr>
        <w:t xml:space="preserve"> потерями и точностью прогноза остаточного ресурса.</w:t>
      </w:r>
    </w:p>
    <w:p w14:paraId="23DED1A8" w14:textId="77777777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367C54" w14:textId="49A83929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7CA056E" wp14:editId="05861BDC">
            <wp:extent cx="6119495" cy="3638550"/>
            <wp:effectExtent l="0" t="0" r="0" b="0"/>
            <wp:docPr id="1223756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A3CA" w14:textId="09AE5B3A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4021">
        <w:rPr>
          <w:rFonts w:ascii="Times New Roman" w:hAnsi="Times New Roman" w:cs="Times New Roman"/>
          <w:sz w:val="28"/>
          <w:szCs w:val="28"/>
        </w:rPr>
        <w:t>Рисунок 1.6 — Рост сопротивления переноса заряда в процессе старения</w:t>
      </w:r>
    </w:p>
    <w:p w14:paraId="2C5B7C38" w14:textId="7EEA0AC6" w:rsidR="002A4021" w:rsidRPr="00A07748" w:rsidRDefault="00026C0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C0E">
        <w:rPr>
          <w:rFonts w:ascii="Times New Roman" w:hAnsi="Times New Roman" w:cs="Times New Roman"/>
          <w:sz w:val="28"/>
          <w:szCs w:val="28"/>
        </w:rPr>
        <w:t xml:space="preserve">На рисунке представлены экспериментальные зависимости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26C0E">
        <w:rPr>
          <w:rFonts w:ascii="Times New Roman" w:hAnsi="Times New Roman" w:cs="Times New Roman"/>
          <w:sz w:val="28"/>
          <w:szCs w:val="28"/>
        </w:rPr>
        <w:t xml:space="preserve"> для NMC, LFP, LTO и Na-ion батарей. Видно, что Na-ion элементы уже на начальной стадии имеют наибольшие значения 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26C0E">
        <w:rPr>
          <w:rFonts w:ascii="Times New Roman" w:hAnsi="Times New Roman" w:cs="Times New Roman"/>
          <w:sz w:val="28"/>
          <w:szCs w:val="28"/>
        </w:rPr>
        <w:t>а затем демонстрируют наиболее резкий рост.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NMC характеризуется умеренным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начальным значением, но заметным ускорением старения после 2000 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LFP показывает более плавный рост, а LTO — наиболее медленный дрейф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sz w:val="28"/>
          <w:szCs w:val="28"/>
        </w:rPr>
        <w:t xml:space="preserve"> во всём исследованном диапазоне.</w:t>
      </w:r>
    </w:p>
    <w:p w14:paraId="33D10504" w14:textId="2F86B410" w:rsidR="00026C0E" w:rsidRDefault="001B30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02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прямом подтверждении того, что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B30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1B3024">
        <w:rPr>
          <w:rFonts w:ascii="Times New Roman" w:hAnsi="Times New Roman" w:cs="Times New Roman"/>
          <w:sz w:val="28"/>
          <w:szCs w:val="28"/>
        </w:rPr>
        <w:t xml:space="preserve"> является химически универсальным, но количественно различным индикатором деградации. Это делает его естественным кандидатом на роль базовой диагностической переменной в будущей модел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EB5BB7" w:rsidRPr="00EB5BB7">
        <w:rPr>
          <w:rFonts w:ascii="Times New Roman" w:hAnsi="Times New Roman" w:cs="Times New Roman"/>
          <w:sz w:val="28"/>
          <w:szCs w:val="28"/>
        </w:rPr>
        <w:t xml:space="preserve">Практическая ценность рисунка состоит в том, что он позволяет заранее оценивать потерю </w:t>
      </w:r>
      <w:r w:rsidR="00EB5BB7" w:rsidRPr="00EB5BB7">
        <w:rPr>
          <w:rFonts w:ascii="Times New Roman" w:hAnsi="Times New Roman" w:cs="Times New Roman"/>
          <w:sz w:val="28"/>
          <w:szCs w:val="28"/>
        </w:rPr>
        <w:lastRenderedPageBreak/>
        <w:t>доступной мощности батарейного модуля ещё до достижения формального порога конца ресурса по ёмкости.</w:t>
      </w:r>
    </w:p>
    <w:p w14:paraId="3F8F136C" w14:textId="6D335DAA" w:rsidR="00EB5BB7" w:rsidRDefault="00EB5BB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BB7">
        <w:rPr>
          <w:rFonts w:ascii="Times New Roman" w:hAnsi="Times New Roman" w:cs="Times New Roman"/>
          <w:sz w:val="28"/>
          <w:szCs w:val="28"/>
        </w:rPr>
        <w:t>Наконец, для всех рассматриваемых химий существенным остаётся температурный фактор.</w:t>
      </w:r>
    </w:p>
    <w:p w14:paraId="23454843" w14:textId="189CA6C3" w:rsidR="00EB5BB7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87A">
        <w:rPr>
          <w:rFonts w:ascii="Times New Roman" w:hAnsi="Times New Roman" w:cs="Times New Roman"/>
          <w:sz w:val="28"/>
          <w:szCs w:val="28"/>
          <w:highlight w:val="yellow"/>
        </w:rPr>
        <w:t>Термочувствительность</w:t>
      </w:r>
      <w:r w:rsidRPr="00E5587A">
        <w:rPr>
          <w:rFonts w:ascii="Times New Roman" w:hAnsi="Times New Roman" w:cs="Times New Roman"/>
          <w:sz w:val="28"/>
          <w:szCs w:val="28"/>
        </w:rPr>
        <w:t xml:space="preserve"> деградации определяет необходимость включения температурной переменной в любую ресурсную модель. Результаты термоциклической серии показывают, что ускорение старения имеет выраженный экспоненциальный характер, но коэф</w:t>
      </w:r>
      <w:r w:rsidRPr="000A5FBD">
        <w:rPr>
          <w:rFonts w:ascii="Times New Roman" w:hAnsi="Times New Roman" w:cs="Times New Roman"/>
          <w:sz w:val="28"/>
          <w:szCs w:val="28"/>
        </w:rPr>
        <w:t>фициенты температурного ускорения</w:t>
      </w:r>
      <w:r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="000A5FBD" w:rsidRPr="000A5FBD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0A5FBD"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Pr="00E5587A">
        <w:rPr>
          <w:rFonts w:ascii="Times New Roman" w:hAnsi="Times New Roman" w:cs="Times New Roman"/>
          <w:sz w:val="28"/>
          <w:szCs w:val="28"/>
        </w:rPr>
        <w:t>зависят от типа батареи</w:t>
      </w:r>
    </w:p>
    <w:p w14:paraId="2D3F4F66" w14:textId="77777777" w:rsidR="00E5587A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D72DAB" w14:textId="3202FE94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28A387" wp14:editId="7BB8E1AF">
            <wp:extent cx="6119495" cy="3638550"/>
            <wp:effectExtent l="0" t="0" r="0" b="0"/>
            <wp:docPr id="8023394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7EDB" w14:textId="39CF017F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6DD">
        <w:rPr>
          <w:rFonts w:ascii="Times New Roman" w:hAnsi="Times New Roman" w:cs="Times New Roman"/>
          <w:sz w:val="28"/>
          <w:szCs w:val="28"/>
        </w:rPr>
        <w:t>Рисунок 1.7 — Температурное ускорение деградации по результатам термоциклических испытаний</w:t>
      </w:r>
    </w:p>
    <w:p w14:paraId="28F5DD09" w14:textId="77777777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B11DC" w14:textId="0F196002" w:rsidR="007846DD" w:rsidRDefault="00956A4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A45">
        <w:rPr>
          <w:rFonts w:ascii="Times New Roman" w:hAnsi="Times New Roman" w:cs="Times New Roman"/>
          <w:sz w:val="28"/>
          <w:szCs w:val="28"/>
        </w:rPr>
        <w:t xml:space="preserve">На рисунке приведены относительные коэффициенты ускорения деградации </w:t>
      </w:r>
      <w:r w:rsidRPr="00956A45">
        <w:rPr>
          <w:rFonts w:ascii="Times New Roman" w:hAnsi="Times New Roman" w:cs="Times New Roman"/>
          <w:i/>
          <w:iCs/>
          <w:sz w:val="28"/>
          <w:szCs w:val="28"/>
        </w:rPr>
        <w:t>k/k</w:t>
      </w:r>
      <w:r w:rsidRPr="00956A4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20</w:t>
      </w:r>
      <w:r w:rsidRPr="00956A45">
        <w:rPr>
          <w:rFonts w:ascii="Times New Roman" w:hAnsi="Times New Roman" w:cs="Times New Roman"/>
          <w:sz w:val="28"/>
          <w:szCs w:val="28"/>
        </w:rPr>
        <w:t xml:space="preserve"> для NMC, LFP, LTO и Na-ion систем при повышении температуры. Все кривые имеют нелинейный возрастающий характер, </w:t>
      </w:r>
      <w:r w:rsidRPr="00956A45">
        <w:rPr>
          <w:rFonts w:ascii="Times New Roman" w:hAnsi="Times New Roman" w:cs="Times New Roman"/>
          <w:sz w:val="28"/>
          <w:szCs w:val="28"/>
        </w:rPr>
        <w:lastRenderedPageBreak/>
        <w:t xml:space="preserve">согласующийся с </w:t>
      </w:r>
      <w:r w:rsidRPr="00956A45">
        <w:rPr>
          <w:rFonts w:ascii="Times New Roman" w:hAnsi="Times New Roman" w:cs="Times New Roman"/>
          <w:sz w:val="28"/>
          <w:szCs w:val="28"/>
          <w:highlight w:val="yellow"/>
        </w:rPr>
        <w:t>аррениусовской природой деградации</w:t>
      </w:r>
      <w:r w:rsidRPr="00956A45">
        <w:rPr>
          <w:rFonts w:ascii="Times New Roman" w:hAnsi="Times New Roman" w:cs="Times New Roman"/>
          <w:sz w:val="28"/>
          <w:szCs w:val="28"/>
        </w:rPr>
        <w:t>. Наиболее чувствительными оказываются NMC и Na-ion системы, тогда как LTO демонстрирует наименьшее относительное ускорение старения.</w:t>
      </w:r>
    </w:p>
    <w:p w14:paraId="51FE36F5" w14:textId="0C372371" w:rsidR="00956A45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подтверждении необходимости явного температурного параметра в модели деградации. Практическая польза состоит в возможности корректировки прогноза остаточного ресурса в зависимости от реального теплового режима эксплуатации, а также в выборе приоритетных мер теплового управления для конкретной химии.</w:t>
      </w:r>
    </w:p>
    <w:p w14:paraId="199B692F" w14:textId="0CA6ED1E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В итоге можно сделать следующий вывод. Деградация NMC, LFP, LTO и Na-ion батарей имеет общие физические основания — межфазные реакции, потерю активных носителей, рост внутренних сопротивлений и влияние температуры, но реализуется через различающиеся доминирующие механизмы и разные темпы накопления повреждений. Поэтому дальнейшая теория диагностики и прогнозирования должна строиться как унифицированная по математическому аппарату, но химически-адаптивная по параметрам интерпретации. Именно такой подход позволяет перейти от частных моделей отдельных батарей к общей системе оценки технического состояния и остаточного ресурса тяговых аккумуляторных батарей различных электрохимических систем.</w:t>
      </w:r>
    </w:p>
    <w:p w14:paraId="7FDD505E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B50C0" w14:textId="7DA3FAE2" w:rsidR="00234A24" w:rsidRPr="00A07748" w:rsidRDefault="00A077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75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 Показатели технического состояния аккумуляторных батарей: SOC, SOH, SOF и RUL</w:t>
      </w:r>
    </w:p>
    <w:p w14:paraId="1D04881E" w14:textId="77777777" w:rsidR="00234A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B710D" w14:textId="015F5DE3" w:rsidR="00A07748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 xml:space="preserve">Оценка технического состояния тяговой аккумуляторной батареи требует использования системы взаимосвязанных диагностических параметров, поскольку ни один отдельный показатель не способен одновременно описать запас энергии, степень деградации, доступную мощность и ожидаемый остаточный срок службы. В инженерной и научной практике для этих целей </w:t>
      </w:r>
      <w:r w:rsidRPr="00C2560F">
        <w:rPr>
          <w:rFonts w:ascii="Times New Roman" w:hAnsi="Times New Roman" w:cs="Times New Roman"/>
          <w:sz w:val="28"/>
          <w:szCs w:val="28"/>
        </w:rPr>
        <w:lastRenderedPageBreak/>
        <w:t xml:space="preserve">применяются четыре базовых индикатора: состояние заряда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SOC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 xml:space="preserve">состояние здоровья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, состояние мощности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C2560F">
        <w:rPr>
          <w:rFonts w:ascii="Times New Roman" w:hAnsi="Times New Roman" w:cs="Times New Roman"/>
          <w:sz w:val="28"/>
          <w:szCs w:val="28"/>
        </w:rPr>
        <w:t xml:space="preserve"> и остаточный ресурс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C2560F">
        <w:rPr>
          <w:rFonts w:ascii="Times New Roman" w:hAnsi="Times New Roman" w:cs="Times New Roman"/>
          <w:sz w:val="28"/>
          <w:szCs w:val="28"/>
        </w:rPr>
        <w:t>. В рамках настоящего исследования данные показатели рассматриваются не как независимые эмпирические величины, а как параметры единой диагностико-прогностической системы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>которая в дальнейшем связывается с характеристиками комплексного импеданса тяговой батареи.</w:t>
      </w:r>
    </w:p>
    <w:p w14:paraId="4B2F05EF" w14:textId="16B271E9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>Между указанными показателями существует естественная иерархия.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2560F">
        <w:rPr>
          <w:rFonts w:ascii="Times New Roman" w:hAnsi="Times New Roman" w:cs="Times New Roman"/>
          <w:sz w:val="28"/>
          <w:szCs w:val="28"/>
        </w:rPr>
        <w:t xml:space="preserve"> описывает текущее количество накопленного заряда и отражает краткосрочное состояние батареи.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 характеризует накопленную деградацию и определяет, насколько текущие свойства батареи отличаются от исходных. Параметр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отражает способность батареи обеспечить требуемую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мощность в текущем состоянии и тем самым связывает энергетическое и силовое состояние системы. Наконец, параметр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даёт прогностическую оценку числа циклов или времени до достижения предельного состояния. В логике диссертационной работы переход от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733DF">
        <w:rPr>
          <w:rFonts w:ascii="Times New Roman" w:hAnsi="Times New Roman" w:cs="Times New Roman"/>
          <w:sz w:val="28"/>
          <w:szCs w:val="28"/>
        </w:rPr>
        <w:t xml:space="preserve">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8733DF">
        <w:rPr>
          <w:rFonts w:ascii="Times New Roman" w:hAnsi="Times New Roman" w:cs="Times New Roman"/>
          <w:sz w:val="28"/>
          <w:szCs w:val="28"/>
        </w:rPr>
        <w:t xml:space="preserve">, затем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8733DF">
        <w:rPr>
          <w:rFonts w:ascii="Times New Roman" w:hAnsi="Times New Roman" w:cs="Times New Roman"/>
          <w:sz w:val="28"/>
          <w:szCs w:val="28"/>
        </w:rPr>
        <w:t xml:space="preserve"> и далее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представляет собой переход от мгновенного мониторинга к физически обоснованному прогнозу ресурса.</w:t>
      </w:r>
    </w:p>
    <w:p w14:paraId="6B563DC6" w14:textId="77777777" w:rsidR="008733DF" w:rsidRDefault="008733D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2D29E1" w14:textId="166D83DB" w:rsidR="008733DF" w:rsidRPr="00E02636" w:rsidRDefault="00E02636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636">
        <w:rPr>
          <w:rFonts w:ascii="Times New Roman" w:hAnsi="Times New Roman" w:cs="Times New Roman"/>
          <w:b/>
          <w:bCs/>
          <w:sz w:val="28"/>
          <w:szCs w:val="28"/>
        </w:rPr>
        <w:t>1.3.1 Состояние заряда батареи</w:t>
      </w:r>
    </w:p>
    <w:p w14:paraId="3BB9990C" w14:textId="77777777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E31A3" w14:textId="570B9180" w:rsidR="00E02636" w:rsidRPr="00764CBB" w:rsidRDefault="00B778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83E">
        <w:rPr>
          <w:rFonts w:ascii="Times New Roman" w:hAnsi="Times New Roman" w:cs="Times New Roman"/>
          <w:sz w:val="28"/>
          <w:szCs w:val="28"/>
        </w:rPr>
        <w:t>Состояние заряда SO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7783E">
        <w:rPr>
          <w:rFonts w:ascii="Times New Roman" w:hAnsi="Times New Roman" w:cs="Times New Roman"/>
          <w:sz w:val="28"/>
          <w:szCs w:val="28"/>
        </w:rPr>
        <w:t xml:space="preserve"> определяется как отношение текущего заряда батареи к её номинальной или доступной ёмкости:</w:t>
      </w:r>
    </w:p>
    <w:p w14:paraId="589BB0F8" w14:textId="77777777" w:rsidR="00C40F1C" w:rsidRPr="00764CBB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FD9DDB" w14:textId="5FD59492" w:rsidR="00C40F1C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DA0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6DB257FF">
          <v:shape id="_x0000_i1041" type="#_x0000_t75" style="width:106.95pt;height:33.85pt" o:ole="">
            <v:imagedata r:id="rId49" o:title=""/>
          </v:shape>
          <o:OLEObject Type="Embed" ProgID="Equation.DSMT4" ShapeID="_x0000_i1041" DrawAspect="Content" ObjectID="_1841992661" r:id="rId50"/>
        </w:object>
      </w:r>
    </w:p>
    <w:p w14:paraId="06F5E985" w14:textId="77777777" w:rsidR="00C40F1C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23D1FE" w14:textId="58AC9FE4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6DA0">
        <w:rPr>
          <w:rFonts w:ascii="Times New Roman" w:hAnsi="Times New Roman" w:cs="Times New Roman"/>
          <w:sz w:val="28"/>
          <w:szCs w:val="28"/>
        </w:rPr>
        <w:lastRenderedPageBreak/>
        <w:t>Если заряд оценивается через ток нагрузки, то из закона сохранения заряда следует выражение</w:t>
      </w:r>
    </w:p>
    <w:p w14:paraId="02B14E32" w14:textId="77777777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B0713C" w14:textId="64E8F752" w:rsidR="00C26DA0" w:rsidRDefault="007A32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32DC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3159" w:dyaOrig="680" w14:anchorId="63295281">
          <v:shape id="_x0000_i1042" type="#_x0000_t75" style="width:157.95pt;height:33.85pt" o:ole="">
            <v:imagedata r:id="rId51" o:title=""/>
          </v:shape>
          <o:OLEObject Type="Embed" ProgID="Equation.DSMT4" ShapeID="_x0000_i1042" DrawAspect="Content" ObjectID="_1841992662" r:id="rId52"/>
        </w:object>
      </w:r>
    </w:p>
    <w:p w14:paraId="42179665" w14:textId="77777777" w:rsidR="00C26DA0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6A1067" w14:textId="5BDE6A9F" w:rsidR="007A32DC" w:rsidRPr="00764CBB" w:rsidRDefault="003E7F8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F8F">
        <w:rPr>
          <w:rFonts w:ascii="Times New Roman" w:hAnsi="Times New Roman" w:cs="Times New Roman"/>
          <w:sz w:val="28"/>
          <w:szCs w:val="28"/>
        </w:rPr>
        <w:t>Происхождение данной формулы связано с интегральной формой уравнения непрерывности заряда. При отсутствии утечек и паразитических токов изменение количества заряда в батарее равно интегралу проходящего тока. Именно поэтому кулоновский счёт остаётся базовой процедурой BMS. Однако для тяговых батарей этот метод имеет два принципиальных ограничения.</w:t>
      </w:r>
    </w:p>
    <w:p w14:paraId="0F29DE87" w14:textId="6E89A137" w:rsidR="003E7F8F" w:rsidRPr="00764CBB" w:rsidRDefault="00D1756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56A">
        <w:rPr>
          <w:rFonts w:ascii="Times New Roman" w:hAnsi="Times New Roman" w:cs="Times New Roman"/>
          <w:sz w:val="28"/>
          <w:szCs w:val="28"/>
        </w:rPr>
        <w:t xml:space="preserve">Первое ограничение связано с погрешностью измерения тока. Даже малая систематическая ошибка датчика или нулевая дрейфовая составляющая приводит к интегральному накоплению ошибки. Второе ограничение является более фундаментальным: в формуле используется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175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1756A">
        <w:rPr>
          <w:rFonts w:ascii="Times New Roman" w:hAnsi="Times New Roman" w:cs="Times New Roman"/>
          <w:sz w:val="28"/>
          <w:szCs w:val="28"/>
        </w:rPr>
        <w:t>тогда как реальная доступная ёмкость деградирующей батареи уменьшается со временем.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Следовательно,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кулоновский счёт без адаптации к текущему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D1756A">
        <w:rPr>
          <w:rFonts w:ascii="Times New Roman" w:hAnsi="Times New Roman" w:cs="Times New Roman"/>
          <w:sz w:val="28"/>
          <w:szCs w:val="28"/>
        </w:rPr>
        <w:t xml:space="preserve"> неизбежно утрачивает точность при длительной эксплуатации. Именно поэтому в задачах прогноза ресурса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D1756A">
        <w:rPr>
          <w:rFonts w:ascii="Times New Roman" w:hAnsi="Times New Roman" w:cs="Times New Roman"/>
          <w:sz w:val="28"/>
          <w:szCs w:val="28"/>
        </w:rPr>
        <w:t xml:space="preserve"> следует рассматривать как необходимый, но недостаточный показатель.</w:t>
      </w:r>
    </w:p>
    <w:p w14:paraId="1F713733" w14:textId="22E61C44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Для тяговых аккумуляторных батарей характерно и то обстоятельство, что погрешность оценки </w:t>
      </w:r>
      <w:r w:rsidRPr="00E3731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3731B">
        <w:rPr>
          <w:rFonts w:ascii="Times New Roman" w:hAnsi="Times New Roman" w:cs="Times New Roman"/>
          <w:sz w:val="28"/>
          <w:szCs w:val="28"/>
        </w:rPr>
        <w:t xml:space="preserve"> особенно заметна в режиме частичных циклов, частой рекуперации и изменяющихся токовых профилей. В этих условиях ошибка не только возрастает, но и теряет монотонный характер, поскольку реальные токовые траектории содержат чередование положительных и отрицательных участков различной длительности.</w:t>
      </w:r>
    </w:p>
    <w:p w14:paraId="69ADA5B6" w14:textId="45731FE7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В опытной серии нагрузочных испытаний была выполнена оценка состояния заряда батарейного модуля по методу кулоновского счёта и </w:t>
      </w:r>
      <w:r w:rsidRPr="00E3731B">
        <w:rPr>
          <w:rFonts w:ascii="Times New Roman" w:hAnsi="Times New Roman" w:cs="Times New Roman"/>
          <w:sz w:val="28"/>
          <w:szCs w:val="28"/>
        </w:rPr>
        <w:lastRenderedPageBreak/>
        <w:t>сопоставлена с эталонным значением, полученным по совмещённой токо-</w:t>
      </w:r>
      <w:r w:rsidRPr="00E3731B">
        <w:rPr>
          <w:rFonts w:ascii="Times New Roman" w:hAnsi="Times New Roman" w:cs="Times New Roman"/>
          <w:sz w:val="28"/>
          <w:szCs w:val="28"/>
          <w:highlight w:val="yellow"/>
        </w:rPr>
        <w:t>напряженческой процедуре</w:t>
      </w:r>
      <w:r w:rsidRPr="00E3731B">
        <w:rPr>
          <w:rFonts w:ascii="Times New Roman" w:hAnsi="Times New Roman" w:cs="Times New Roman"/>
          <w:sz w:val="28"/>
          <w:szCs w:val="28"/>
        </w:rPr>
        <w:t xml:space="preserve"> коррекции. Это позволило количественно продемонстрировать накопление ошибки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Pr="00074F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="00074F0F" w:rsidRPr="00074F0F">
        <w:rPr>
          <w:rFonts w:ascii="Times New Roman" w:hAnsi="Times New Roman" w:cs="Times New Roman"/>
          <w:sz w:val="28"/>
          <w:szCs w:val="28"/>
        </w:rPr>
        <w:t>в реальном нестационарном режиме.</w:t>
      </w:r>
    </w:p>
    <w:p w14:paraId="08A3F543" w14:textId="77777777" w:rsidR="00074F0F" w:rsidRPr="00764CBB" w:rsidRDefault="00074F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BFE218" w14:textId="01444B75" w:rsidR="00074F0F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DB5F583" wp14:editId="1D64130D">
            <wp:extent cx="6119495" cy="3522980"/>
            <wp:effectExtent l="0" t="0" r="0" b="1270"/>
            <wp:docPr id="335996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11A10" w14:textId="4863D0FB" w:rsidR="00486F2C" w:rsidRPr="00486F2C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6F2C">
        <w:rPr>
          <w:rFonts w:ascii="Times New Roman" w:hAnsi="Times New Roman" w:cs="Times New Roman"/>
          <w:sz w:val="28"/>
          <w:szCs w:val="28"/>
        </w:rPr>
        <w:t>Рисунок 1.8 — Накопление ошибки оценки состояния заряда при длительном движении</w:t>
      </w:r>
    </w:p>
    <w:p w14:paraId="4AE1065C" w14:textId="77777777" w:rsidR="00486F2C" w:rsidRPr="00764CBB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CD92B" w14:textId="45D0D3D1" w:rsidR="00486F2C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>На рисунке показаны две кривые: истинное значение состояния заряда и оценка, полученная методом кулоновского счёта. Видно, что по мере роста времени движения и накопления интегральной нагрузки оценка начинает систематически отклоняться от истинной траектории. При этом ошибка не является чисто случайной; она формируется вследствие дрейфа измерения тока, неучтённых потерь и, что особенно важно, изменения фактической доступной ёмкости батареи.</w:t>
      </w:r>
    </w:p>
    <w:p w14:paraId="27144E3F" w14:textId="79489AAF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заключается в демонстрации методологического ограничения классического кулоновского счёта. Это подтверждает, что параметр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 сам по себе не может служить базой для надёжной оценки ресурса. Практическая ценность рисунка состоит в обосновании необходимости совместного использования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>-оценки с деградационными и импедансными индикаторами, особенно в системах управления тяговыми батареями электротранспорта.</w:t>
      </w:r>
    </w:p>
    <w:p w14:paraId="046824E9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DFBB51" w14:textId="1FC03AA7" w:rsidR="00AA580B" w:rsidRPr="00764CBB" w:rsidRDefault="00394F03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1661B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1.3.2 Состояние здоровья батареи</w:t>
      </w:r>
    </w:p>
    <w:p w14:paraId="37E204D8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501F7" w14:textId="01451356" w:rsidR="00394F03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0F5501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0F5501">
        <w:rPr>
          <w:rFonts w:ascii="Times New Roman" w:hAnsi="Times New Roman" w:cs="Times New Roman"/>
          <w:sz w:val="28"/>
          <w:szCs w:val="28"/>
        </w:rPr>
        <w:t xml:space="preserve"> предназначен для количественного описания накопленной деградации аккумуляторной системы. В классической постановке он определяется по ёмкости:</w:t>
      </w:r>
    </w:p>
    <w:p w14:paraId="68FB2489" w14:textId="7777777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C67851" w14:textId="6B05392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939" w:dyaOrig="680" w14:anchorId="3F3E6903">
          <v:shape id="_x0000_i1043" type="#_x0000_t75" style="width:96.2pt;height:33.85pt" o:ole="">
            <v:imagedata r:id="rId54" o:title=""/>
          </v:shape>
          <o:OLEObject Type="Embed" ProgID="Equation.DSMT4" ShapeID="_x0000_i1043" DrawAspect="Content" ObjectID="_1841992663" r:id="rId55"/>
        </w:object>
      </w:r>
    </w:p>
    <w:p w14:paraId="277BE207" w14:textId="26A6C25B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21498A2" w14:textId="7DF958B3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act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текущая доступная ё</w:t>
      </w:r>
      <w:r w:rsidR="00E042A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кость;</w:t>
      </w:r>
    </w:p>
    <w:p w14:paraId="4E4626A6" w14:textId="1CB6D09D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F5501">
        <w:rPr>
          <w:rFonts w:ascii="Times New Roman" w:hAnsi="Times New Roman" w:cs="Times New Roman"/>
          <w:sz w:val="28"/>
          <w:szCs w:val="28"/>
        </w:rPr>
        <w:t xml:space="preserve"> – начальная ёмкость новой батареи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B3C19C" w14:textId="243D9539" w:rsidR="000F5501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Однако такая трактовка охватывает лишь один аспект старения — потерю способности накапливать заряд.</w:t>
      </w:r>
    </w:p>
    <w:p w14:paraId="7116D5B0" w14:textId="1AA14A9A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С практической точки зрения столь же важным является рост внутреннего сопротивления, особенно сопротивления переноса заряда и общего импеданса, поскольку именно они ограничивают мощность, усиливают тепловыделение и ухудшают работу батареи в режиме разгона и рекуперации. Поэтому в расширенной инженерной постановке следует использовать также импедансную интерпретацию состояния здоровья:</w:t>
      </w:r>
    </w:p>
    <w:p w14:paraId="472FAEF6" w14:textId="77777777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C8FE2E" w14:textId="41408E29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30"/>
          <w:sz w:val="28"/>
          <w:szCs w:val="28"/>
        </w:rPr>
        <w:object w:dxaOrig="1960" w:dyaOrig="680" w14:anchorId="30A09688">
          <v:shape id="_x0000_i1044" type="#_x0000_t75" style="width:97.25pt;height:33.85pt" o:ole="">
            <v:imagedata r:id="rId56" o:title=""/>
          </v:shape>
          <o:OLEObject Type="Embed" ProgID="Equation.DSMT4" ShapeID="_x0000_i1044" DrawAspect="Content" ObjectID="_1841992664" r:id="rId57"/>
        </w:object>
      </w:r>
    </w:p>
    <w:p w14:paraId="35755446" w14:textId="2F9D64B8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3D2">
        <w:rPr>
          <w:rFonts w:ascii="Times New Roman" w:hAnsi="Times New Roman" w:cs="Times New Roman"/>
          <w:sz w:val="28"/>
          <w:szCs w:val="28"/>
        </w:rPr>
        <w:t>или, в более специализированной форме,</w:t>
      </w:r>
    </w:p>
    <w:p w14:paraId="1734F9E6" w14:textId="51810987" w:rsid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12"/>
          <w:sz w:val="28"/>
          <w:szCs w:val="28"/>
        </w:rPr>
        <w:object w:dxaOrig="1560" w:dyaOrig="360" w14:anchorId="47C6B96B">
          <v:shape id="_x0000_i1045" type="#_x0000_t75" style="width:77.9pt;height:17.75pt" o:ole="">
            <v:imagedata r:id="rId58" o:title=""/>
          </v:shape>
          <o:OLEObject Type="Embed" ProgID="Equation.DSMT4" ShapeID="_x0000_i1045" DrawAspect="Content" ObjectID="_1841992665" r:id="rId59"/>
        </w:object>
      </w:r>
    </w:p>
    <w:p w14:paraId="2C248A42" w14:textId="4FF39D83" w:rsidR="008353D2" w:rsidRDefault="008353D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8353D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химически специфическая функция перехода от сопротивления переноса заряда к показателю состояния.</w:t>
      </w:r>
    </w:p>
    <w:p w14:paraId="6762AF80" w14:textId="76EC1B5C" w:rsidR="008353D2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sz w:val="28"/>
          <w:szCs w:val="28"/>
        </w:rPr>
        <w:t>Такой подход имеет прямое физическое основание. Если</w:t>
      </w:r>
    </w:p>
    <w:p w14:paraId="0C1C48B0" w14:textId="77777777" w:rsidR="00A1102D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C4D46F" w14:textId="43D70C12" w:rsidR="00A1102D" w:rsidRPr="00A1102D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02D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3FADD88C">
          <v:shape id="_x0000_i1046" type="#_x0000_t75" style="width:47.8pt;height:33.85pt" o:ole="">
            <v:imagedata r:id="rId60" o:title=""/>
          </v:shape>
          <o:OLEObject Type="Embed" ProgID="Equation.DSMT4" ShapeID="_x0000_i1046" DrawAspect="Content" ObjectID="_1841992666" r:id="rId61"/>
        </w:object>
      </w:r>
      <w:r w:rsidR="000342B1">
        <w:rPr>
          <w:rFonts w:ascii="Times New Roman" w:hAnsi="Times New Roman" w:cs="Times New Roman"/>
          <w:sz w:val="28"/>
          <w:szCs w:val="28"/>
        </w:rPr>
        <w:t>,</w:t>
      </w:r>
    </w:p>
    <w:p w14:paraId="1983EBCA" w14:textId="5A574E4E" w:rsidR="00A1102D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то рост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означает уменьшение обменного тока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а следовательно, ухудшение кинетики электрохимической реакции, уменьшение активной поверхности и усиление межфазных ограничений. Следовательно,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выраженный через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>, оказывается чувствителен не только к уже накопленной потере ёмкости, но и к ранним стадиям деградации, когда мощностные характеристики начинают ухудшаться раньше, чем ёмкость достигает предельного уровня.</w:t>
      </w:r>
    </w:p>
    <w:p w14:paraId="2F2592CB" w14:textId="167079D5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В диссертационной логике это обстоятельство особенно важно. Если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определяется только через ёмкость, то диагностика становится «запаздывающей»: значительные внутренние нарушения могут ещё не привести к критическому </w:t>
      </w:r>
      <w:r w:rsidRPr="00390659">
        <w:rPr>
          <w:rFonts w:ascii="Times New Roman" w:hAnsi="Times New Roman" w:cs="Times New Roman"/>
          <w:sz w:val="28"/>
          <w:szCs w:val="28"/>
          <w:highlight w:val="yellow"/>
        </w:rPr>
        <w:t>capacity fade</w:t>
      </w:r>
      <w:r w:rsidRPr="00390659">
        <w:rPr>
          <w:rFonts w:ascii="Times New Roman" w:hAnsi="Times New Roman" w:cs="Times New Roman"/>
          <w:sz w:val="28"/>
          <w:szCs w:val="28"/>
        </w:rPr>
        <w:t xml:space="preserve">. Если же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учитывает и импедансные параметры, то диагностическая система становится значительно более чувствительной к ранней деградации.</w:t>
      </w:r>
    </w:p>
    <w:p w14:paraId="0C29DFD1" w14:textId="77777777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F6B920" w14:textId="0F7A23C0" w:rsidR="00390659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1.3 – Основные формы представления состояния здоровья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90"/>
        <w:gridCol w:w="2672"/>
        <w:gridCol w:w="2197"/>
        <w:gridCol w:w="2368"/>
      </w:tblGrid>
      <w:tr w:rsidR="00B509A7" w14:paraId="7DCA3289" w14:textId="77777777" w:rsidTr="00B509A7">
        <w:tc>
          <w:tcPr>
            <w:tcW w:w="2406" w:type="dxa"/>
          </w:tcPr>
          <w:p w14:paraId="7DEED8CD" w14:textId="40CFC229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Форма показателя</w:t>
            </w:r>
          </w:p>
        </w:tc>
        <w:tc>
          <w:tcPr>
            <w:tcW w:w="2407" w:type="dxa"/>
          </w:tcPr>
          <w:p w14:paraId="4F0034F2" w14:textId="08E07D7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Формула</w:t>
            </w:r>
          </w:p>
        </w:tc>
        <w:tc>
          <w:tcPr>
            <w:tcW w:w="2407" w:type="dxa"/>
          </w:tcPr>
          <w:p w14:paraId="55FC0726" w14:textId="2EBCB42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40AB1179" w14:textId="535C6E13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B509A7" w:rsidRPr="00B509A7" w14:paraId="120F83B4" w14:textId="77777777" w:rsidTr="00B509A7">
        <w:tc>
          <w:tcPr>
            <w:tcW w:w="2406" w:type="dxa"/>
          </w:tcPr>
          <w:p w14:paraId="51019AF8" w14:textId="13A854D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Ёмкостная</w:t>
            </w:r>
          </w:p>
        </w:tc>
        <w:tc>
          <w:tcPr>
            <w:tcW w:w="2407" w:type="dxa"/>
          </w:tcPr>
          <w:p w14:paraId="45A2F6D5" w14:textId="203252F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640" w:dyaOrig="360" w14:anchorId="1EE898F0">
                <v:shape id="_x0000_i1047" type="#_x0000_t75" style="width:81.65pt;height:17.75pt" o:ole="">
                  <v:imagedata r:id="rId62" o:title=""/>
                </v:shape>
                <o:OLEObject Type="Embed" ProgID="Equation.DSMT4" ShapeID="_x0000_i1047" DrawAspect="Content" ObjectID="_1841992667" r:id="rId63"/>
              </w:object>
            </w:r>
          </w:p>
        </w:tc>
        <w:tc>
          <w:tcPr>
            <w:tcW w:w="2407" w:type="dxa"/>
          </w:tcPr>
          <w:p w14:paraId="17E421F2" w14:textId="0AF1A876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Потеря способности накапливать заряд</w:t>
            </w:r>
          </w:p>
        </w:tc>
        <w:tc>
          <w:tcPr>
            <w:tcW w:w="2407" w:type="dxa"/>
          </w:tcPr>
          <w:p w14:paraId="25F70F37" w14:textId="4A87C8D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 xml:space="preserve">Слабая чувствительность к раннему </w:t>
            </w:r>
            <w:r w:rsidRPr="00B509A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power fade</w:t>
            </w:r>
          </w:p>
        </w:tc>
      </w:tr>
      <w:tr w:rsidR="00B509A7" w:rsidRPr="00B509A7" w14:paraId="2B07B117" w14:textId="77777777" w:rsidTr="00B509A7">
        <w:tc>
          <w:tcPr>
            <w:tcW w:w="2406" w:type="dxa"/>
          </w:tcPr>
          <w:p w14:paraId="783C583E" w14:textId="18A0203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Резистивная</w:t>
            </w:r>
          </w:p>
        </w:tc>
        <w:tc>
          <w:tcPr>
            <w:tcW w:w="2407" w:type="dxa"/>
          </w:tcPr>
          <w:p w14:paraId="3E124A25" w14:textId="681E41A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20" w:dyaOrig="360" w14:anchorId="19708454">
                <v:shape id="_x0000_i1048" type="#_x0000_t75" style="width:80.6pt;height:17.75pt" o:ole="">
                  <v:imagedata r:id="rId64" o:title=""/>
                </v:shape>
                <o:OLEObject Type="Embed" ProgID="Equation.DSMT4" ShapeID="_x0000_i1048" DrawAspect="Content" ObjectID="_1841992668" r:id="rId65"/>
              </w:object>
            </w:r>
          </w:p>
        </w:tc>
        <w:tc>
          <w:tcPr>
            <w:tcW w:w="2407" w:type="dxa"/>
          </w:tcPr>
          <w:p w14:paraId="5EB33E96" w14:textId="1918E60B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Рост внутренних потерь и снижение мощности</w:t>
            </w:r>
          </w:p>
        </w:tc>
        <w:tc>
          <w:tcPr>
            <w:tcW w:w="2407" w:type="dxa"/>
          </w:tcPr>
          <w:p w14:paraId="1D74F5D5" w14:textId="2C4BF578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Интегральная трактовка, без разделения механизмов</w:t>
            </w:r>
          </w:p>
        </w:tc>
      </w:tr>
      <w:tr w:rsidR="00B509A7" w:rsidRPr="00B509A7" w14:paraId="1A89E33C" w14:textId="77777777" w:rsidTr="00B509A7">
        <w:tc>
          <w:tcPr>
            <w:tcW w:w="2406" w:type="dxa"/>
          </w:tcPr>
          <w:p w14:paraId="6121887C" w14:textId="10C4295F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Импедансная</w:t>
            </w:r>
          </w:p>
        </w:tc>
        <w:tc>
          <w:tcPr>
            <w:tcW w:w="2407" w:type="dxa"/>
          </w:tcPr>
          <w:p w14:paraId="5E7DE1AD" w14:textId="54F3EC6C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60" w:dyaOrig="440" w14:anchorId="65B0F920">
                <v:shape id="_x0000_i1049" type="#_x0000_t75" style="width:122.5pt;height:22.05pt" o:ole="">
                  <v:imagedata r:id="rId66" o:title=""/>
                </v:shape>
                <o:OLEObject Type="Embed" ProgID="Equation.DSMT4" ShapeID="_x0000_i1049" DrawAspect="Content" ObjectID="_1841992669" r:id="rId67"/>
              </w:object>
            </w:r>
          </w:p>
        </w:tc>
        <w:tc>
          <w:tcPr>
            <w:tcW w:w="2407" w:type="dxa"/>
          </w:tcPr>
          <w:p w14:paraId="1E478184" w14:textId="131D1D5D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Отражает межфазную и диффузионную деградацию</w:t>
            </w:r>
          </w:p>
        </w:tc>
        <w:tc>
          <w:tcPr>
            <w:tcW w:w="2407" w:type="dxa"/>
          </w:tcPr>
          <w:p w14:paraId="38406C5C" w14:textId="6AC6CE82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Требует параметрической идентификации спектра</w:t>
            </w:r>
          </w:p>
        </w:tc>
      </w:tr>
      <w:tr w:rsidR="00B509A7" w:rsidRPr="00B509A7" w14:paraId="6EAAB412" w14:textId="77777777" w:rsidTr="00B509A7">
        <w:tc>
          <w:tcPr>
            <w:tcW w:w="2406" w:type="dxa"/>
          </w:tcPr>
          <w:p w14:paraId="36DF3829" w14:textId="20DE4B8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Комбинированная</w:t>
            </w:r>
          </w:p>
        </w:tc>
        <w:tc>
          <w:tcPr>
            <w:tcW w:w="2407" w:type="dxa"/>
          </w:tcPr>
          <w:p w14:paraId="2C7A3BB0" w14:textId="170BEC92" w:rsidR="00B509A7" w:rsidRPr="00B509A7" w:rsidRDefault="007C256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C2566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20" w:dyaOrig="440" w14:anchorId="5A5FABEE">
                <v:shape id="_x0000_i1050" type="#_x0000_t75" style="width:120.9pt;height:22.05pt" o:ole="">
                  <v:imagedata r:id="rId68" o:title=""/>
                </v:shape>
                <o:OLEObject Type="Embed" ProgID="Equation.DSMT4" ShapeID="_x0000_i1050" DrawAspect="Content" ObjectID="_1841992670" r:id="rId69"/>
              </w:object>
            </w:r>
          </w:p>
        </w:tc>
        <w:tc>
          <w:tcPr>
            <w:tcW w:w="2407" w:type="dxa"/>
          </w:tcPr>
          <w:p w14:paraId="68508AA7" w14:textId="5DF57945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Совместно учитывает ёмкость и внутреннюю деградацию</w:t>
            </w:r>
          </w:p>
        </w:tc>
        <w:tc>
          <w:tcPr>
            <w:tcW w:w="2407" w:type="dxa"/>
          </w:tcPr>
          <w:p w14:paraId="74E41FF3" w14:textId="1BD53FE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Более сложна для реализации, но наиболее содержательна</w:t>
            </w:r>
          </w:p>
        </w:tc>
      </w:tr>
    </w:tbl>
    <w:p w14:paraId="3A5C776C" w14:textId="77777777" w:rsidR="00371DD5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639726" w14:textId="5D3828EB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6228">
        <w:rPr>
          <w:rFonts w:ascii="Times New Roman" w:hAnsi="Times New Roman" w:cs="Times New Roman"/>
          <w:sz w:val="28"/>
          <w:szCs w:val="28"/>
        </w:rPr>
        <w:t xml:space="preserve">Из таблицы следует, что наиболее перспективной для целей диссертации является именно комбинированная и импедансная интерпретация </w:t>
      </w:r>
      <w:r w:rsidRPr="00AC622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C6228">
        <w:rPr>
          <w:rFonts w:ascii="Times New Roman" w:hAnsi="Times New Roman" w:cs="Times New Roman"/>
          <w:sz w:val="28"/>
          <w:szCs w:val="28"/>
        </w:rPr>
        <w:t>, так как она обеспечивает более ранний и физически более содержательный контроль состояния батареи.</w:t>
      </w:r>
    </w:p>
    <w:p w14:paraId="2187668D" w14:textId="2E69D79E" w:rsidR="00AC6228" w:rsidRPr="00764CBB" w:rsidRDefault="00C4417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4176">
        <w:rPr>
          <w:rFonts w:ascii="Times New Roman" w:hAnsi="Times New Roman" w:cs="Times New Roman"/>
          <w:sz w:val="28"/>
          <w:szCs w:val="28"/>
        </w:rPr>
        <w:t xml:space="preserve">В опытной серии ресурсных испытаний была построена зависимость состояния здоровья батарей 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различных химических систем от сопротивления переноса заряда. Это позволило проверить гипотезу о том, что 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может </w:t>
      </w:r>
      <w:r w:rsidR="00352611" w:rsidRPr="00352611">
        <w:rPr>
          <w:rFonts w:ascii="Times New Roman" w:hAnsi="Times New Roman" w:cs="Times New Roman"/>
          <w:sz w:val="28"/>
          <w:szCs w:val="28"/>
        </w:rPr>
        <w:lastRenderedPageBreak/>
        <w:t xml:space="preserve">использоваться как универсальный, но </w:t>
      </w:r>
      <w:r w:rsidR="00352611" w:rsidRPr="00414374">
        <w:rPr>
          <w:rFonts w:ascii="Times New Roman" w:hAnsi="Times New Roman" w:cs="Times New Roman"/>
          <w:sz w:val="28"/>
          <w:szCs w:val="28"/>
          <w:highlight w:val="yellow"/>
        </w:rPr>
        <w:t>химически различно калибруемый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индикатор деградации</w:t>
      </w:r>
      <w:r w:rsidR="00352611">
        <w:rPr>
          <w:rFonts w:ascii="Times New Roman" w:hAnsi="Times New Roman" w:cs="Times New Roman"/>
          <w:sz w:val="28"/>
          <w:szCs w:val="28"/>
        </w:rPr>
        <w:t>.</w:t>
      </w:r>
    </w:p>
    <w:p w14:paraId="637D710C" w14:textId="77777777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89D65" w14:textId="459AFEAA" w:rsidR="00414374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FDB78A" wp14:editId="438C9F8A">
            <wp:extent cx="6119495" cy="3520440"/>
            <wp:effectExtent l="0" t="0" r="0" b="3810"/>
            <wp:docPr id="9204559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A88E1" w14:textId="49D68F9A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9F1">
        <w:rPr>
          <w:rFonts w:ascii="Times New Roman" w:hAnsi="Times New Roman" w:cs="Times New Roman"/>
          <w:sz w:val="28"/>
          <w:szCs w:val="28"/>
        </w:rPr>
        <w:t>Рисунок 1.9 — Связь состояния здоровья батареи и сопротивления переноса заряда</w:t>
      </w:r>
    </w:p>
    <w:p w14:paraId="3F949D22" w14:textId="77777777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53CA81" w14:textId="555349E6" w:rsidR="00F109F1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На рисунке представлены зависимости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FC253A">
        <w:rPr>
          <w:rFonts w:ascii="Times New Roman" w:hAnsi="Times New Roman" w:cs="Times New Roman"/>
          <w:sz w:val="28"/>
          <w:szCs w:val="28"/>
        </w:rPr>
        <w:t>NMC, LFP, LTO и Na-ion систем.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всех химий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наблюдается монотонное снижение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ростом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однако характер наклона кривых различен.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 xml:space="preserve">Это означает, что сам показатель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sz w:val="28"/>
          <w:szCs w:val="28"/>
        </w:rPr>
        <w:t xml:space="preserve"> действительно универсален с точки зрения физического смысла, но его количественная интерпретация должна зависеть от химической системы.</w:t>
      </w:r>
    </w:p>
    <w:p w14:paraId="19849A56" w14:textId="6E4299A9" w:rsidR="00FC253A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Для NMC и Na-ion характерен более резкий спад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росте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что соответствует высокой чувствительности этих систем к межфазным и поляризационным ограничениям.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LFP зависимость более пологая, что согласуется с большей структурной стабильностью.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 xml:space="preserve">Для LTO наблюдается </w:t>
      </w:r>
      <w:r w:rsidRPr="00FC253A">
        <w:rPr>
          <w:rFonts w:ascii="Times New Roman" w:hAnsi="Times New Roman" w:cs="Times New Roman"/>
          <w:sz w:val="28"/>
          <w:szCs w:val="28"/>
        </w:rPr>
        <w:lastRenderedPageBreak/>
        <w:t>наименьшая крутизна, что отражает высокий ресурс и сравнительно медленное накопление деградации.</w:t>
      </w:r>
    </w:p>
    <w:p w14:paraId="5B8B46A1" w14:textId="4A457561" w:rsidR="00FC253A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установлении количественной связи между импедансным параметром и состоянием здоровья батареи. Это создаёт основу для последующего перехода к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54D08" w:rsidRPr="00F54D08">
        <w:rPr>
          <w:rFonts w:ascii="Times New Roman" w:hAnsi="Times New Roman" w:cs="Times New Roman"/>
          <w:sz w:val="28"/>
          <w:szCs w:val="28"/>
        </w:rPr>
        <w:t>Практическая польза рисунка состоит в том, что он позволяет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sz w:val="28"/>
          <w:szCs w:val="28"/>
        </w:rPr>
        <w:t>использовать измерение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F54D08" w:rsidRPr="00F54D08">
        <w:rPr>
          <w:rFonts w:ascii="Times New Roman" w:hAnsi="Times New Roman" w:cs="Times New Roman"/>
          <w:sz w:val="28"/>
          <w:szCs w:val="28"/>
        </w:rPr>
        <w:t xml:space="preserve"> как оперативную процедуру оценки состояния батареи без выполнения полного ресурсного разряда.</w:t>
      </w:r>
    </w:p>
    <w:p w14:paraId="64C374C4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1A1C75" w14:textId="193F13F1" w:rsidR="00F54D08" w:rsidRPr="00764CBB" w:rsidRDefault="00126864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334A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1.3.3 Состояние мощности батареи</w:t>
      </w:r>
    </w:p>
    <w:p w14:paraId="65575D96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CCFCAE" w14:textId="0574B436" w:rsidR="00126864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DBC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04DBC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04DBC">
        <w:rPr>
          <w:rFonts w:ascii="Times New Roman" w:hAnsi="Times New Roman" w:cs="Times New Roman"/>
          <w:sz w:val="28"/>
          <w:szCs w:val="28"/>
        </w:rPr>
        <w:t xml:space="preserve"> отражает способность батареи обеспечить требуемую мощность в текущих условиях эксплуатации. С физической точки зрения этот показатель определяется не только запасом энергии, но и внутренним сопротивлением, поляризацией, температурой и допустимым диапазоном напряжения. В наиболее простом электротехническом приближении максимальная мощность на нагрузке определяется теоремой согласования:</w:t>
      </w:r>
    </w:p>
    <w:p w14:paraId="4223C3CF" w14:textId="77777777" w:rsidR="00604DBC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7F6B2A" w14:textId="51BADA93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3D88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180" w:dyaOrig="720" w14:anchorId="446C191F">
          <v:shape id="_x0000_i1051" type="#_x0000_t75" style="width:58.55pt;height:36.55pt" o:ole="">
            <v:imagedata r:id="rId71" o:title=""/>
          </v:shape>
          <o:OLEObject Type="Embed" ProgID="Equation.DSMT4" ShapeID="_x0000_i1051" DrawAspect="Content" ObjectID="_1841992671" r:id="rId72"/>
        </w:object>
      </w:r>
    </w:p>
    <w:p w14:paraId="1DBD6007" w14:textId="73BABD40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08F60A23" w14:textId="15F5B29B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напряжение источника,</w:t>
      </w:r>
    </w:p>
    <w:p w14:paraId="407040E3" w14:textId="3355D9FE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3D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внутреннее сопротивление батареи.</w:t>
      </w:r>
    </w:p>
    <w:p w14:paraId="1DB2A935" w14:textId="70BA45C1" w:rsidR="00683D88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Это выражение выводится из классической задачи о передаче мощности от источника с внутренним сопротивлением к внешней нагрузке и используется здесь как первое приближение для связи между импедансным состоянием батареи и её мощностным потенциалом.</w:t>
      </w:r>
    </w:p>
    <w:p w14:paraId="2B826223" w14:textId="66FF88AE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lastRenderedPageBreak/>
        <w:t>Однако для электрохимической системы этого недостаточно. В реальной батарее ограничение мощности связано также с допустимой глубиной поляризации, тепловыми лимитами и скоростью массопереноса. Поэтому в более содержательной форме</w:t>
      </w:r>
    </w:p>
    <w:p w14:paraId="48E48771" w14:textId="77777777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45126F" w14:textId="4567F2EC" w:rsidR="004541DF" w:rsidRP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7450">
        <w:rPr>
          <w:rFonts w:ascii="Times New Roman" w:hAnsi="Times New Roman" w:cs="Times New Roman"/>
          <w:position w:val="-16"/>
          <w:sz w:val="28"/>
          <w:szCs w:val="28"/>
        </w:rPr>
        <w:object w:dxaOrig="3820" w:dyaOrig="440" w14:anchorId="7AE252E7">
          <v:shape id="_x0000_i1052" type="#_x0000_t75" style="width:190.75pt;height:22.05pt" o:ole="">
            <v:imagedata r:id="rId73" o:title=""/>
          </v:shape>
          <o:OLEObject Type="Embed" ProgID="Equation.DSMT4" ShapeID="_x0000_i1052" DrawAspect="Content" ObjectID="_1841992672" r:id="rId74"/>
        </w:object>
      </w:r>
    </w:p>
    <w:p w14:paraId="6EDCF0D2" w14:textId="711D18CB" w:rsidR="004541DF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1D7450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1D745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lim</w:t>
      </w:r>
      <w:r w:rsidRPr="001D745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предельно допустимое </w:t>
      </w:r>
      <w:r w:rsidRPr="001D7450">
        <w:rPr>
          <w:rFonts w:ascii="Times New Roman" w:hAnsi="Times New Roman" w:cs="Times New Roman"/>
          <w:sz w:val="28"/>
          <w:szCs w:val="28"/>
          <w:highlight w:val="yellow"/>
        </w:rPr>
        <w:t>напряжение границы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54FF71" w14:textId="25A943C8" w:rsid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450">
        <w:rPr>
          <w:rFonts w:ascii="Times New Roman" w:hAnsi="Times New Roman" w:cs="Times New Roman"/>
          <w:sz w:val="28"/>
          <w:szCs w:val="28"/>
        </w:rPr>
        <w:t>Эта запись отражает тот факт, что мощностное состояние батареи является интегральным следствием как текущего заряда, так и внутренней деградации.</w:t>
      </w:r>
    </w:p>
    <w:p w14:paraId="66BAFCAA" w14:textId="4CDAF410" w:rsidR="001D7450" w:rsidRDefault="006B48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4872">
        <w:rPr>
          <w:rFonts w:ascii="Times New Roman" w:hAnsi="Times New Roman" w:cs="Times New Roman"/>
          <w:sz w:val="28"/>
          <w:szCs w:val="28"/>
        </w:rPr>
        <w:t xml:space="preserve">Для тягового электротранспорта параметр </w:t>
      </w:r>
      <w:r w:rsidRPr="006B4872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особенно важен, поскольку именно он ограничивает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способность транспортного средства к ускорению,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поддержанию высокой тяговой мощности и эффективной рекуперации.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В ряде случаев батарея может сохранять приемлемый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из-за роста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B487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общего импеданса.</w:t>
      </w:r>
      <w:r w:rsidR="00FC19D7">
        <w:rPr>
          <w:rFonts w:ascii="Times New Roman" w:hAnsi="Times New Roman" w:cs="Times New Roman"/>
          <w:sz w:val="28"/>
          <w:szCs w:val="28"/>
        </w:rPr>
        <w:t xml:space="preserve"> </w:t>
      </w:r>
      <w:r w:rsidR="00FC19D7" w:rsidRPr="00FC19D7">
        <w:rPr>
          <w:rFonts w:ascii="Times New Roman" w:hAnsi="Times New Roman" w:cs="Times New Roman"/>
          <w:sz w:val="28"/>
          <w:szCs w:val="28"/>
        </w:rPr>
        <w:t>Это является ещё одним аргументом в пользу импедансной диагностики как основы прогноза ресурса.</w:t>
      </w:r>
    </w:p>
    <w:p w14:paraId="4E0404B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059A9" w14:textId="0B79A86F" w:rsidR="00FC19D7" w:rsidRP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9D7">
        <w:rPr>
          <w:rFonts w:ascii="Times New Roman" w:hAnsi="Times New Roman" w:cs="Times New Roman"/>
          <w:b/>
          <w:bCs/>
          <w:sz w:val="28"/>
          <w:szCs w:val="28"/>
        </w:rPr>
        <w:t>1.3.4 Остаточный ресурс батареи</w:t>
      </w:r>
    </w:p>
    <w:p w14:paraId="4A8AF29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E728AA" w14:textId="12A6F67D" w:rsidR="00FC19D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3C57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0D7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593C57">
        <w:rPr>
          <w:rFonts w:ascii="Times New Roman" w:hAnsi="Times New Roman" w:cs="Times New Roman"/>
          <w:sz w:val="28"/>
          <w:szCs w:val="28"/>
        </w:rPr>
        <w:t xml:space="preserve"> представляет собой оценку времени или числа циклов до достижения предельного состояния аккумуляторной системы. </w:t>
      </w:r>
      <w:r>
        <w:rPr>
          <w:rFonts w:ascii="Times New Roman" w:hAnsi="Times New Roman" w:cs="Times New Roman"/>
          <w:sz w:val="28"/>
          <w:szCs w:val="28"/>
        </w:rPr>
        <w:t xml:space="preserve">Если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число циклов, </w:t>
      </w:r>
      <w:r w:rsidRPr="00593C57">
        <w:rPr>
          <w:rFonts w:ascii="Times New Roman" w:hAnsi="Times New Roman" w:cs="Times New Roman"/>
          <w:sz w:val="28"/>
          <w:szCs w:val="28"/>
        </w:rPr>
        <w:t>соответствующее достижению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sz w:val="28"/>
          <w:szCs w:val="28"/>
        </w:rPr>
        <w:t>граничного состояния,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текущее число циклов, то в простейшем виде:</w:t>
      </w:r>
    </w:p>
    <w:p w14:paraId="12FEEE00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579A87" w14:textId="3D369E43" w:rsidR="00593C57" w:rsidRP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0901">
        <w:rPr>
          <w:rFonts w:ascii="Times New Roman" w:hAnsi="Times New Roman" w:cs="Times New Roman"/>
          <w:position w:val="-12"/>
          <w:sz w:val="28"/>
          <w:szCs w:val="28"/>
        </w:rPr>
        <w:object w:dxaOrig="1780" w:dyaOrig="360" w14:anchorId="5EF1CD4E">
          <v:shape id="_x0000_i1053" type="#_x0000_t75" style="width:88.65pt;height:17.75pt" o:ole="">
            <v:imagedata r:id="rId75" o:title=""/>
          </v:shape>
          <o:OLEObject Type="Embed" ProgID="Equation.DSMT4" ShapeID="_x0000_i1053" DrawAspect="Content" ObjectID="_1841992673" r:id="rId76"/>
        </w:object>
      </w:r>
    </w:p>
    <w:p w14:paraId="6524B429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CFC0D9" w14:textId="3BC85704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01">
        <w:rPr>
          <w:rFonts w:ascii="Times New Roman" w:hAnsi="Times New Roman" w:cs="Times New Roman"/>
          <w:sz w:val="28"/>
          <w:szCs w:val="28"/>
        </w:rPr>
        <w:lastRenderedPageBreak/>
        <w:t xml:space="preserve">Однако практическая сложность состоит в том, что </w:t>
      </w:r>
      <w:r w:rsidRPr="007009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700901">
        <w:rPr>
          <w:rFonts w:ascii="Times New Roman" w:hAnsi="Times New Roman" w:cs="Times New Roman"/>
          <w:sz w:val="28"/>
          <w:szCs w:val="28"/>
        </w:rPr>
        <w:t xml:space="preserve"> заранее неизвестно. Его необходимо прогнозировать по текущей деградационной траектории. Если состояние батареи описывается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Pr="007009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00901">
        <w:rPr>
          <w:rFonts w:ascii="Times New Roman" w:hAnsi="Times New Roman" w:cs="Times New Roman"/>
          <w:sz w:val="28"/>
          <w:szCs w:val="28"/>
        </w:rPr>
        <w:t xml:space="preserve"> то предельное состояние обычно связывается с условием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1856E8C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764E24" w14:textId="482B6D10" w:rsidR="00700901" w:rsidRP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</w:rPr>
        <w:object w:dxaOrig="2079" w:dyaOrig="360" w14:anchorId="38F56FC8">
          <v:shape id="_x0000_i1054" type="#_x0000_t75" style="width:103.7pt;height:17.75pt" o:ole="">
            <v:imagedata r:id="rId77" o:title=""/>
          </v:shape>
          <o:OLEObject Type="Embed" ProgID="Equation.DSMT4" ShapeID="_x0000_i1054" DrawAspect="Content" ObjectID="_1841992674" r:id="rId78"/>
        </w:object>
      </w:r>
    </w:p>
    <w:p w14:paraId="6ED07B40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5E7087" w14:textId="59B9E292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Наиболее распространённым инженерным критерием является </w:t>
      </w:r>
      <w:r w:rsidRPr="0072389C">
        <w:rPr>
          <w:rFonts w:ascii="Times New Roman" w:hAnsi="Times New Roman" w:cs="Times New Roman"/>
          <w:sz w:val="28"/>
          <w:szCs w:val="28"/>
          <w:highlight w:val="yellow"/>
        </w:rPr>
        <w:t>уровень</w:t>
      </w:r>
    </w:p>
    <w:p w14:paraId="62334DF4" w14:textId="77777777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D52D02" w14:textId="114FB782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460" w:dyaOrig="360" w14:anchorId="3AA6288C">
          <v:shape id="_x0000_i1055" type="#_x0000_t75" style="width:73.05pt;height:17.75pt" o:ole="">
            <v:imagedata r:id="rId79" o:title=""/>
          </v:shape>
          <o:OLEObject Type="Embed" ProgID="Equation.DSMT4" ShapeID="_x0000_i1055" DrawAspect="Content" ObjectID="_1841992675" r:id="rId80"/>
        </w:object>
      </w:r>
    </w:p>
    <w:p w14:paraId="786B5538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2A46E2" w14:textId="5CDA23E3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Этот порог принят потому, что при дальнейшем снижении ёмкости и одновременном росте внутреннего сопротивления батарея обычно перестаёт удовлетворять требованиям по дальности </w:t>
      </w:r>
      <w:r w:rsidRPr="0072389C">
        <w:rPr>
          <w:rFonts w:ascii="Times New Roman" w:hAnsi="Times New Roman" w:cs="Times New Roman"/>
          <w:sz w:val="28"/>
          <w:szCs w:val="28"/>
          <w:highlight w:val="green"/>
        </w:rPr>
        <w:t>хода</w:t>
      </w:r>
      <w:r w:rsidRPr="0072389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>мощности и тепловой устойчивости.</w:t>
      </w:r>
    </w:p>
    <w:p w14:paraId="19831B1E" w14:textId="513B3C9B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>Если же в качестве базового деградационного параметра используется сопротивление переноса заряда, то возможна альтернативная постановка:</w:t>
      </w:r>
    </w:p>
    <w:p w14:paraId="553379B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08CC6F" w14:textId="22A788B1" w:rsidR="0072389C" w:rsidRPr="006F610E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610E">
        <w:rPr>
          <w:rFonts w:ascii="Times New Roman" w:hAnsi="Times New Roman" w:cs="Times New Roman"/>
          <w:position w:val="-30"/>
          <w:sz w:val="28"/>
          <w:szCs w:val="28"/>
        </w:rPr>
        <w:object w:dxaOrig="2060" w:dyaOrig="700" w14:anchorId="5BCDF34D">
          <v:shape id="_x0000_i1056" type="#_x0000_t75" style="width:103.15pt;height:34.95pt" o:ole="">
            <v:imagedata r:id="rId81" o:title=""/>
          </v:shape>
          <o:OLEObject Type="Embed" ProgID="Equation.DSMT4" ShapeID="_x0000_i1056" DrawAspect="Content" ObjectID="_1841992676" r:id="rId82"/>
        </w:object>
      </w:r>
    </w:p>
    <w:p w14:paraId="15C6EB2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F14B66" w14:textId="2EE9D835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10E">
        <w:rPr>
          <w:rFonts w:ascii="Times New Roman" w:hAnsi="Times New Roman" w:cs="Times New Roman"/>
          <w:sz w:val="28"/>
          <w:szCs w:val="28"/>
        </w:rPr>
        <w:t xml:space="preserve">которая справедлива при локально линейной аппроксимации роста </w:t>
      </w:r>
      <w:r w:rsidRPr="006F61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F61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F610E">
        <w:rPr>
          <w:rFonts w:ascii="Times New Roman" w:hAnsi="Times New Roman" w:cs="Times New Roman"/>
          <w:sz w:val="28"/>
          <w:szCs w:val="28"/>
        </w:rPr>
        <w:t>. В более общем нелинейном</w:t>
      </w:r>
      <w:r w:rsidRPr="00764CBB">
        <w:rPr>
          <w:rFonts w:ascii="Times New Roman" w:hAnsi="Times New Roman" w:cs="Times New Roman"/>
          <w:sz w:val="28"/>
          <w:szCs w:val="28"/>
        </w:rPr>
        <w:t xml:space="preserve"> </w:t>
      </w:r>
      <w:r w:rsidRPr="006F610E">
        <w:rPr>
          <w:rFonts w:ascii="Times New Roman" w:hAnsi="Times New Roman" w:cs="Times New Roman"/>
          <w:sz w:val="28"/>
          <w:szCs w:val="28"/>
        </w:rPr>
        <w:t>случае следует использовать интегральную форму</w:t>
      </w:r>
    </w:p>
    <w:p w14:paraId="72465FDC" w14:textId="77777777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75B13E" w14:textId="77777777" w:rsidR="00B033D7" w:rsidRPr="00764CBB" w:rsidRDefault="00B033D7" w:rsidP="008353D2">
      <w:pPr>
        <w:spacing w:line="360" w:lineRule="auto"/>
        <w:ind w:firstLine="709"/>
        <w:jc w:val="both"/>
      </w:pPr>
      <w:r w:rsidRPr="00B033D7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26476E25">
          <v:shape id="_x0000_i1057" type="#_x0000_t75" style="width:106.95pt;height:33.85pt" o:ole="">
            <v:imagedata r:id="rId83" o:title=""/>
          </v:shape>
          <o:OLEObject Type="Embed" ProgID="Equation.DSMT4" ShapeID="_x0000_i1057" DrawAspect="Content" ObjectID="_1841992677" r:id="rId84"/>
        </w:object>
      </w:r>
      <w:r w:rsidRPr="00B033D7">
        <w:t xml:space="preserve"> </w:t>
      </w:r>
    </w:p>
    <w:p w14:paraId="11F2F4C3" w14:textId="5CDFE927" w:rsidR="006F610E" w:rsidRPr="00764CBB" w:rsidRDefault="00B03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33D7">
        <w:rPr>
          <w:rFonts w:ascii="Times New Roman" w:hAnsi="Times New Roman" w:cs="Times New Roman"/>
          <w:sz w:val="28"/>
          <w:szCs w:val="28"/>
        </w:rPr>
        <w:t xml:space="preserve">Происхождение этих формул очевидно из теории деградационных процессов: остаточный ресурс равен расстоянию по деградационной координате до предельного состояния, делённому на скорость накопления повреждения. Именно такой переход от текущего состояния к скорости деградации и далее к </w:t>
      </w:r>
      <w:r w:rsidRPr="00B033D7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033D7">
        <w:rPr>
          <w:rFonts w:ascii="Times New Roman" w:hAnsi="Times New Roman" w:cs="Times New Roman"/>
          <w:sz w:val="28"/>
          <w:szCs w:val="28"/>
        </w:rPr>
        <w:t xml:space="preserve"> составляет центральную прогностическую логику всей диссертации.</w:t>
      </w:r>
    </w:p>
    <w:p w14:paraId="07234D20" w14:textId="1D8C13A9" w:rsidR="00B033D7" w:rsidRPr="00707496" w:rsidRDefault="0070749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7496">
        <w:rPr>
          <w:rFonts w:ascii="Times New Roman" w:hAnsi="Times New Roman" w:cs="Times New Roman"/>
          <w:sz w:val="28"/>
          <w:szCs w:val="28"/>
        </w:rPr>
        <w:t>Для визуализации остаточного ресурса была построена деградационная траектория опытного тягового модуля, на которой отмечены текущая точка состояния и прогнозируемый момент достижения порога конца ресурса.</w:t>
      </w:r>
    </w:p>
    <w:p w14:paraId="36C24842" w14:textId="48020708" w:rsidR="006F610E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9469FEE" wp14:editId="477BC08D">
            <wp:extent cx="6119495" cy="3515360"/>
            <wp:effectExtent l="0" t="0" r="0" b="8890"/>
            <wp:docPr id="2576265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4C10" w14:textId="23D569C5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>Рисунок 1.10 — Определение остаточного ресурса по деградационной траектории</w:t>
      </w:r>
    </w:p>
    <w:p w14:paraId="77B6C8E0" w14:textId="77777777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3247B" w14:textId="4E39B6F1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 xml:space="preserve">На рисунке представлена типичная кривая деградации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1FE6">
        <w:rPr>
          <w:rFonts w:ascii="Times New Roman" w:hAnsi="Times New Roman" w:cs="Times New Roman"/>
          <w:sz w:val="28"/>
          <w:szCs w:val="28"/>
        </w:rPr>
        <w:t xml:space="preserve">, по которой определяется остаточный ресурс батареи. Вертикальная линия в левой части графика соответствует текущему состоянию батареи, а вторая вертикальная линия — ожидаемому числу циклов, при котором будет достигнут порог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=80%</w:t>
      </w:r>
      <w:r w:rsidRPr="00FC1FE6">
        <w:rPr>
          <w:rFonts w:ascii="Times New Roman" w:hAnsi="Times New Roman" w:cs="Times New Roman"/>
          <w:sz w:val="28"/>
          <w:szCs w:val="28"/>
        </w:rPr>
        <w:t xml:space="preserve">. </w:t>
      </w:r>
      <w:r w:rsidR="002638C1" w:rsidRPr="002638C1">
        <w:rPr>
          <w:rFonts w:ascii="Times New Roman" w:hAnsi="Times New Roman" w:cs="Times New Roman"/>
          <w:sz w:val="28"/>
          <w:szCs w:val="28"/>
        </w:rPr>
        <w:t>Расстояние между этими двумя линиями по оси циклов и определяет остаточный ресурс батареи в цикловой форме.</w:t>
      </w:r>
    </w:p>
    <w:p w14:paraId="558EA41F" w14:textId="05E9B47B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8C1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наглядно связывает диагностическую часть задачи с прогностической. Пока известна только текущая точка, возможна лишь констатация состояния; когда известна траектория деградации, появляется возможность прогноза </w:t>
      </w:r>
      <w:r w:rsidRPr="002638C1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638C1">
        <w:rPr>
          <w:rFonts w:ascii="Times New Roman" w:hAnsi="Times New Roman" w:cs="Times New Roman"/>
          <w:sz w:val="28"/>
          <w:szCs w:val="28"/>
        </w:rPr>
        <w:t>. Практическая ценность рисунка заключается в том, что он демонстрирует алгоритмическую основу ресурсного сопровождения батареи:</w:t>
      </w:r>
      <w:r w:rsidRPr="002638C1">
        <w:t xml:space="preserve"> </w:t>
      </w:r>
      <w:r w:rsidRPr="002638C1">
        <w:rPr>
          <w:rFonts w:ascii="Times New Roman" w:hAnsi="Times New Roman" w:cs="Times New Roman"/>
          <w:sz w:val="28"/>
          <w:szCs w:val="28"/>
        </w:rPr>
        <w:t>от измерения параметров к идентификации траектории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638C1">
        <w:rPr>
          <w:rFonts w:ascii="Times New Roman" w:hAnsi="Times New Roman" w:cs="Times New Roman"/>
          <w:sz w:val="28"/>
          <w:szCs w:val="28"/>
        </w:rPr>
        <w:t xml:space="preserve"> далее к прогнозу конца ресурса.</w:t>
      </w:r>
    </w:p>
    <w:p w14:paraId="11B08376" w14:textId="77777777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D5FB8E" w14:textId="43E7134F" w:rsidR="00520843" w:rsidRP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1.3.5 Взаимосвязь показателей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SOC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RUL</w:t>
      </w:r>
    </w:p>
    <w:p w14:paraId="64F89ADF" w14:textId="77777777" w:rsid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E4CCD7" w14:textId="27EACC09" w:rsidR="00520843" w:rsidRDefault="006D51C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1C4">
        <w:rPr>
          <w:rFonts w:ascii="Times New Roman" w:hAnsi="Times New Roman" w:cs="Times New Roman"/>
          <w:sz w:val="28"/>
          <w:szCs w:val="28"/>
        </w:rPr>
        <w:t>Рассматриваемые показатели не являются независимыми. 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D51C4">
        <w:rPr>
          <w:rFonts w:ascii="Times New Roman" w:hAnsi="Times New Roman" w:cs="Times New Roman"/>
          <w:sz w:val="28"/>
          <w:szCs w:val="28"/>
        </w:rPr>
        <w:t xml:space="preserve"> влияет на доступное напряжение и тем самым на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D51C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B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определяет доступную ёмкость </w:t>
      </w:r>
      <w:r w:rsidR="00CB155F" w:rsidRPr="00CB155F">
        <w:rPr>
          <w:rFonts w:ascii="Times New Roman" w:hAnsi="Times New Roman" w:cs="Times New Roman"/>
          <w:sz w:val="28"/>
          <w:szCs w:val="28"/>
        </w:rPr>
        <w:t>и внутренний импеданс, а потому влияет как на запас энергии, так и на максимальную мощность. Параметр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CB155F" w:rsidRP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>
        <w:rPr>
          <w:rFonts w:ascii="Times New Roman" w:hAnsi="Times New Roman" w:cs="Times New Roman"/>
          <w:sz w:val="28"/>
          <w:szCs w:val="28"/>
        </w:rPr>
        <w:t xml:space="preserve">в </w:t>
      </w:r>
      <w:r w:rsidR="00CB155F" w:rsidRPr="00CB155F">
        <w:rPr>
          <w:rFonts w:ascii="Times New Roman" w:hAnsi="Times New Roman" w:cs="Times New Roman"/>
          <w:sz w:val="28"/>
          <w:szCs w:val="28"/>
        </w:rPr>
        <w:t>свою очередь определяется не только текущим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CB155F" w:rsidRPr="00CB155F">
        <w:rPr>
          <w:rFonts w:ascii="Times New Roman" w:hAnsi="Times New Roman" w:cs="Times New Roman"/>
          <w:sz w:val="28"/>
          <w:szCs w:val="28"/>
        </w:rPr>
        <w:t>, но и скоростью его изменения, а значит — режимом эксплуатации, температурой и внутренними импедансными параметрами.</w:t>
      </w:r>
    </w:p>
    <w:p w14:paraId="1EF4821A" w14:textId="396C7109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55F">
        <w:rPr>
          <w:rFonts w:ascii="Times New Roman" w:hAnsi="Times New Roman" w:cs="Times New Roman"/>
          <w:sz w:val="28"/>
          <w:szCs w:val="28"/>
        </w:rPr>
        <w:t>Для целей диссертации эта взаимосвязь может быть представлена системой</w:t>
      </w:r>
    </w:p>
    <w:p w14:paraId="4B5B8E36" w14:textId="77777777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D6D515" w14:textId="01BD77CF" w:rsidR="00CB155F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</w:rPr>
        <w:object w:dxaOrig="1920" w:dyaOrig="400" w14:anchorId="666DD195">
          <v:shape id="_x0000_i1058" type="#_x0000_t75" style="width:96.2pt;height:20.4pt" o:ole="">
            <v:imagedata r:id="rId86" o:title=""/>
          </v:shape>
          <o:OLEObject Type="Embed" ProgID="Equation.DSMT4" ShapeID="_x0000_i1058" DrawAspect="Content" ObjectID="_1841992678" r:id="rId87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32E47732" w14:textId="1BC0DC49" w:rsidR="00EC5BEB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2840" w:dyaOrig="440" w14:anchorId="17814122">
          <v:shape id="_x0000_i1059" type="#_x0000_t75" style="width:142.4pt;height:22.05pt" o:ole="">
            <v:imagedata r:id="rId88" o:title=""/>
          </v:shape>
          <o:OLEObject Type="Embed" ProgID="Equation.DSMT4" ShapeID="_x0000_i1059" DrawAspect="Content" ObjectID="_1841992679" r:id="rId89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4829E069" w14:textId="712CB5EB" w:rsidR="00EC5BEB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920" w:dyaOrig="400" w14:anchorId="2994B8B5">
          <v:shape id="_x0000_i1060" type="#_x0000_t75" style="width:145.6pt;height:20.4pt" o:ole="">
            <v:imagedata r:id="rId90" o:title=""/>
          </v:shape>
          <o:OLEObject Type="Embed" ProgID="Equation.DSMT4" ShapeID="_x0000_i1060" DrawAspect="Content" ObjectID="_1841992680" r:id="rId91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3FDEBFF2" w14:textId="73743C41" w:rsidR="00CB155F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28"/>
          <w:sz w:val="28"/>
          <w:szCs w:val="28"/>
        </w:rPr>
        <w:object w:dxaOrig="4180" w:dyaOrig="680" w14:anchorId="51711635">
          <v:shape id="_x0000_i1061" type="#_x0000_t75" style="width:209pt;height:33.85pt" o:ole="">
            <v:imagedata r:id="rId92" o:title=""/>
          </v:shape>
          <o:OLEObject Type="Embed" ProgID="Equation.DSMT4" ShapeID="_x0000_i1061" DrawAspect="Content" ObjectID="_1841992681" r:id="rId93"/>
        </w:objec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CEC976" w14:textId="77777777" w:rsidR="00EC5BE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512516" w14:textId="6DCCED24" w:rsidR="00EC5BE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7E1">
        <w:rPr>
          <w:rFonts w:ascii="Times New Roman" w:hAnsi="Times New Roman" w:cs="Times New Roman"/>
          <w:sz w:val="28"/>
          <w:szCs w:val="28"/>
        </w:rPr>
        <w:t>Данная система не вводится как завершённая вычислительная модель, а задаёт структурную иерархию параметров. В последующих главах именно она будет конкретизирована сначала на уровне импедансной модели, затем на уровне диагностических критериев и, наконец, на уровне прогностического алгоритма.</w:t>
      </w:r>
    </w:p>
    <w:p w14:paraId="1EC4A504" w14:textId="77777777" w:rsidR="000347E1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0A5140" w14:paraId="1D8E8118" w14:textId="77777777" w:rsidTr="000A5140">
        <w:tc>
          <w:tcPr>
            <w:tcW w:w="2406" w:type="dxa"/>
          </w:tcPr>
          <w:p w14:paraId="6E9EABC6" w14:textId="0C767F02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2407" w:type="dxa"/>
          </w:tcPr>
          <w:p w14:paraId="5830B148" w14:textId="4CB127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Основная физическая интерпретация</w:t>
            </w:r>
          </w:p>
        </w:tc>
        <w:tc>
          <w:tcPr>
            <w:tcW w:w="2407" w:type="dxa"/>
          </w:tcPr>
          <w:p w14:paraId="5F0DF5CA" w14:textId="632A8A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Базовая формула</w:t>
            </w:r>
          </w:p>
        </w:tc>
        <w:tc>
          <w:tcPr>
            <w:tcW w:w="2407" w:type="dxa"/>
          </w:tcPr>
          <w:p w14:paraId="359B3008" w14:textId="5D882C65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Главный недостаток при изолированном использовании</w:t>
            </w:r>
          </w:p>
        </w:tc>
      </w:tr>
      <w:tr w:rsidR="000A5140" w14:paraId="7C25484A" w14:textId="77777777" w:rsidTr="000A5140">
        <w:tc>
          <w:tcPr>
            <w:tcW w:w="2406" w:type="dxa"/>
          </w:tcPr>
          <w:p w14:paraId="7EFB358E" w14:textId="2D728E83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SOC</w:t>
            </w:r>
          </w:p>
        </w:tc>
        <w:tc>
          <w:tcPr>
            <w:tcW w:w="2407" w:type="dxa"/>
          </w:tcPr>
          <w:p w14:paraId="06427F80" w14:textId="46D49D47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Текущий запас заряда</w:t>
            </w:r>
          </w:p>
        </w:tc>
        <w:tc>
          <w:tcPr>
            <w:tcW w:w="2407" w:type="dxa"/>
          </w:tcPr>
          <w:p w14:paraId="40220F2B" w14:textId="68233CA1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00" w:dyaOrig="360" w14:anchorId="5C69D783">
                <v:shape id="_x0000_i1062" type="#_x0000_t75" style="width:74.7pt;height:17.75pt" o:ole="">
                  <v:imagedata r:id="rId94" o:title=""/>
                </v:shape>
                <o:OLEObject Type="Embed" ProgID="Equation.DSMT4" ShapeID="_x0000_i1062" DrawAspect="Content" ObjectID="_1841992682" r:id="rId95"/>
              </w:object>
            </w:r>
          </w:p>
        </w:tc>
        <w:tc>
          <w:tcPr>
            <w:tcW w:w="2407" w:type="dxa"/>
          </w:tcPr>
          <w:p w14:paraId="75ACAAE7" w14:textId="1EA6E6B2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Не отражает внутреннюю деградацию</w:t>
            </w:r>
          </w:p>
        </w:tc>
      </w:tr>
      <w:tr w:rsidR="000A5140" w14:paraId="0D84C11B" w14:textId="77777777" w:rsidTr="000A5140">
        <w:tc>
          <w:tcPr>
            <w:tcW w:w="2406" w:type="dxa"/>
          </w:tcPr>
          <w:p w14:paraId="3D534022" w14:textId="0DD27F8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SOH</w:t>
            </w:r>
          </w:p>
        </w:tc>
        <w:tc>
          <w:tcPr>
            <w:tcW w:w="2407" w:type="dxa"/>
          </w:tcPr>
          <w:p w14:paraId="3DD03EEE" w14:textId="7D4C58E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Степень старения батареи</w:t>
            </w:r>
          </w:p>
        </w:tc>
        <w:tc>
          <w:tcPr>
            <w:tcW w:w="2407" w:type="dxa"/>
          </w:tcPr>
          <w:p w14:paraId="790AFD7C" w14:textId="32F72100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40" w:dyaOrig="360" w14:anchorId="3040466C">
                <v:shape id="_x0000_i1063" type="#_x0000_t75" style="width:77.35pt;height:17.75pt" o:ole="">
                  <v:imagedata r:id="rId96" o:title=""/>
                </v:shape>
                <o:OLEObject Type="Embed" ProgID="Equation.DSMT4" ShapeID="_x0000_i1063" DrawAspect="Content" ObjectID="_1841992683" r:id="rId97"/>
              </w:objec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или </w:t>
            </w: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480" w:dyaOrig="400" w14:anchorId="2D2BC0DB">
                <v:shape id="_x0000_i1064" type="#_x0000_t75" style="width:74.15pt;height:20.4pt" o:ole="">
                  <v:imagedata r:id="rId98" o:title=""/>
                </v:shape>
                <o:OLEObject Type="Embed" ProgID="Equation.DSMT4" ShapeID="_x0000_i1064" DrawAspect="Content" ObjectID="_1841992684" r:id="rId99"/>
              </w:object>
            </w:r>
          </w:p>
        </w:tc>
        <w:tc>
          <w:tcPr>
            <w:tcW w:w="2407" w:type="dxa"/>
          </w:tcPr>
          <w:p w14:paraId="35AB73C3" w14:textId="0E31228C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При ёмкостной трактовке запаздывает относительно ранней деградации</w:t>
            </w:r>
          </w:p>
        </w:tc>
      </w:tr>
      <w:tr w:rsidR="000A5140" w14:paraId="507389C7" w14:textId="77777777" w:rsidTr="000A5140">
        <w:tc>
          <w:tcPr>
            <w:tcW w:w="2406" w:type="dxa"/>
          </w:tcPr>
          <w:p w14:paraId="38F0E44D" w14:textId="5CB7EE92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SOF</w:t>
            </w:r>
          </w:p>
        </w:tc>
        <w:tc>
          <w:tcPr>
            <w:tcW w:w="2407" w:type="dxa"/>
          </w:tcPr>
          <w:p w14:paraId="0C73405B" w14:textId="2CE7B15C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Доступная мощность</w:t>
            </w:r>
          </w:p>
        </w:tc>
        <w:tc>
          <w:tcPr>
            <w:tcW w:w="2407" w:type="dxa"/>
          </w:tcPr>
          <w:p w14:paraId="3C78A97E" w14:textId="7E0F5BA8" w:rsidR="000A5140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00" w:dyaOrig="400" w14:anchorId="77DAF3F7">
                <v:shape id="_x0000_i1065" type="#_x0000_t75" style="width:101pt;height:20.4pt" o:ole="">
                  <v:imagedata r:id="rId100" o:title=""/>
                </v:shape>
                <o:OLEObject Type="Embed" ProgID="Equation.DSMT4" ShapeID="_x0000_i1065" DrawAspect="Content" ObjectID="_1841992685" r:id="rId101"/>
              </w:object>
            </w:r>
          </w:p>
        </w:tc>
        <w:tc>
          <w:tcPr>
            <w:tcW w:w="2407" w:type="dxa"/>
          </w:tcPr>
          <w:p w14:paraId="7C0B16B8" w14:textId="725751C7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Требует знания не только заряда, но и импедансного состояния</w:t>
            </w:r>
          </w:p>
        </w:tc>
      </w:tr>
      <w:tr w:rsidR="000A5140" w14:paraId="541815A7" w14:textId="77777777" w:rsidTr="000A5140">
        <w:tc>
          <w:tcPr>
            <w:tcW w:w="2406" w:type="dxa"/>
          </w:tcPr>
          <w:p w14:paraId="7B7977B9" w14:textId="4E839A4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RUL</w:t>
            </w:r>
          </w:p>
        </w:tc>
        <w:tc>
          <w:tcPr>
            <w:tcW w:w="2407" w:type="dxa"/>
          </w:tcPr>
          <w:p w14:paraId="7DF2EBA4" w14:textId="1287EE10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Остаточный срок службы</w:t>
            </w:r>
          </w:p>
        </w:tc>
        <w:tc>
          <w:tcPr>
            <w:tcW w:w="2407" w:type="dxa"/>
          </w:tcPr>
          <w:p w14:paraId="6B46E118" w14:textId="3E5C83C6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B6620D0">
                <v:shape id="_x0000_i1066" type="#_x0000_t75" style="width:88.65pt;height:17.75pt" o:ole="">
                  <v:imagedata r:id="rId102" o:title=""/>
                </v:shape>
                <o:OLEObject Type="Embed" ProgID="Equation.DSMT4" ShapeID="_x0000_i1066" DrawAspect="Content" ObjectID="_1841992686" r:id="rId103"/>
              </w:object>
            </w:r>
          </w:p>
        </w:tc>
        <w:tc>
          <w:tcPr>
            <w:tcW w:w="2407" w:type="dxa"/>
          </w:tcPr>
          <w:p w14:paraId="193652ED" w14:textId="24DAADC0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 xml:space="preserve">Невозможен без модели </w:t>
            </w:r>
            <w:r w:rsidRPr="00855B0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деградационной траектории</w:t>
            </w:r>
          </w:p>
        </w:tc>
      </w:tr>
    </w:tbl>
    <w:p w14:paraId="58FC8B36" w14:textId="77777777" w:rsidR="000347E1" w:rsidRPr="00764CB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ADD997" w14:textId="4385A5C4" w:rsidR="00855B00" w:rsidRPr="00D05F77" w:rsidRDefault="00131CC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CCA">
        <w:rPr>
          <w:rFonts w:ascii="Times New Roman" w:hAnsi="Times New Roman" w:cs="Times New Roman"/>
          <w:sz w:val="28"/>
          <w:szCs w:val="28"/>
        </w:rPr>
        <w:t xml:space="preserve">Таким образом, показатели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образуют единую систему описания технического состояния тяговой аккумуляторной батареи. </w:t>
      </w:r>
      <w:r w:rsidRPr="00131CCA">
        <w:rPr>
          <w:rFonts w:ascii="Times New Roman" w:hAnsi="Times New Roman" w:cs="Times New Roman"/>
          <w:sz w:val="28"/>
          <w:szCs w:val="28"/>
        </w:rPr>
        <w:t>Среди 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 отражает краткосрочное состояние,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накопленную деградацию,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>
        <w:rPr>
          <w:rFonts w:ascii="Times New Roman" w:hAnsi="Times New Roman" w:cs="Times New Roman"/>
          <w:sz w:val="28"/>
          <w:szCs w:val="28"/>
        </w:rPr>
        <w:t xml:space="preserve"> – текущее силовое качество батареи, а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– её будущую работоспособность.</w:t>
      </w:r>
      <w:r w:rsidR="00D05F77" w:rsidRPr="00D05F77">
        <w:t xml:space="preserve"> </w:t>
      </w:r>
      <w:r w:rsidR="00D05F77" w:rsidRPr="00D05F77">
        <w:rPr>
          <w:rFonts w:ascii="Times New Roman" w:hAnsi="Times New Roman" w:cs="Times New Roman"/>
          <w:sz w:val="28"/>
          <w:szCs w:val="28"/>
        </w:rPr>
        <w:t>Для построения физически обоснованной системы прогноза ресурса принципиально важен переход от традиционной ёмкостной трактовки</w:t>
      </w:r>
      <w:r w:rsidR="00D05F77">
        <w:rPr>
          <w:rFonts w:ascii="Times New Roman" w:hAnsi="Times New Roman" w:cs="Times New Roman"/>
          <w:sz w:val="28"/>
          <w:szCs w:val="28"/>
        </w:rPr>
        <w:t xml:space="preserve"> </w:t>
      </w:r>
      <w:r w:rsidR="00D05F77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D05F77" w:rsidRPr="00D05F77">
        <w:rPr>
          <w:rFonts w:ascii="Times New Roman" w:hAnsi="Times New Roman" w:cs="Times New Roman"/>
          <w:sz w:val="28"/>
          <w:szCs w:val="28"/>
        </w:rPr>
        <w:t xml:space="preserve"> к его импедансной интерпретации, поскольку именно она обеспечивает раннюю чувствительность к деградации и позволяет связать диагностический и прогностический уровни анализа.</w:t>
      </w:r>
    </w:p>
    <w:p w14:paraId="77BE72A0" w14:textId="77777777" w:rsidR="00855B00" w:rsidRPr="00764CBB" w:rsidRDefault="00855B0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50536" w14:textId="1F1C8858" w:rsidR="00764CBB" w:rsidRPr="00764CBB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4CBB">
        <w:rPr>
          <w:rFonts w:ascii="Times New Roman" w:hAnsi="Times New Roman" w:cs="Times New Roman"/>
          <w:b/>
          <w:bCs/>
          <w:sz w:val="28"/>
          <w:szCs w:val="28"/>
        </w:rPr>
        <w:t>1.4 Электрохимическая импедансная спектроскопия как диагностический инструмент</w:t>
      </w:r>
    </w:p>
    <w:p w14:paraId="6FB8148B" w14:textId="77777777" w:rsidR="00764CBB" w:rsidRPr="00206F49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3C981E" w14:textId="025826D2" w:rsidR="00764CBB" w:rsidRPr="00206F49" w:rsidRDefault="00621FA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1FAF">
        <w:rPr>
          <w:rFonts w:ascii="Times New Roman" w:hAnsi="Times New Roman" w:cs="Times New Roman"/>
          <w:sz w:val="28"/>
          <w:szCs w:val="28"/>
        </w:rPr>
        <w:t xml:space="preserve">Электрохимическая импедансная спектроскопия представляет собой частотный метод анализа отклика электрохимической системы на малое гармоническое возмущение тока </w:t>
      </w:r>
      <w:r w:rsidRPr="00A15C66">
        <w:rPr>
          <w:rFonts w:ascii="Times New Roman" w:hAnsi="Times New Roman" w:cs="Times New Roman"/>
          <w:sz w:val="28"/>
          <w:szCs w:val="28"/>
          <w:highlight w:val="yellow"/>
        </w:rPr>
        <w:t>или напряжения</w:t>
      </w:r>
      <w:r w:rsidRPr="00621FAF">
        <w:rPr>
          <w:rFonts w:ascii="Times New Roman" w:hAnsi="Times New Roman" w:cs="Times New Roman"/>
          <w:sz w:val="28"/>
          <w:szCs w:val="28"/>
        </w:rPr>
        <w:t>. Современные обзоры и учебные работы подчёркивают, что EIS позволяет разложить суммарный электрический отклик батареи на вклады омической проводимости, межфазного переноса заряда, ёмкостного поведения двойного электрического слоя и диффузионного переноса вещества. Именно эта декомпозиция делает EIS особенно ценным методом для диагностики аккумуляторных батарей, поскольку различные механизмы старения отражаются в разных участках спектра и в разных параметрах эквивалентной модели. </w:t>
      </w:r>
    </w:p>
    <w:p w14:paraId="745704DF" w14:textId="74A5170C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5C66">
        <w:rPr>
          <w:rFonts w:ascii="Times New Roman" w:hAnsi="Times New Roman" w:cs="Times New Roman"/>
          <w:sz w:val="28"/>
          <w:szCs w:val="28"/>
        </w:rPr>
        <w:lastRenderedPageBreak/>
        <w:t>Математическая основа метода опирается на теорию линейных стационарных систем. Если на исследуемую электрохимическую систему подаётся гармонический ток</w:t>
      </w:r>
    </w:p>
    <w:p w14:paraId="2C646FFB" w14:textId="77777777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AD1BEC" w14:textId="4053B54C" w:rsidR="00A15C66" w:rsidRP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719" w:dyaOrig="360" w14:anchorId="5CDB74D9">
          <v:shape id="_x0000_i1067" type="#_x0000_t75" style="width:86.5pt;height:18.25pt" o:ole="">
            <v:imagedata r:id="rId104" o:title=""/>
          </v:shape>
          <o:OLEObject Type="Embed" ProgID="Equation.DSMT4" ShapeID="_x0000_i1067" DrawAspect="Content" ObjectID="_1841992687" r:id="rId105"/>
        </w:object>
      </w:r>
      <w:r w:rsidRPr="00947272">
        <w:rPr>
          <w:rFonts w:ascii="Times New Roman" w:hAnsi="Times New Roman" w:cs="Times New Roman"/>
          <w:sz w:val="28"/>
          <w:szCs w:val="28"/>
        </w:rPr>
        <w:t>,</w:t>
      </w:r>
    </w:p>
    <w:p w14:paraId="7EFADA78" w14:textId="1DB50032" w:rsidR="00A15C66" w:rsidRP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то при условии малости возмущения отклик по напряжению также будет гармоническим:</w:t>
      </w:r>
    </w:p>
    <w:p w14:paraId="34210667" w14:textId="2ADD9C04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472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939" w:dyaOrig="360" w14:anchorId="0B616DD9">
          <v:shape id="_x0000_i1068" type="#_x0000_t75" style="width:97.25pt;height:18.25pt" o:ole="">
            <v:imagedata r:id="rId106" o:title=""/>
          </v:shape>
          <o:OLEObject Type="Embed" ProgID="Equation.DSMT4" ShapeID="_x0000_i1068" DrawAspect="Content" ObjectID="_1841992688" r:id="rId107"/>
        </w:object>
      </w:r>
    </w:p>
    <w:p w14:paraId="33E50A4C" w14:textId="74C8C1C7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φ –фазовый сдвиг </w:t>
      </w:r>
      <w:r w:rsidRPr="00947272">
        <w:rPr>
          <w:rFonts w:ascii="Times New Roman" w:hAnsi="Times New Roman" w:cs="Times New Roman"/>
          <w:sz w:val="28"/>
          <w:szCs w:val="28"/>
        </w:rPr>
        <w:t>между током и напряжением.</w:t>
      </w:r>
    </w:p>
    <w:p w14:paraId="64E7185D" w14:textId="2034CABA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Переход к комплексной форме осуществляется стандартным образом через</w:t>
      </w:r>
      <w:r w:rsidR="00B76180">
        <w:rPr>
          <w:rFonts w:ascii="Times New Roman" w:hAnsi="Times New Roman" w:cs="Times New Roman"/>
          <w:sz w:val="28"/>
          <w:szCs w:val="28"/>
        </w:rPr>
        <w:t xml:space="preserve"> </w:t>
      </w:r>
      <w:r w:rsidR="00B76180" w:rsidRPr="00B76180">
        <w:rPr>
          <w:rFonts w:ascii="Times New Roman" w:hAnsi="Times New Roman" w:cs="Times New Roman"/>
          <w:sz w:val="28"/>
          <w:szCs w:val="28"/>
        </w:rPr>
        <w:t>представление гармонических функций как вещественной части комплексной экспоненты. Тогда комплексный импеданс определяется как</w:t>
      </w:r>
    </w:p>
    <w:p w14:paraId="34539E7C" w14:textId="77777777" w:rsidR="00B76180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8C048E" w14:textId="35ECE6E4" w:rsidR="00B76180" w:rsidRPr="00206F49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6180">
        <w:rPr>
          <w:rFonts w:ascii="Times New Roman" w:hAnsi="Times New Roman" w:cs="Times New Roman"/>
          <w:position w:val="-40"/>
          <w:sz w:val="28"/>
          <w:szCs w:val="28"/>
        </w:rPr>
        <w:object w:dxaOrig="1420" w:dyaOrig="920" w14:anchorId="4FA1F126">
          <v:shape id="_x0000_i1069" type="#_x0000_t75" style="width:71.45pt;height:46.2pt" o:ole="">
            <v:imagedata r:id="rId108" o:title=""/>
          </v:shape>
          <o:OLEObject Type="Embed" ProgID="Equation.DSMT4" ShapeID="_x0000_i1069" DrawAspect="Content" ObjectID="_1841992689" r:id="rId109"/>
        </w:object>
      </w:r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5893F986" w14:textId="77777777" w:rsidR="00B76180" w:rsidRPr="00206F49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D307A2" w14:textId="1096820E" w:rsidR="00B7618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 xml:space="preserve">Это соотношение является частотным </w:t>
      </w:r>
      <w:r w:rsidRPr="00AF78E0">
        <w:rPr>
          <w:rFonts w:ascii="Times New Roman" w:hAnsi="Times New Roman" w:cs="Times New Roman"/>
          <w:sz w:val="28"/>
          <w:szCs w:val="28"/>
          <w:highlight w:val="yellow"/>
        </w:rPr>
        <w:t>аналогом</w:t>
      </w:r>
      <w:r w:rsidRPr="00AF78E0">
        <w:rPr>
          <w:rFonts w:ascii="Times New Roman" w:hAnsi="Times New Roman" w:cs="Times New Roman"/>
          <w:sz w:val="28"/>
          <w:szCs w:val="28"/>
        </w:rPr>
        <w:t xml:space="preserve"> закона Ома и используется потому, что позволяет анализировать не только модуль отклика, но и фазовые соотношения, то есть различать резистивную, ёмкостную и диффузионную природу процессов внутри аккумулятора. В современной методологии EIS именно анализ комплексной формы </w:t>
      </w:r>
      <w:r w:rsidRPr="00AF78E0">
        <w:rPr>
          <w:rFonts w:ascii="Times New Roman" w:hAnsi="Times New Roman" w:cs="Times New Roman"/>
          <w:i/>
          <w:iCs/>
          <w:sz w:val="28"/>
          <w:szCs w:val="28"/>
        </w:rPr>
        <w:t>Z(ω)</w:t>
      </w:r>
      <w:r w:rsidRPr="00AF78E0">
        <w:rPr>
          <w:rFonts w:ascii="Times New Roman" w:hAnsi="Times New Roman" w:cs="Times New Roman"/>
          <w:sz w:val="28"/>
          <w:szCs w:val="28"/>
        </w:rPr>
        <w:t>, а не только модуля сопротивления, рассматривается как принципиально необходимый для корректной физической интерпретации данных.</w:t>
      </w:r>
    </w:p>
    <w:p w14:paraId="47A24970" w14:textId="05444EC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>В комплексной форме импеданс записывается как</w:t>
      </w:r>
    </w:p>
    <w:p w14:paraId="17A50F48" w14:textId="7777777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0F2DBB" w14:textId="4013224D" w:rsidR="00AF78E0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B1D5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400" w:dyaOrig="400" w14:anchorId="70603D33">
          <v:shape id="_x0000_i1070" type="#_x0000_t75" style="width:120.35pt;height:19.35pt" o:ole="">
            <v:imagedata r:id="rId110" o:title=""/>
          </v:shape>
          <o:OLEObject Type="Embed" ProgID="Equation.DSMT4" ShapeID="_x0000_i1070" DrawAspect="Content" ObjectID="_1841992690" r:id="rId111"/>
        </w:object>
      </w:r>
    </w:p>
    <w:p w14:paraId="0BF5D364" w14:textId="77777777" w:rsidR="00AF78E0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668B5C" w14:textId="087580BE" w:rsidR="002B1D51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</w:p>
    <w:p w14:paraId="78BD8369" w14:textId="0973AE50" w:rsidR="002B1D51" w:rsidRPr="00206F49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’(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B1D51">
        <w:rPr>
          <w:rFonts w:ascii="Times New Roman" w:hAnsi="Times New Roman" w:cs="Times New Roman"/>
          <w:sz w:val="28"/>
          <w:szCs w:val="28"/>
        </w:rPr>
        <w:t xml:space="preserve"> – </w:t>
      </w:r>
      <w:r w:rsidRPr="00B525A8">
        <w:rPr>
          <w:rFonts w:ascii="Times New Roman" w:hAnsi="Times New Roman" w:cs="Times New Roman"/>
          <w:sz w:val="28"/>
          <w:szCs w:val="28"/>
        </w:rPr>
        <w:t>действительная часть,</w:t>
      </w:r>
    </w:p>
    <w:p w14:paraId="476D571F" w14:textId="3730CE5D" w:rsidR="002B1D51" w:rsidRPr="00B525A8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”(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B525A8">
        <w:rPr>
          <w:rFonts w:ascii="Times New Roman" w:hAnsi="Times New Roman" w:cs="Times New Roman"/>
          <w:sz w:val="28"/>
          <w:szCs w:val="28"/>
        </w:rPr>
        <w:t xml:space="preserve"> – мнимая часть импеданса.</w:t>
      </w:r>
    </w:p>
    <w:p w14:paraId="791E3CD5" w14:textId="38CAA4C6" w:rsidR="002B1D51" w:rsidRPr="00206F49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Действительная часть соответствует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диссипативным</w:t>
      </w:r>
      <w:r w:rsidRPr="00B525A8">
        <w:rPr>
          <w:rFonts w:ascii="Times New Roman" w:hAnsi="Times New Roman" w:cs="Times New Roman"/>
          <w:sz w:val="28"/>
          <w:szCs w:val="28"/>
        </w:rPr>
        <w:t xml:space="preserve"> потерям энергии, а мнимая отражает энергонакопление и задержанные отклики системы. На этой основе строятся две классические формы представления результатов: диаграмма Найквиста, на которой откладываются </w:t>
      </w:r>
      <w:r w:rsidRPr="00B525A8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sz w:val="28"/>
          <w:szCs w:val="28"/>
        </w:rPr>
        <w:t xml:space="preserve">’ и 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и диаграмма Боде, где анализируются модуль 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Z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фазовый угол φ как функции частоты. Современные руководства и обзоры по EIS подчёркивают, что диаграмма Найквиста удобна для интерпретации эквивалентных схем и выделения полукругов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зарядопереноса</w:t>
      </w:r>
      <w:r w:rsidRPr="00B525A8">
        <w:rPr>
          <w:rFonts w:ascii="Times New Roman" w:hAnsi="Times New Roman" w:cs="Times New Roman"/>
          <w:sz w:val="28"/>
          <w:szCs w:val="28"/>
        </w:rPr>
        <w:t>, тогда как диаграмма Боде даёт более наглядное представление о частотных диапазонах доминирующих процессов.</w:t>
      </w:r>
    </w:p>
    <w:p w14:paraId="7FEE2A95" w14:textId="24EC4D81" w:rsidR="002B1D51" w:rsidRPr="00206F49" w:rsidRDefault="00B525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Для инженерного анализа аккумуляторных систем наиболее распространённой является эквивалентная схема Рэндлса или её модификации. В простейшем варианте схема содержит омическое сопротивление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параллельное соединение сопротивления переноса заряда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ёмкости двойного электрического слоя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а также диффузионный элемент Варбурга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r w:rsidRPr="00B525A8">
        <w:rPr>
          <w:rFonts w:ascii="Times New Roman" w:hAnsi="Times New Roman" w:cs="Times New Roman"/>
          <w:sz w:val="28"/>
          <w:szCs w:val="28"/>
        </w:rPr>
        <w:t xml:space="preserve">. 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Такая схема используется не потому, что полностью воспроизводит реальную пространственно-распределённую электрохимию, а потому, что позволяет свести сложный спектр к набору параметров с физически интерпретируемым смыслом. В современных работах по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battery EIS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 подчёркивается, что корректная эквивалентная схема должна строиться из понимания физики системы, а не только из удобства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curve fitting</w:t>
      </w:r>
      <w:r w:rsidR="00C7323B" w:rsidRPr="00C7323B">
        <w:rPr>
          <w:rFonts w:ascii="Times New Roman" w:hAnsi="Times New Roman" w:cs="Times New Roman"/>
          <w:sz w:val="28"/>
          <w:szCs w:val="28"/>
        </w:rPr>
        <w:t>.</w:t>
      </w:r>
    </w:p>
    <w:p w14:paraId="2044EAA1" w14:textId="2DB2305F" w:rsidR="00C7323B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912">
        <w:rPr>
          <w:rFonts w:ascii="Times New Roman" w:hAnsi="Times New Roman" w:cs="Times New Roman"/>
          <w:sz w:val="28"/>
          <w:szCs w:val="28"/>
        </w:rPr>
        <w:t xml:space="preserve">Для последующего анализа в диссертации в качестве базовой используется эквивалентная схема, включающая омическое сопротивление, ветвь зарядопереноса и ёмкости двойного слоя, а также диффузионный элемент </w:t>
      </w:r>
      <w:r w:rsidRPr="00A83912">
        <w:rPr>
          <w:rFonts w:ascii="Times New Roman" w:hAnsi="Times New Roman" w:cs="Times New Roman"/>
          <w:sz w:val="28"/>
          <w:szCs w:val="28"/>
        </w:rPr>
        <w:lastRenderedPageBreak/>
        <w:t>Варбурга. Именно она образует минимально достаточный набор параметров, позволяющий связать измеряемый спектр с деградационными процессами в батарее.</w:t>
      </w:r>
    </w:p>
    <w:p w14:paraId="51B7166C" w14:textId="77777777" w:rsidR="00A83912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C1A09C" w14:textId="52FE4BC4" w:rsidR="00A83912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873A2FB" wp14:editId="5D3DABD3">
            <wp:extent cx="6119495" cy="2041525"/>
            <wp:effectExtent l="0" t="0" r="0" b="0"/>
            <wp:docPr id="1646864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0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2DAB7" w14:textId="7E32D62A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5E0A">
        <w:rPr>
          <w:rFonts w:ascii="Times New Roman" w:hAnsi="Times New Roman" w:cs="Times New Roman"/>
          <w:sz w:val="28"/>
          <w:szCs w:val="28"/>
        </w:rPr>
        <w:t>Рисунок 1.11 — Эквивалентная схема импедансной модели тяговой аккумуляторной батареи</w:t>
      </w:r>
    </w:p>
    <w:p w14:paraId="73BE14A8" w14:textId="77777777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91594" w14:textId="6D699082" w:rsidR="00FA5E0A" w:rsidRDefault="00B4726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726D">
        <w:rPr>
          <w:rFonts w:ascii="Times New Roman" w:hAnsi="Times New Roman" w:cs="Times New Roman"/>
          <w:sz w:val="28"/>
          <w:szCs w:val="28"/>
        </w:rPr>
        <w:t xml:space="preserve">На рисунке представлена базовая эквивалентная схема, состоящая из омического сопротивления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, параллельной ветви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sz w:val="28"/>
          <w:szCs w:val="28"/>
        </w:rPr>
        <w:t>диффузионного элемента Варбурга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4726D">
        <w:rPr>
          <w:rFonts w:ascii="Times New Roman" w:hAnsi="Times New Roman" w:cs="Times New Roman"/>
          <w:sz w:val="28"/>
          <w:szCs w:val="28"/>
        </w:rPr>
        <w:t xml:space="preserve">тражает проводимость электролита, токосъёмников и контактных соединений.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sz w:val="28"/>
          <w:szCs w:val="28"/>
        </w:rPr>
        <w:t xml:space="preserve"> соответствует кинетическим ограничениям межфазной реакции. Ёмкость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описывает накопление заряда в двойном электрическом слое на границе электрод–электролит. Элемент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отражает диффузионные ограничения массопереноса в твёрдой фазе и электролите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CE3EAC" w14:textId="350BAA8C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фиксирует физико-математический каркас будущей параметрической идентификации. Практическая ценность состоит в возможности перехода от сложного спектра к конечному набору параметров, пригодному для диагностики состояния и прогноза ресурса в составе BMS.</w:t>
      </w:r>
    </w:p>
    <w:p w14:paraId="1B5DC2FC" w14:textId="45AE1C7E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Для указанной схемы общий импеданс может быть записан как</w:t>
      </w:r>
    </w:p>
    <w:p w14:paraId="7B9E566A" w14:textId="77777777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2CAA6A" w14:textId="18F38BF7" w:rsidR="004A5C3A" w:rsidRP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position w:val="-30"/>
          <w:sz w:val="28"/>
          <w:szCs w:val="28"/>
        </w:rPr>
        <w:object w:dxaOrig="3340" w:dyaOrig="680" w14:anchorId="4C2B4A80">
          <v:shape id="_x0000_i1071" type="#_x0000_t75" style="width:167.1pt;height:33.85pt" o:ole="">
            <v:imagedata r:id="rId113" o:title=""/>
          </v:shape>
          <o:OLEObject Type="Embed" ProgID="Equation.DSMT4" ShapeID="_x0000_i1071" DrawAspect="Content" ObjectID="_1841992691" r:id="rId114"/>
        </w:object>
      </w:r>
    </w:p>
    <w:p w14:paraId="79030E21" w14:textId="0C53019E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sz w:val="28"/>
          <w:szCs w:val="28"/>
        </w:rPr>
        <w:t>Первое слагаемое представляет собой чисто резистивный вклад, второе получается из правила расчёта параллельного соединения сопротивления и ёмкости, третье отражает диффузионный отклик. Если считать диффузию полуограниченной, то классический импеданс Варбурга имеет вид</w:t>
      </w:r>
    </w:p>
    <w:p w14:paraId="4C759CEA" w14:textId="77777777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39C6FF" w14:textId="069EE031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420" w:dyaOrig="700" w14:anchorId="137DCC1A">
          <v:shape id="_x0000_i1072" type="#_x0000_t75" style="width:71.45pt;height:34.95pt" o:ole="">
            <v:imagedata r:id="rId115" o:title=""/>
          </v:shape>
          <o:OLEObject Type="Embed" ProgID="Equation.DSMT4" ShapeID="_x0000_i1072" DrawAspect="Content" ObjectID="_1841992692" r:id="rId116"/>
        </w:object>
      </w:r>
    </w:p>
    <w:p w14:paraId="33594DF9" w14:textId="041118F6" w:rsidR="007431E4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σ – </w:t>
      </w:r>
      <w:r w:rsidRPr="007431E4"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7098E8D7" w14:textId="7A5C795F" w:rsidR="004A5C3A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E4">
        <w:rPr>
          <w:rFonts w:ascii="Times New Roman" w:hAnsi="Times New Roman" w:cs="Times New Roman"/>
          <w:sz w:val="28"/>
          <w:szCs w:val="28"/>
        </w:rPr>
        <w:t>Происхождение этой формулы связано с решением второго закона Фика для гармонического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>возмущения концентрации на границе раздела.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 xml:space="preserve">В критических обзорах последних лет специально подчёркивается, что </w:t>
      </w:r>
      <w:r w:rsidRPr="007431E4">
        <w:rPr>
          <w:rFonts w:ascii="Times New Roman" w:hAnsi="Times New Roman" w:cs="Times New Roman"/>
          <w:sz w:val="28"/>
          <w:szCs w:val="28"/>
          <w:highlight w:val="yellow"/>
        </w:rPr>
        <w:t>использование Варбурга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требует осторожности: необходимо различать полуограниченную, конечнопространственную и конечнодлиновую диффузию, поскольку неправильный выбор диффузионной модели может привести к ошибочной физической интерпретации параметров.</w:t>
      </w:r>
    </w:p>
    <w:p w14:paraId="1F777920" w14:textId="719B21C7" w:rsidR="007431E4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>На высоких частотах вклад ёмкости и диффузии становится малым, поэтому спектр стремится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3A">
        <w:rPr>
          <w:rFonts w:ascii="Times New Roman" w:hAnsi="Times New Roman" w:cs="Times New Roman"/>
          <w:sz w:val="28"/>
          <w:szCs w:val="28"/>
        </w:rPr>
        <w:t xml:space="preserve">В среднечастотной области формируется полукруг, связанный с зарядопереносом и ёмкостью двойного слоя. В низкочастотной области начинает доминировать диффузионная составляющая. Именно это разбиение частотного спектра на зоны делает EIS особенно удобным методом: разные механизмы старения могут быть локализованы по частотной области. Современные обзоры по EIS для батарей подчёркивают, что эта частотная селективность является одним из главных преимуществ метода по сравнению с интегральными </w:t>
      </w:r>
      <w:r w:rsidRPr="00B33E3A">
        <w:rPr>
          <w:rFonts w:ascii="Times New Roman" w:hAnsi="Times New Roman" w:cs="Times New Roman"/>
          <w:sz w:val="28"/>
          <w:szCs w:val="28"/>
          <w:highlight w:val="yellow"/>
        </w:rPr>
        <w:t>DC-подходами.</w:t>
      </w:r>
    </w:p>
    <w:p w14:paraId="2EA505A5" w14:textId="72F064CA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lastRenderedPageBreak/>
        <w:t>Диаграмма Найквиста позволяет непосредственно увидеть омическую точку пересечения, полукруг зарядопереноса и низкочастотную диффузионную область. Поэтому именно она традиционно используется как первичный графический носитель EIS-информации в работах по аккумуляторной диагностике.</w:t>
      </w:r>
    </w:p>
    <w:p w14:paraId="133E01DA" w14:textId="77777777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90E9AB" w14:textId="027ED9C3" w:rsidR="00B33E3A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EF3E0B" wp14:editId="5518E233">
            <wp:extent cx="6119495" cy="5132705"/>
            <wp:effectExtent l="0" t="0" r="0" b="0"/>
            <wp:docPr id="11843360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13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E303B36" w14:textId="5F71F413" w:rsidR="00156A70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4526">
        <w:rPr>
          <w:rFonts w:ascii="Times New Roman" w:hAnsi="Times New Roman" w:cs="Times New Roman"/>
          <w:sz w:val="28"/>
          <w:szCs w:val="28"/>
        </w:rPr>
        <w:t>Рисунок 1.12 — Диаграмма Найквиста опытной тяговой батареи</w:t>
      </w:r>
    </w:p>
    <w:p w14:paraId="77A92E59" w14:textId="77777777" w:rsidR="00094526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10D8E" w14:textId="762A1598" w:rsidR="00094526" w:rsidRPr="00206F49" w:rsidRDefault="00475DF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5DF7">
        <w:rPr>
          <w:rFonts w:ascii="Times New Roman" w:hAnsi="Times New Roman" w:cs="Times New Roman"/>
          <w:sz w:val="28"/>
          <w:szCs w:val="28"/>
        </w:rPr>
        <w:t>На рисунке показана типичная диаграмма Найквиста. Первая точка пересечения с осью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</w:t>
      </w:r>
      <w:r w:rsidRPr="00475D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75DF7">
        <w:rPr>
          <w:rFonts w:ascii="Times New Roman" w:hAnsi="Times New Roman" w:cs="Times New Roman"/>
          <w:sz w:val="28"/>
          <w:szCs w:val="28"/>
        </w:rPr>
        <w:t xml:space="preserve">) соответствует высокочастотному омическому сопротивлению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475DF7">
        <w:rPr>
          <w:rFonts w:ascii="Times New Roman" w:hAnsi="Times New Roman" w:cs="Times New Roman"/>
          <w:sz w:val="28"/>
          <w:szCs w:val="28"/>
        </w:rPr>
        <w:t xml:space="preserve">. Полукруг в средней частотной области отражает совместное </w:t>
      </w:r>
      <w:r w:rsidRPr="00475DF7">
        <w:rPr>
          <w:rFonts w:ascii="Times New Roman" w:hAnsi="Times New Roman" w:cs="Times New Roman"/>
          <w:sz w:val="28"/>
          <w:szCs w:val="28"/>
        </w:rPr>
        <w:lastRenderedPageBreak/>
        <w:t>действие сопротивления переноса заряда и ёмкости двойного электрического слоя. Наклонный участок на низких частотах соответствует диффузионной области и связан с ограничениями массопереноса.</w:t>
      </w:r>
    </w:p>
    <w:p w14:paraId="25CA024F" w14:textId="3A95503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позволяет на одном графике локализовать основные физические механизмы, формирующие спектр аккумулятора. Практическая польза рисунка заключается в возможности визуальной и количественной оценки параметров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диффузионного вклада без проведения полного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ресурсного цикла</w:t>
      </w:r>
      <w:r w:rsidRPr="00573537">
        <w:rPr>
          <w:rFonts w:ascii="Times New Roman" w:hAnsi="Times New Roman" w:cs="Times New Roman"/>
          <w:sz w:val="28"/>
          <w:szCs w:val="28"/>
        </w:rPr>
        <w:t>.</w:t>
      </w:r>
    </w:p>
    <w:p w14:paraId="282855AE" w14:textId="39CBE5E9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Для более детального частотного анализа используется диаграмма Боде. Она особенно важна в тех случаях, когда необходимо выбрать ограниченный набор диагностических частот для экспресс-измерений. Современные исследования, включая работы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automotive EIS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573537">
        <w:rPr>
          <w:rFonts w:ascii="Times New Roman" w:hAnsi="Times New Roman" w:cs="Times New Roman"/>
          <w:sz w:val="28"/>
          <w:szCs w:val="28"/>
        </w:rPr>
        <w:t xml:space="preserve">, указывают, что именно анализ распределения информативности по частоте открывает путь к сокращённым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onboard- и near onboard-методам</w:t>
      </w:r>
      <w:r w:rsidRPr="00573537">
        <w:rPr>
          <w:rFonts w:ascii="Times New Roman" w:hAnsi="Times New Roman" w:cs="Times New Roman"/>
          <w:sz w:val="28"/>
          <w:szCs w:val="28"/>
        </w:rPr>
        <w:t xml:space="preserve">. При этом одной из центральных современных задач остаётся перенос EIS из стационарной лабораторной среды к динамическим режимам измерения. Обзор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electrochemical impedance spectroscopy</w:t>
      </w:r>
      <w:r w:rsidRPr="00573537">
        <w:rPr>
          <w:rFonts w:ascii="Times New Roman" w:hAnsi="Times New Roman" w:cs="Times New Roman"/>
          <w:sz w:val="28"/>
          <w:szCs w:val="28"/>
        </w:rPr>
        <w:t xml:space="preserve"> подчёркивает, что развитие DEIS непосредственно связано с задачами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state monitoring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быстрых диагностических оценок при меняющихся рабочих режимах.</w:t>
      </w:r>
    </w:p>
    <w:p w14:paraId="3866BD44" w14:textId="5F0D6AF7" w:rsidR="00573537" w:rsidRPr="00573537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>Диаграмма Боде позволяет разделить частотные области омического отклика, зарядопереноса и диффузии значительно более явно, чем диаграмма Найквиста. В задачах дальнейшей диссертации это особенно важно, поскольку именно по диаграмме Боде выбираются частоты для сокращённого диагностического протокола.</w:t>
      </w:r>
    </w:p>
    <w:p w14:paraId="37765797" w14:textId="77777777" w:rsidR="00D567B3" w:rsidRPr="00573537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D1F860" w14:textId="6A325144" w:rsidR="00D567B3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64881A" wp14:editId="4CF4D889">
            <wp:extent cx="6119495" cy="3902075"/>
            <wp:effectExtent l="0" t="0" r="0" b="3175"/>
            <wp:docPr id="20328378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90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9F98F" w14:textId="40A02C0A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448">
        <w:rPr>
          <w:rFonts w:ascii="Times New Roman" w:hAnsi="Times New Roman" w:cs="Times New Roman"/>
          <w:sz w:val="28"/>
          <w:szCs w:val="28"/>
        </w:rPr>
        <w:t>Рисунок 1.13 — Диаграмма Боде опытной тяговой батареи</w:t>
      </w:r>
    </w:p>
    <w:p w14:paraId="60EF89F7" w14:textId="77777777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5EBD83" w14:textId="54ADEC78" w:rsidR="00223448" w:rsidRPr="00206F49" w:rsidRDefault="002648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837">
        <w:rPr>
          <w:rFonts w:ascii="Times New Roman" w:hAnsi="Times New Roman" w:cs="Times New Roman"/>
          <w:sz w:val="28"/>
          <w:szCs w:val="28"/>
        </w:rPr>
        <w:t xml:space="preserve">На рисунке приведены зависимости модуля импеданса и фазового угла от частоты. В высокочастотной области модуль импеданса приближается к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64837">
        <w:rPr>
          <w:rFonts w:ascii="Times New Roman" w:hAnsi="Times New Roman" w:cs="Times New Roman"/>
          <w:sz w:val="28"/>
          <w:szCs w:val="28"/>
        </w:rPr>
        <w:t>, а фазовый угол близок к нулю, что соответствует преимущественно резистивному поведению. В среднечастотной зоне наблюдается выраженный фазовый сдвиг, связанный с межфазным переносом заряда и ёмкостью двойного слоя. В низкочастотной области модуль импеданса возрастает, а фазовый отклик смещается в сторону диффузионного режима.</w:t>
      </w:r>
    </w:p>
    <w:p w14:paraId="4480ED5E" w14:textId="50A168EA" w:rsidR="00264837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показывает частотную локализацию доминирующих процессов и тем самым создаёт основу для выделения информативных спектральных признаков. Практическая польза заключается в возможности выбора ограниченного набора частот для экспресс-диагностики батареи без необходимости полного широкополосного сканирования.</w:t>
      </w:r>
    </w:p>
    <w:p w14:paraId="4F868F15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6930E" w14:textId="7EF30851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Таблица 1.5 – Физическая интерпретация основных элементов EIS-спектра аккумуляторной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56EC4" w14:paraId="556ED999" w14:textId="77777777" w:rsidTr="00156EC4">
        <w:tc>
          <w:tcPr>
            <w:tcW w:w="2406" w:type="dxa"/>
          </w:tcPr>
          <w:p w14:paraId="0F6DD168" w14:textId="3B84D059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Частотная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область</w:t>
            </w:r>
          </w:p>
        </w:tc>
        <w:tc>
          <w:tcPr>
            <w:tcW w:w="2407" w:type="dxa"/>
          </w:tcPr>
          <w:p w14:paraId="0307391C" w14:textId="7F087B79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Доминирующий процесс</w:t>
            </w:r>
          </w:p>
        </w:tc>
        <w:tc>
          <w:tcPr>
            <w:tcW w:w="2407" w:type="dxa"/>
          </w:tcPr>
          <w:p w14:paraId="47268EBC" w14:textId="5CF9B322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Основной параметр</w:t>
            </w:r>
          </w:p>
        </w:tc>
        <w:tc>
          <w:tcPr>
            <w:tcW w:w="2407" w:type="dxa"/>
          </w:tcPr>
          <w:p w14:paraId="2D3E988B" w14:textId="7DE39D7B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Диагностическое значение</w:t>
            </w:r>
          </w:p>
        </w:tc>
      </w:tr>
      <w:tr w:rsidR="00156EC4" w:rsidRPr="00156EC4" w14:paraId="36B9EC87" w14:textId="77777777" w:rsidTr="00156EC4">
        <w:tc>
          <w:tcPr>
            <w:tcW w:w="2406" w:type="dxa"/>
          </w:tcPr>
          <w:p w14:paraId="189E98E7" w14:textId="6CF640EA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  <w:tc>
          <w:tcPr>
            <w:tcW w:w="2407" w:type="dxa"/>
          </w:tcPr>
          <w:p w14:paraId="175C92FD" w14:textId="38F8486B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Омическая проводимость токосъёмников, электролита и контактов</w:t>
            </w:r>
          </w:p>
        </w:tc>
        <w:tc>
          <w:tcPr>
            <w:tcW w:w="2407" w:type="dxa"/>
          </w:tcPr>
          <w:p w14:paraId="557FA8CF" w14:textId="18A8F15C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1D7BF02F" w14:textId="330D312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Контроль контактных и электролитных потерь</w:t>
            </w:r>
          </w:p>
        </w:tc>
      </w:tr>
      <w:tr w:rsidR="00156EC4" w:rsidRPr="00156EC4" w14:paraId="60BA4B10" w14:textId="77777777" w:rsidTr="00156EC4">
        <w:tc>
          <w:tcPr>
            <w:tcW w:w="2406" w:type="dxa"/>
          </w:tcPr>
          <w:p w14:paraId="15B3CC64" w14:textId="737BECB8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2407" w:type="dxa"/>
          </w:tcPr>
          <w:p w14:paraId="2DB4C789" w14:textId="30015631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Перенос заряда через интерфейс электрод электролит</w:t>
            </w:r>
          </w:p>
        </w:tc>
        <w:tc>
          <w:tcPr>
            <w:tcW w:w="2407" w:type="dxa"/>
          </w:tcPr>
          <w:p w14:paraId="0B5796E2" w14:textId="0787E433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</w:p>
        </w:tc>
        <w:tc>
          <w:tcPr>
            <w:tcW w:w="2407" w:type="dxa"/>
          </w:tcPr>
          <w:p w14:paraId="3A4413D9" w14:textId="67D0DD8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чувствительная область для ранней деградации</w:t>
            </w:r>
          </w:p>
        </w:tc>
      </w:tr>
      <w:tr w:rsidR="00156EC4" w:rsidRPr="00156EC4" w14:paraId="18A39681" w14:textId="77777777" w:rsidTr="00156EC4">
        <w:tc>
          <w:tcPr>
            <w:tcW w:w="2406" w:type="dxa"/>
          </w:tcPr>
          <w:p w14:paraId="65DE9FD8" w14:textId="34839F7F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  <w:tc>
          <w:tcPr>
            <w:tcW w:w="2407" w:type="dxa"/>
          </w:tcPr>
          <w:p w14:paraId="28A7050D" w14:textId="2B357A15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Диффузионный перенос в твёрдой фазе и электролите</w:t>
            </w:r>
          </w:p>
        </w:tc>
        <w:tc>
          <w:tcPr>
            <w:tcW w:w="2407" w:type="dxa"/>
          </w:tcPr>
          <w:p w14:paraId="2A79868F" w14:textId="29F2A209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σ</w:t>
            </w:r>
          </w:p>
        </w:tc>
        <w:tc>
          <w:tcPr>
            <w:tcW w:w="2407" w:type="dxa"/>
          </w:tcPr>
          <w:p w14:paraId="132BF6B1" w14:textId="1D48FD29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Оценка ограничений массопереноса и глубинной деградации</w:t>
            </w:r>
          </w:p>
        </w:tc>
      </w:tr>
    </w:tbl>
    <w:p w14:paraId="7C613F6B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E7C5A1" w14:textId="74CBB667" w:rsidR="000C45A7" w:rsidRPr="00206F49" w:rsidRDefault="000C45A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5A7">
        <w:rPr>
          <w:rFonts w:ascii="Times New Roman" w:hAnsi="Times New Roman" w:cs="Times New Roman"/>
          <w:sz w:val="28"/>
          <w:szCs w:val="28"/>
        </w:rPr>
        <w:t xml:space="preserve">Следовательно, электрохимическая импедансная спектроскопия обладает двойной ценностью. С одной стороны, это физически интерпретируемый метод, позволяющий связать спектр с конкретными электрохимическими механизмами. С другой стороны, это инженерно перспективный диагностический инструмент, который при правильном выборе частот и корректной модели может быть адаптирован к задачам экспресс-оценки состояния и прогноза ресурса батареи. Современные обзоры подчёркивают, что именно развитие быстрого, </w:t>
      </w:r>
      <w:r w:rsidRPr="000C45A7">
        <w:rPr>
          <w:rFonts w:ascii="Times New Roman" w:hAnsi="Times New Roman" w:cs="Times New Roman"/>
          <w:sz w:val="28"/>
          <w:szCs w:val="28"/>
        </w:rPr>
        <w:lastRenderedPageBreak/>
        <w:t xml:space="preserve">динамического 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onboard-совместимого</w:t>
      </w:r>
      <w:r w:rsidRPr="000C45A7">
        <w:rPr>
          <w:rFonts w:ascii="Times New Roman" w:hAnsi="Times New Roman" w:cs="Times New Roman"/>
          <w:sz w:val="28"/>
          <w:szCs w:val="28"/>
        </w:rPr>
        <w:t xml:space="preserve"> EIS-подхода является одной из главных задач следующего этапа эволюции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battery diagnostics.</w:t>
      </w:r>
    </w:p>
    <w:p w14:paraId="2B968D07" w14:textId="511FE0A5" w:rsidR="000C45A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3D7">
        <w:rPr>
          <w:rFonts w:ascii="Times New Roman" w:hAnsi="Times New Roman" w:cs="Times New Roman"/>
          <w:sz w:val="28"/>
          <w:szCs w:val="28"/>
        </w:rPr>
        <w:t>Однако при всей высокой информативности EIS остаётся открытым вопрос о том, насколько существующие модели прогнозирования ресурса способны использовать импедансные признаки в реальных тяговых режимах. Поэтому следующим шагом необходимо рассмотреть современные подходы к прогнозированию остаточного ресурса аккумуляторных батарей и критически сопоставить их физическую обоснованность, инженерную реализуемость и устойчивость в условиях нестационарной эксплуатации.</w:t>
      </w:r>
    </w:p>
    <w:p w14:paraId="09A5EFB5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723663" w14:textId="73121ACE" w:rsidR="003843D7" w:rsidRPr="003843D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843D7">
        <w:rPr>
          <w:rFonts w:ascii="Times New Roman" w:hAnsi="Times New Roman" w:cs="Times New Roman"/>
          <w:b/>
          <w:bCs/>
          <w:sz w:val="28"/>
          <w:szCs w:val="28"/>
        </w:rPr>
        <w:t>1.5 Анализ существующих моделей прогнозирования остаточного ресурса аккумуляторных батарей</w:t>
      </w:r>
    </w:p>
    <w:p w14:paraId="1EA7D60E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FBB298" w14:textId="353666F7" w:rsidR="00206F49" w:rsidRDefault="00206F4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6F49">
        <w:rPr>
          <w:rFonts w:ascii="Times New Roman" w:hAnsi="Times New Roman" w:cs="Times New Roman"/>
          <w:sz w:val="28"/>
          <w:szCs w:val="28"/>
        </w:rPr>
        <w:t xml:space="preserve">Прогнозирование остаточного ресурса аккумуляторных батарей в последние годы сформировалось как самостоятельное направление исследований на стыке электрохимии, теории надёжности, машинного обучения и систем управления батареями. Современные обзорные работы показывают, что литература по оценке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06F49">
        <w:rPr>
          <w:rFonts w:ascii="Times New Roman" w:hAnsi="Times New Roman" w:cs="Times New Roman"/>
          <w:sz w:val="28"/>
          <w:szCs w:val="28"/>
        </w:rPr>
        <w:t xml:space="preserve"> быстро растёт, а фокус постепенно смещается от единичных эмпирических моделей к физически информированным, гибридным и онлайн-ориентированным подходам. В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библиометрическом</w:t>
      </w:r>
      <w:r w:rsidRPr="00206F49">
        <w:rPr>
          <w:rFonts w:ascii="Times New Roman" w:hAnsi="Times New Roman" w:cs="Times New Roman"/>
          <w:sz w:val="28"/>
          <w:szCs w:val="28"/>
        </w:rPr>
        <w:t xml:space="preserve"> обзоре 2024 года основные направления были сгруппированы вокруг трёх тематических кластеров: механизмы старения, методы оценки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и методы прогнозирования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06F49">
        <w:rPr>
          <w:rFonts w:ascii="Times New Roman" w:hAnsi="Times New Roman" w:cs="Times New Roman"/>
          <w:sz w:val="28"/>
          <w:szCs w:val="28"/>
        </w:rPr>
        <w:t xml:space="preserve">одновременно подчёркивается растущая роль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online-estimation, hybrid models и artificial neural networks</w:t>
      </w:r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6EF8075D" w14:textId="4C123344" w:rsidR="00206F49" w:rsidRDefault="00596B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BA8">
        <w:rPr>
          <w:rFonts w:ascii="Times New Roman" w:hAnsi="Times New Roman" w:cs="Times New Roman"/>
          <w:sz w:val="28"/>
          <w:szCs w:val="28"/>
        </w:rPr>
        <w:t xml:space="preserve">Несмотря на широкий спектр публикаций, существующие модели прогнозирования ресурса можно свести к нескольким базовым классам: эмпирические модели, физико-химические модели, фильтрационные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observer-based подходы, data-driven модели</w:t>
      </w:r>
      <w:r w:rsidRPr="00596BA8">
        <w:rPr>
          <w:rFonts w:ascii="Times New Roman" w:hAnsi="Times New Roman" w:cs="Times New Roman"/>
          <w:sz w:val="28"/>
          <w:szCs w:val="28"/>
        </w:rPr>
        <w:t>, гибридные модели и импедансно-</w:t>
      </w:r>
      <w:r w:rsidRPr="00596BA8">
        <w:rPr>
          <w:rFonts w:ascii="Times New Roman" w:hAnsi="Times New Roman" w:cs="Times New Roman"/>
          <w:sz w:val="28"/>
          <w:szCs w:val="28"/>
        </w:rPr>
        <w:lastRenderedPageBreak/>
        <w:t xml:space="preserve">ориентированные прогностические схемы. Каждый из этих классов отражает определённую философию описания деградации. Эмпирические модели аппроксимируют траекторию старения по наблюдаемым данным. Физические модели исходят из механизмов деградации и стремятся описать их через уравнения электрохимии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тепломассопереноса</w:t>
      </w:r>
      <w:r w:rsidRPr="00596BA8">
        <w:rPr>
          <w:rFonts w:ascii="Times New Roman" w:hAnsi="Times New Roman" w:cs="Times New Roman"/>
          <w:sz w:val="28"/>
          <w:szCs w:val="28"/>
        </w:rPr>
        <w:t>. Фильтрационные методы используют динамические уравнения состояния и процедуры последовательного обновления оценки. Машинное обучение ориентируется на извлечение нелинейных закономерностей из данных. Гибридные методы объединяют физические и статистические компоненты. Наконец, импедансные модели используют спектральные признаки как информативные маркеры ранней деградации и, в наиболее сильной постановке, соединяют их с прогностической схемой оценки ресурса.</w:t>
      </w:r>
    </w:p>
    <w:p w14:paraId="17D8B18C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55DFC7" w14:textId="0022A766" w:rsidR="00112792" w:rsidRP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2792">
        <w:rPr>
          <w:rFonts w:ascii="Times New Roman" w:hAnsi="Times New Roman" w:cs="Times New Roman"/>
          <w:b/>
          <w:bCs/>
          <w:sz w:val="28"/>
          <w:szCs w:val="28"/>
        </w:rPr>
        <w:t>1.5.1. Эмпирические модели деградации</w:t>
      </w:r>
    </w:p>
    <w:p w14:paraId="179A1A83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7881E8" w14:textId="75BC4D6E" w:rsidR="00112792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Эмпирические модели строятся на предположении, что деградационная траектория батареи может быть аппроксимирована сравнительно простой функцией числа циклов, времени или накопленного заряда. Наиболее распространёнными являются линейные, корневые, экспоненциальные и полиномиальные формы. В простейшем варианте снижение ёмкости записывается как</w:t>
      </w:r>
    </w:p>
    <w:p w14:paraId="6C278C40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7A30B0" w14:textId="1F7053B3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4189">
        <w:rPr>
          <w:rFonts w:ascii="Times New Roman" w:hAnsi="Times New Roman" w:cs="Times New Roman"/>
          <w:position w:val="-12"/>
          <w:sz w:val="28"/>
          <w:szCs w:val="28"/>
        </w:rPr>
        <w:object w:dxaOrig="1600" w:dyaOrig="360" w14:anchorId="4304055F">
          <v:shape id="_x0000_i1073" type="#_x0000_t75" style="width:80.05pt;height:18.25pt" o:ole="">
            <v:imagedata r:id="rId119" o:title=""/>
          </v:shape>
          <o:OLEObject Type="Embed" ProgID="Equation.DSMT4" ShapeID="_x0000_i1073" DrawAspect="Content" ObjectID="_1841992693" r:id="rId120"/>
        </w:object>
      </w:r>
    </w:p>
    <w:p w14:paraId="05B2B5BB" w14:textId="77777777" w:rsidR="00084189" w:rsidRP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6E3269" w14:textId="3664669B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DBB5AD5" w14:textId="349DEA80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C4694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C469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начальная ёмкость,</w:t>
      </w:r>
    </w:p>
    <w:p w14:paraId="323B6252" w14:textId="3841E8BC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08418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эмпирический коэффициент деградации.</w:t>
      </w:r>
    </w:p>
    <w:p w14:paraId="7D7C9405" w14:textId="2A3DB544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lastRenderedPageBreak/>
        <w:t>Такая модель выводится не из фундаментального закона, а как линейная аппроксимация наблюдаемого тренда. Её преимущество — простота, однако физическая содержательность минимальна.</w:t>
      </w:r>
    </w:p>
    <w:p w14:paraId="796A453F" w14:textId="7F658278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Более содержательная форма связана с диффузионно-контролируемыми деградационными процессами и записывается как</w:t>
      </w:r>
    </w:p>
    <w:p w14:paraId="7183F01A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D24CB7" w14:textId="2F02EDE4" w:rsidR="00084189" w:rsidRP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4189">
        <w:rPr>
          <w:rFonts w:ascii="Times New Roman" w:hAnsi="Times New Roman" w:cs="Times New Roman"/>
          <w:position w:val="-12"/>
          <w:sz w:val="28"/>
          <w:szCs w:val="28"/>
        </w:rPr>
        <w:object w:dxaOrig="1820" w:dyaOrig="400" w14:anchorId="06687CCF">
          <v:shape id="_x0000_i1074" type="#_x0000_t75" style="width:90.8pt;height:19.35pt" o:ole="">
            <v:imagedata r:id="rId121" o:title=""/>
          </v:shape>
          <o:OLEObject Type="Embed" ProgID="Equation.DSMT4" ShapeID="_x0000_i1074" DrawAspect="Content" ObjectID="_1841992694" r:id="rId122"/>
        </w:object>
      </w:r>
    </w:p>
    <w:p w14:paraId="52B4DF5D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DB71FF" w14:textId="3FD9C33F" w:rsidR="0008418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Эта зависимость обычно обосновывается через корневой закон роста межфазного сопротивления или толщины пассивирующего слоя, следующий из решения второго закона Фика в режиме полуограниченной диффузии. Тем не менее даже такая форма остаётся частной и не способна описывать весь жизненный цикл батареи, особенно переход к ускоренной стадии старения.</w:t>
      </w:r>
    </w:p>
    <w:p w14:paraId="65D696B1" w14:textId="601D2F39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В инженерной практике часто используются более гибкие зависимости вида</w:t>
      </w:r>
    </w:p>
    <w:p w14:paraId="4902C114" w14:textId="77777777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225C1" w14:textId="6E43B860" w:rsidR="00E90F79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90F79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180" w:dyaOrig="380" w14:anchorId="4E3A6FCF">
          <v:shape id="_x0000_i1075" type="#_x0000_t75" style="width:109.05pt;height:18.8pt" o:ole="">
            <v:imagedata r:id="rId123" o:title=""/>
          </v:shape>
          <o:OLEObject Type="Embed" ProgID="Equation.DSMT4" ShapeID="_x0000_i1075" DrawAspect="Content" ObjectID="_1841992695" r:id="rId124"/>
        </w:object>
      </w:r>
    </w:p>
    <w:p w14:paraId="7555C430" w14:textId="77777777" w:rsidR="00E90F79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68151A" w14:textId="273E558B" w:rsidR="00E90F79" w:rsidRDefault="00E90F79" w:rsidP="009511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 xml:space="preserve">либо </w:t>
      </w:r>
      <w:r w:rsidRPr="00E90F79">
        <w:rPr>
          <w:rFonts w:ascii="Times New Roman" w:hAnsi="Times New Roman" w:cs="Times New Roman"/>
          <w:sz w:val="28"/>
          <w:szCs w:val="28"/>
          <w:highlight w:val="yellow"/>
        </w:rPr>
        <w:t>piecewise-модели</w:t>
      </w:r>
      <w:r w:rsidRPr="00E90F79">
        <w:rPr>
          <w:rFonts w:ascii="Times New Roman" w:hAnsi="Times New Roman" w:cs="Times New Roman"/>
          <w:sz w:val="28"/>
          <w:szCs w:val="28"/>
        </w:rPr>
        <w:t xml:space="preserve"> с различными коэффициентами на ранней, средней и поздней стадиях эксплуатации. Однако все эти подходы имеют общую слабость: они корректны лишь в диапазоне условий, на которых были идентифицированы. При изменении температуры, SOC-окна, токовых профилей или химической системы коэффициенты модели приходится перенастраивать. Именно поэтому эмпирические модели удобно использовать как baseline, но недостаточно — как основу физически содержательного прогноза.</w:t>
      </w:r>
    </w:p>
    <w:p w14:paraId="7209F97C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53FF9D" w14:textId="21170D8F" w:rsidR="00E90F79" w:rsidRP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0F79">
        <w:rPr>
          <w:rFonts w:ascii="Times New Roman" w:hAnsi="Times New Roman" w:cs="Times New Roman"/>
          <w:b/>
          <w:bCs/>
          <w:sz w:val="28"/>
          <w:szCs w:val="28"/>
        </w:rPr>
        <w:lastRenderedPageBreak/>
        <w:t>1.5.2 Физико-химические модели</w:t>
      </w:r>
    </w:p>
    <w:p w14:paraId="5BFA6A9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CA5A5C" w14:textId="4E126855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Физико-химические модели основаны на явном описании механизмов старения аккумулятора. В зависимости от уровня детализации они могут включать уравнения переноса заряда, диффузии, теплового баланса, роста межфазного слоя, потери активного лития, деградации активного материала и контактных эффектов. Их главное достоинство состоит в физической интерпретируемости: параметры модели связаны с реальными процессами внутри батареи.</w:t>
      </w:r>
    </w:p>
    <w:p w14:paraId="0DD30B49" w14:textId="7FE4B484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Типичным примером является описание деградации через рост межфазного сопротивления и снижение обменного тока. Если</w:t>
      </w:r>
    </w:p>
    <w:p w14:paraId="1CAA9236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FB1C71" w14:textId="4508DC2C" w:rsidR="00E90F79" w:rsidRP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1116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578AE739">
          <v:shape id="_x0000_i1076" type="#_x0000_t75" style="width:48.35pt;height:33.85pt" o:ole="">
            <v:imagedata r:id="rId125" o:title=""/>
          </v:shape>
          <o:OLEObject Type="Embed" ProgID="Equation.DSMT4" ShapeID="_x0000_i1076" DrawAspect="Content" ObjectID="_1841992696" r:id="rId126"/>
        </w:object>
      </w:r>
    </w:p>
    <w:p w14:paraId="3F2E8AD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8840A0" w14:textId="098CC2AB" w:rsidR="0068274B" w:rsidRDefault="0068274B" w:rsidP="005B6EA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274B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8274B">
        <w:rPr>
          <w:rFonts w:ascii="Times New Roman" w:hAnsi="Times New Roman" w:cs="Times New Roman"/>
          <w:sz w:val="28"/>
          <w:szCs w:val="28"/>
        </w:rPr>
        <w:t xml:space="preserve"> вследствие уменьшения эффективной активной поверхности или ухудшения интерфейса автоматически приводит к росту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8274B">
        <w:rPr>
          <w:rFonts w:ascii="Times New Roman" w:hAnsi="Times New Roman" w:cs="Times New Roman"/>
          <w:sz w:val="28"/>
          <w:szCs w:val="28"/>
        </w:rPr>
        <w:t>. В более общем виде скорость деградации можно представить как</w:t>
      </w:r>
    </w:p>
    <w:p w14:paraId="0B8712DE" w14:textId="77777777" w:rsid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EE6027" w14:textId="6C28D2DC" w:rsidR="0068274B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4480" w:dyaOrig="680" w14:anchorId="22DC900F">
          <v:shape id="_x0000_i1077" type="#_x0000_t75" style="width:224.05pt;height:33.85pt" o:ole="">
            <v:imagedata r:id="rId127" o:title=""/>
          </v:shape>
          <o:OLEObject Type="Embed" ProgID="Equation.DSMT4" ShapeID="_x0000_i1077" DrawAspect="Content" ObjectID="_1841992697" r:id="rId128"/>
        </w:object>
      </w:r>
    </w:p>
    <w:p w14:paraId="1A2BDA86" w14:textId="77777777" w:rsid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B1D9B9" w14:textId="262D3474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5B6EA7">
        <w:rPr>
          <w:rFonts w:ascii="Times New Roman" w:hAnsi="Times New Roman" w:cs="Times New Roman"/>
          <w:sz w:val="28"/>
          <w:szCs w:val="28"/>
        </w:rPr>
        <w:t>первое слагаемое описывает термоактивируемый вклад по Аррениусу, а второе — режимно-индуцированную деградацию.</w:t>
      </w:r>
    </w:p>
    <w:p w14:paraId="35AE0FE4" w14:textId="6843D0B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 xml:space="preserve">Преимущество физических моделей в том, что они потенциально обладают лучшей переносимостью между эксплуатационными режимами и могут использоваться для сценарного анализа. Однако их слабость заключается в </w:t>
      </w:r>
      <w:r w:rsidRPr="005B6EA7">
        <w:rPr>
          <w:rFonts w:ascii="Times New Roman" w:hAnsi="Times New Roman" w:cs="Times New Roman"/>
          <w:sz w:val="28"/>
          <w:szCs w:val="28"/>
        </w:rPr>
        <w:lastRenderedPageBreak/>
        <w:t>сложности параметризации. Для реального батарейного модуля тягового применения требуется идентификация множества коэффициентов, далеко не все из которых доступны 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sz w:val="28"/>
          <w:szCs w:val="28"/>
        </w:rPr>
        <w:t>стандартных эксплуатационных измерений. Кроме того, детальные модели электрохимического уровня оказываются вычислительно тяжёлыми для прямого использования в BMS.</w:t>
      </w:r>
    </w:p>
    <w:p w14:paraId="3C6AD2E1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57484" w14:textId="1DFCC0E8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1.5.3 Фильтрационные и </w:t>
      </w:r>
      <w:r w:rsidRPr="005B6EA7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observer-based</w:t>
      </w: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 методы</w:t>
      </w:r>
    </w:p>
    <w:p w14:paraId="1F7E6BF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16B5B5" w14:textId="5A52837A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 xml:space="preserve">Отдельную группу составляют методы, использующие фильтр Калмана, частицные фильтры, </w:t>
      </w:r>
      <w:r w:rsidRPr="005B6EA7">
        <w:rPr>
          <w:rFonts w:ascii="Times New Roman" w:hAnsi="Times New Roman" w:cs="Times New Roman"/>
          <w:sz w:val="28"/>
          <w:szCs w:val="28"/>
          <w:highlight w:val="yellow"/>
        </w:rPr>
        <w:t>dual observers, sliding-mode</w:t>
      </w:r>
      <w:r w:rsidRPr="005B6EA7">
        <w:rPr>
          <w:rFonts w:ascii="Times New Roman" w:hAnsi="Times New Roman" w:cs="Times New Roman"/>
          <w:sz w:val="28"/>
          <w:szCs w:val="28"/>
        </w:rPr>
        <w:t xml:space="preserve"> и другие схемы последовательного оценивания состояния. Общая идея этих методов заключается в том, что батарея представляется динамической системой состояния:</w:t>
      </w:r>
    </w:p>
    <w:p w14:paraId="5DEBC15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4EC70B" w14:textId="5CAC5158" w:rsidR="005B6EA7" w:rsidRPr="00EC4694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position w:val="-14"/>
          <w:sz w:val="28"/>
          <w:szCs w:val="28"/>
        </w:rPr>
        <w:object w:dxaOrig="2020" w:dyaOrig="400" w14:anchorId="10DC2640">
          <v:shape id="_x0000_i1078" type="#_x0000_t75" style="width:101.55pt;height:19.35pt" o:ole="">
            <v:imagedata r:id="rId129" o:title=""/>
          </v:shape>
          <o:OLEObject Type="Embed" ProgID="Equation.DSMT4" ShapeID="_x0000_i1078" DrawAspect="Content" ObjectID="_1841992698" r:id="rId130"/>
        </w:objec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5B6EA7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500" w:dyaOrig="400" w14:anchorId="1EE242FB">
          <v:shape id="_x0000_i1079" type="#_x0000_t75" style="width:74.7pt;height:19.35pt" o:ole="">
            <v:imagedata r:id="rId131" o:title=""/>
          </v:shape>
          <o:OLEObject Type="Embed" ProgID="Equation.DSMT4" ShapeID="_x0000_i1079" DrawAspect="Content" ObjectID="_1841992699" r:id="rId132"/>
        </w:object>
      </w:r>
      <w:r w:rsidRPr="00EC4694">
        <w:rPr>
          <w:rFonts w:ascii="Times New Roman" w:hAnsi="Times New Roman" w:cs="Times New Roman"/>
          <w:sz w:val="28"/>
          <w:szCs w:val="28"/>
        </w:rPr>
        <w:t>,</w:t>
      </w:r>
    </w:p>
    <w:p w14:paraId="23A12F85" w14:textId="77777777" w:rsidR="005B6EA7" w:rsidRPr="00EC4694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29112D" w14:textId="6C451A80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241B04E0" w14:textId="452837BB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вектор скрытых состояний,</w:t>
      </w:r>
    </w:p>
    <w:p w14:paraId="45D65C51" w14:textId="49C69DB1" w:rsidR="005B6EA7" w:rsidRPr="005B6EA7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входные воздействия</w:t>
      </w:r>
      <w:r w:rsidRPr="005B6EA7">
        <w:rPr>
          <w:rFonts w:ascii="Times New Roman" w:hAnsi="Times New Roman" w:cs="Times New Roman"/>
          <w:sz w:val="28"/>
          <w:szCs w:val="28"/>
        </w:rPr>
        <w:t>,</w:t>
      </w:r>
    </w:p>
    <w:p w14:paraId="3B34F1B9" w14:textId="0B51DF06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y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измерения</w:t>
      </w:r>
      <w:r w:rsidRPr="00DF4BFB">
        <w:rPr>
          <w:rFonts w:ascii="Times New Roman" w:hAnsi="Times New Roman" w:cs="Times New Roman"/>
          <w:sz w:val="28"/>
          <w:szCs w:val="28"/>
        </w:rPr>
        <w:t>,</w:t>
      </w:r>
    </w:p>
    <w:p w14:paraId="4FCE67AE" w14:textId="575720A6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процессы и шумы наблюдения.</w:t>
      </w:r>
    </w:p>
    <w:p w14:paraId="64B97E73" w14:textId="690A6A2A" w:rsidR="005B6EA7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Если в вектор состояния включить не только </w:t>
      </w:r>
      <w:r w:rsidRPr="00681A9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81A90">
        <w:rPr>
          <w:rFonts w:ascii="Times New Roman" w:hAnsi="Times New Roman" w:cs="Times New Roman"/>
          <w:sz w:val="28"/>
          <w:szCs w:val="28"/>
        </w:rPr>
        <w:t>, но и параметры деградации или коэффициенты эквивалентной схемы, то такие методы позволяют в онлайн-режиме обновлять оценку состояния батареи.</w:t>
      </w:r>
    </w:p>
    <w:p w14:paraId="06820D81" w14:textId="491404EC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Преимущество данного класса моделей состоит в хорошей совместимости с BMS и высокой алгоритмической отработанности. Недостаток заключается в </w:t>
      </w:r>
      <w:r w:rsidRPr="00681A90">
        <w:rPr>
          <w:rFonts w:ascii="Times New Roman" w:hAnsi="Times New Roman" w:cs="Times New Roman"/>
          <w:sz w:val="28"/>
          <w:szCs w:val="28"/>
        </w:rPr>
        <w:lastRenderedPageBreak/>
        <w:t xml:space="preserve">сильной зависимости качества оценки от корректности базовой модели состояния. Если </w:t>
      </w:r>
      <w:r w:rsidRPr="00681A90">
        <w:rPr>
          <w:rFonts w:ascii="Times New Roman" w:hAnsi="Times New Roman" w:cs="Times New Roman"/>
          <w:sz w:val="28"/>
          <w:szCs w:val="28"/>
          <w:highlight w:val="yellow"/>
        </w:rPr>
        <w:t>underlying</w:t>
      </w:r>
      <w:r w:rsidRPr="00681A90">
        <w:rPr>
          <w:rFonts w:ascii="Times New Roman" w:hAnsi="Times New Roman" w:cs="Times New Roman"/>
          <w:sz w:val="28"/>
          <w:szCs w:val="28"/>
        </w:rPr>
        <w:t xml:space="preserve"> модель недостаточно адекватна, фильтрационная схема не устраняет эту ошибку, а лишь рекурсивно распространяет её.</w:t>
      </w:r>
    </w:p>
    <w:p w14:paraId="0FC3A808" w14:textId="77777777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46202" w14:textId="1A93850D" w:rsidR="00681A90" w:rsidRP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57E9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1.5.4 Data-driven </w:t>
      </w:r>
      <w:r w:rsidRPr="00357E99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357E9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deep learning </w:t>
      </w:r>
      <w:r w:rsidRPr="00357E99">
        <w:rPr>
          <w:rFonts w:ascii="Times New Roman" w:hAnsi="Times New Roman" w:cs="Times New Roman"/>
          <w:b/>
          <w:bCs/>
          <w:sz w:val="28"/>
          <w:szCs w:val="28"/>
        </w:rPr>
        <w:t>модели</w:t>
      </w:r>
    </w:p>
    <w:p w14:paraId="39CB72AF" w14:textId="77777777" w:rsidR="00681A90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C67AE2" w14:textId="4E778CFA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7E99">
        <w:rPr>
          <w:rFonts w:ascii="Times New Roman" w:hAnsi="Times New Roman" w:cs="Times New Roman"/>
          <w:sz w:val="28"/>
          <w:szCs w:val="28"/>
        </w:rPr>
        <w:t xml:space="preserve">Модели машинного обучения и глубокого обучения в последние годы получили особенно широкое распространение. Обзоры 2024–2025 годов указывают, что именно </w:t>
      </w:r>
      <w:r w:rsidRPr="00357E99">
        <w:rPr>
          <w:rFonts w:ascii="Times New Roman" w:hAnsi="Times New Roman" w:cs="Times New Roman"/>
          <w:sz w:val="28"/>
          <w:szCs w:val="28"/>
          <w:highlight w:val="yellow"/>
        </w:rPr>
        <w:t>artificial intelligence strategies, online estimation и hybrid approaches</w:t>
      </w:r>
      <w:r w:rsidRPr="00357E99">
        <w:rPr>
          <w:rFonts w:ascii="Times New Roman" w:hAnsi="Times New Roman" w:cs="Times New Roman"/>
          <w:sz w:val="28"/>
          <w:szCs w:val="28"/>
        </w:rPr>
        <w:t xml:space="preserve"> формируют один из основных фронтов 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57E99">
        <w:rPr>
          <w:rFonts w:ascii="Times New Roman" w:hAnsi="Times New Roman" w:cs="Times New Roman"/>
          <w:i/>
          <w:iCs/>
          <w:sz w:val="28"/>
          <w:szCs w:val="28"/>
        </w:rPr>
        <w:t>/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-оценки. </w:t>
      </w:r>
      <w:r w:rsidRPr="00357E99">
        <w:rPr>
          <w:rFonts w:ascii="Times New Roman" w:hAnsi="Times New Roman" w:cs="Times New Roman"/>
          <w:sz w:val="28"/>
          <w:szCs w:val="28"/>
        </w:rPr>
        <w:t>В типичном случае строится отображение</w:t>
      </w:r>
    </w:p>
    <w:p w14:paraId="3A08ADE4" w14:textId="77777777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87FA6" w14:textId="273DCEAC" w:rsidR="00357E99" w:rsidRPr="003451A7" w:rsidRDefault="003451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451A7">
        <w:rPr>
          <w:rFonts w:ascii="Times New Roman" w:hAnsi="Times New Roman" w:cs="Times New Roman"/>
          <w:position w:val="-14"/>
          <w:sz w:val="28"/>
          <w:szCs w:val="28"/>
        </w:rPr>
        <w:object w:dxaOrig="3300" w:dyaOrig="400" w14:anchorId="6CA6F6A7">
          <v:shape id="_x0000_i1080" type="#_x0000_t75" style="width:165.5pt;height:19.35pt" o:ole="">
            <v:imagedata r:id="rId133" o:title=""/>
          </v:shape>
          <o:OLEObject Type="Embed" ProgID="Equation.DSMT4" ShapeID="_x0000_i1080" DrawAspect="Content" ObjectID="_1841992700" r:id="rId134"/>
        </w:object>
      </w:r>
    </w:p>
    <w:p w14:paraId="496CBE19" w14:textId="77777777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4864CB" w14:textId="36222E01" w:rsidR="003451A7" w:rsidRPr="00EC4694" w:rsidRDefault="003451A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3451A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451A7">
        <w:rPr>
          <w:rFonts w:ascii="Times New Roman" w:hAnsi="Times New Roman" w:cs="Times New Roman"/>
          <w:sz w:val="28"/>
          <w:szCs w:val="28"/>
        </w:rPr>
        <w:t>) – вектор признаков, извлечённых из напряжения, тока, температуры, зарядных кривых или спектральных данных.</w:t>
      </w:r>
    </w:p>
    <w:p w14:paraId="6AB69F17" w14:textId="404F83E9" w:rsidR="003451A7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К преимуществам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4C5D10">
        <w:rPr>
          <w:rFonts w:ascii="Times New Roman" w:hAnsi="Times New Roman" w:cs="Times New Roman"/>
          <w:sz w:val="28"/>
          <w:szCs w:val="28"/>
        </w:rPr>
        <w:t xml:space="preserve"> подходов относится высокая гибкость и способность описывать сложные нелинейные зависимости. Однако эти модели чрезвычайно чувствительны к объёму и качеству обучающей выборки, к смещению распределения между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train и deployment, а также к representativeness</w:t>
      </w:r>
      <w:r w:rsidRPr="004C5D10">
        <w:rPr>
          <w:rFonts w:ascii="Times New Roman" w:hAnsi="Times New Roman" w:cs="Times New Roman"/>
          <w:sz w:val="28"/>
          <w:szCs w:val="28"/>
        </w:rPr>
        <w:t xml:space="preserve"> используемых признаков. При этом интерпретируемость их решений часто остаётся ограниченной.</w:t>
      </w:r>
    </w:p>
    <w:p w14:paraId="1A4AA4C7" w14:textId="55BD0AB4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Особый интерес представляют современные EIS-ориентированные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4C5D10">
        <w:rPr>
          <w:rFonts w:ascii="Times New Roman" w:hAnsi="Times New Roman" w:cs="Times New Roman"/>
          <w:sz w:val="28"/>
          <w:szCs w:val="28"/>
        </w:rPr>
        <w:t xml:space="preserve"> модели. Так, в работе 2024 года предложен метод раннего прогноза ресурса, основанный на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geometric health factors</w:t>
      </w:r>
      <w:r w:rsidRPr="004C5D10">
        <w:rPr>
          <w:rFonts w:ascii="Times New Roman" w:hAnsi="Times New Roman" w:cs="Times New Roman"/>
          <w:sz w:val="28"/>
          <w:szCs w:val="28"/>
        </w:rPr>
        <w:t xml:space="preserve">, извлечённых из средне- и низкочастотной части спектра Найквиста. Авторы показали, что такие признаки могут использоваться в гибридной линейно-регрессионной и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ensemble-learning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sz w:val="28"/>
          <w:szCs w:val="28"/>
        </w:rPr>
        <w:lastRenderedPageBreak/>
        <w:t xml:space="preserve">схеме для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early-stage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Cs/>
          <w:sz w:val="28"/>
          <w:szCs w:val="28"/>
          <w:highlight w:val="yellow"/>
        </w:rPr>
        <w:t>prediction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и обладают хорошей обобщающей способностью в различных режимах. Этот результат особенно важен для настоящей диссертации, поскольку он подтверждает фундаментальную реализуемость идеи «импедансные признаки → прогноз ресурса», но при этом оставляет открытым вопрос о физической унификации таких признаков для разных химических систем и режимов эксплуатации.</w:t>
      </w:r>
    </w:p>
    <w:p w14:paraId="3A3DE3A4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4BDE47E4" w14:textId="45D17DF2" w:rsidR="004C5D10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B13293">
        <w:rPr>
          <w:rFonts w:ascii="Times New Roman" w:hAnsi="Times New Roman" w:cs="Times New Roman"/>
          <w:b/>
          <w:bCs/>
          <w:iCs/>
          <w:sz w:val="28"/>
          <w:szCs w:val="28"/>
        </w:rPr>
        <w:t>1.5.5 Гибридные модели</w:t>
      </w:r>
    </w:p>
    <w:p w14:paraId="1B08A1B1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53CFB7" w14:textId="0598BBA3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B13293">
        <w:rPr>
          <w:rFonts w:ascii="Times New Roman" w:hAnsi="Times New Roman" w:cs="Times New Roman"/>
          <w:sz w:val="28"/>
          <w:szCs w:val="28"/>
        </w:rPr>
        <w:t xml:space="preserve"> 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53D51F8C" w14:textId="2911FED5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эксплуатационным данным, а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прогнозатор</w:t>
      </w:r>
      <w:r w:rsidRPr="00B13293">
        <w:rPr>
          <w:rFonts w:ascii="Times New Roman" w:hAnsi="Times New Roman" w:cs="Times New Roman"/>
          <w:sz w:val="28"/>
          <w:szCs w:val="28"/>
        </w:rPr>
        <w:t>, в котором входной вектор уже связан с межфазной кинетикой, диффузией и омическими потерями.</w:t>
      </w:r>
    </w:p>
    <w:p w14:paraId="5090CF4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115598" w14:textId="553AF01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13293">
        <w:rPr>
          <w:rFonts w:ascii="Times New Roman" w:hAnsi="Times New Roman" w:cs="Times New Roman"/>
          <w:b/>
          <w:bCs/>
          <w:sz w:val="28"/>
          <w:szCs w:val="28"/>
        </w:rPr>
        <w:t>1.5.6 Импедансные модели прогноза ресурса</w:t>
      </w:r>
    </w:p>
    <w:p w14:paraId="4904397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70E81" w14:textId="6B336473" w:rsidR="00B13293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05C0">
        <w:rPr>
          <w:rFonts w:ascii="Times New Roman" w:hAnsi="Times New Roman" w:cs="Times New Roman"/>
          <w:sz w:val="28"/>
          <w:szCs w:val="28"/>
        </w:rPr>
        <w:lastRenderedPageBreak/>
        <w:t xml:space="preserve">Гибридные модели формируются как ответ на ограничения как чисто физических, так и чисто </w:t>
      </w:r>
      <w:r w:rsidRPr="00A805C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A805C0">
        <w:rPr>
          <w:rFonts w:ascii="Times New Roman" w:hAnsi="Times New Roman" w:cs="Times New Roman"/>
          <w:sz w:val="28"/>
          <w:szCs w:val="28"/>
        </w:rPr>
        <w:t xml:space="preserve"> 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6FDD3CC0" w14:textId="306356B4" w:rsidR="00A805C0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  <w:highlight w:val="yellow"/>
        </w:rPr>
        <w:t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эксплуатационным данным, а прогнозатор, в котором входной вектор уже связан с межфазной кинетикой, диффузией и омическими потерями.</w:t>
      </w:r>
    </w:p>
    <w:p w14:paraId="7B96AA7E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3FFEEB" w14:textId="634BE84E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04FB">
        <w:rPr>
          <w:rFonts w:ascii="Times New Roman" w:hAnsi="Times New Roman" w:cs="Times New Roman"/>
          <w:b/>
          <w:bCs/>
          <w:sz w:val="28"/>
          <w:szCs w:val="28"/>
        </w:rPr>
        <w:t>1.5.6 Импедансные модели прогноза ресурса</w:t>
      </w:r>
    </w:p>
    <w:p w14:paraId="625C9E35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430181" w14:textId="5EED6C41" w:rsidR="005004FB" w:rsidRPr="005004FB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</w:rPr>
        <w:t xml:space="preserve">Импедансно-ориентированные модели представляют наибольший интерес для рассматриваемой диссертационной задачи. Обзор 2024 года по EIS как диагностическому и прогностическому инструменту для EV-батарей подчёркивает, что EIS даёт более глубокую информацию, чем простые измерения напряжения или тока, поскольку позволяет в реальном времени оценивать процессы, происходящие внутри батареи на разных временных масштабах. В обзоре также отдельно отмечается, что EIS способна выявлять деградацию на ранних стадиях без повреждения батареи и может использоваться как </w:t>
      </w:r>
      <w:r w:rsidRPr="005004FB">
        <w:rPr>
          <w:rFonts w:ascii="Times New Roman" w:hAnsi="Times New Roman" w:cs="Times New Roman"/>
          <w:sz w:val="28"/>
          <w:szCs w:val="28"/>
          <w:highlight w:val="yellow"/>
        </w:rPr>
        <w:t>ex situ, так и in situ</w:t>
      </w:r>
      <w:r w:rsidRPr="005004FB">
        <w:rPr>
          <w:rFonts w:ascii="Times New Roman" w:hAnsi="Times New Roman" w:cs="Times New Roman"/>
          <w:sz w:val="28"/>
          <w:szCs w:val="28"/>
        </w:rPr>
        <w:t>.</w:t>
      </w:r>
    </w:p>
    <w:p w14:paraId="454A46F5" w14:textId="0A271E8A" w:rsidR="005004FB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>В простейшем импедансно-прогностическом приближении остаточный ресурс может быть записан через сопротивление переноса заряда:</w:t>
      </w:r>
    </w:p>
    <w:p w14:paraId="3F8EDD3F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9B3A63" w14:textId="183332B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060" w:dyaOrig="700" w14:anchorId="2DE86081">
          <v:shape id="_x0000_i1081" type="#_x0000_t75" style="width:103.15pt;height:34.95pt" o:ole="">
            <v:imagedata r:id="rId135" o:title=""/>
          </v:shape>
          <o:OLEObject Type="Embed" ProgID="Equation.DSMT4" ShapeID="_x0000_i1081" DrawAspect="Content" ObjectID="_1841992701" r:id="rId136"/>
        </w:objec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2F26B8B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9E6B6B" w14:textId="309B2630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Эта формула следует из локально-линейной деградационной модели для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32DD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Если рост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нелинеен, используется интегральная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форма</w:t>
      </w:r>
    </w:p>
    <w:p w14:paraId="43EDACDC" w14:textId="77777777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EC8391" w14:textId="69C47122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2BBBA23E">
          <v:shape id="_x0000_i1082" type="#_x0000_t75" style="width:106.95pt;height:33.85pt" o:ole="">
            <v:imagedata r:id="rId137" o:title=""/>
          </v:shape>
          <o:OLEObject Type="Embed" ProgID="Equation.DSMT4" ShapeID="_x0000_i1082" DrawAspect="Content" ObjectID="_1841992702" r:id="rId138"/>
        </w:objec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6A63630B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F4A104" w14:textId="72CD6C91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Достоинство такого подхода состоит в том, что он опирается на параметр, имеющий ясную физическую интерпретацию. Недостаток — в необходимости устойчивой и быстрой идентификации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sz w:val="28"/>
          <w:szCs w:val="28"/>
        </w:rPr>
        <w:t xml:space="preserve">, а также в корректном учёте влияния температуры,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932DD5">
        <w:rPr>
          <w:rFonts w:ascii="Times New Roman" w:hAnsi="Times New Roman" w:cs="Times New Roman"/>
          <w:sz w:val="28"/>
          <w:szCs w:val="28"/>
        </w:rPr>
        <w:t xml:space="preserve"> и химической системы на саму траекторию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7AF5AF85" w14:textId="5FBC5B9A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>Именно здесь и проходит граница между существующими работами и задачей настоящей диссертации. Современные публикации подтверждают потенциал EIS для раннего прогноза ресурса, но в большинстве случаев либо ограничиваются одной химической системой, либо строятся на стационарных лабораторных спектрах, либо используют спектральные признаки без полного включения их в инженерную модель BMS. Следовательно, проблема не в отсутствии доказательств полезности EIS, а в отсутствии универсальной и математически строгой диагностико-прогностической схемы для нестационарных тяговых режимов.</w:t>
      </w:r>
    </w:p>
    <w:p w14:paraId="709D017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BB079" w14:textId="2C2E0077" w:rsidR="00932DD5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21FE">
        <w:rPr>
          <w:rFonts w:ascii="Times New Roman" w:hAnsi="Times New Roman" w:cs="Times New Roman"/>
          <w:sz w:val="28"/>
          <w:szCs w:val="28"/>
        </w:rPr>
        <w:t>Таблица 1.6 – Сравнительная характеристика основных классов моделей прогнозирования остаточного ресурса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87"/>
        <w:gridCol w:w="2289"/>
        <w:gridCol w:w="2586"/>
        <w:gridCol w:w="2565"/>
      </w:tblGrid>
      <w:tr w:rsidR="00BD58F0" w14:paraId="4ADE79A3" w14:textId="77777777" w:rsidTr="00BD58F0">
        <w:tc>
          <w:tcPr>
            <w:tcW w:w="2187" w:type="dxa"/>
          </w:tcPr>
          <w:p w14:paraId="3BB8ABC1" w14:textId="7AB2FF9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Класс моделей</w:t>
            </w:r>
          </w:p>
        </w:tc>
        <w:tc>
          <w:tcPr>
            <w:tcW w:w="2289" w:type="dxa"/>
          </w:tcPr>
          <w:p w14:paraId="36A1CF39" w14:textId="23F51D9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Основная идея</w:t>
            </w:r>
          </w:p>
        </w:tc>
        <w:tc>
          <w:tcPr>
            <w:tcW w:w="2586" w:type="dxa"/>
          </w:tcPr>
          <w:p w14:paraId="78979BD0" w14:textId="3A22B9D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Сильные стороны</w:t>
            </w:r>
          </w:p>
        </w:tc>
        <w:tc>
          <w:tcPr>
            <w:tcW w:w="2565" w:type="dxa"/>
          </w:tcPr>
          <w:p w14:paraId="6B418028" w14:textId="027FD55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Основные ограничения</w:t>
            </w:r>
          </w:p>
        </w:tc>
      </w:tr>
      <w:tr w:rsidR="00BD58F0" w14:paraId="3DA86AC8" w14:textId="77777777" w:rsidTr="00BD58F0">
        <w:tc>
          <w:tcPr>
            <w:tcW w:w="2187" w:type="dxa"/>
          </w:tcPr>
          <w:p w14:paraId="53ED4CD6" w14:textId="34B633C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Эмпирические</w:t>
            </w:r>
          </w:p>
        </w:tc>
        <w:tc>
          <w:tcPr>
            <w:tcW w:w="2289" w:type="dxa"/>
          </w:tcPr>
          <w:p w14:paraId="51A999CA" w14:textId="5B16B32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Аппроксимация траектории деградации</w:t>
            </w:r>
          </w:p>
        </w:tc>
        <w:tc>
          <w:tcPr>
            <w:tcW w:w="2586" w:type="dxa"/>
          </w:tcPr>
          <w:p w14:paraId="727DB15F" w14:textId="2A2EC6D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Простота, малая вычислительная нагрузка</w:t>
            </w:r>
          </w:p>
        </w:tc>
        <w:tc>
          <w:tcPr>
            <w:tcW w:w="2565" w:type="dxa"/>
          </w:tcPr>
          <w:p w14:paraId="5B0A854B" w14:textId="0F7A23D4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Слабая переносимость между режимами</w:t>
            </w:r>
          </w:p>
        </w:tc>
      </w:tr>
      <w:tr w:rsidR="00BD58F0" w14:paraId="23C31E31" w14:textId="77777777" w:rsidTr="00BD58F0">
        <w:tc>
          <w:tcPr>
            <w:tcW w:w="2187" w:type="dxa"/>
          </w:tcPr>
          <w:p w14:paraId="01156103" w14:textId="062E6EF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Физико химические</w:t>
            </w:r>
          </w:p>
        </w:tc>
        <w:tc>
          <w:tcPr>
            <w:tcW w:w="2289" w:type="dxa"/>
          </w:tcPr>
          <w:p w14:paraId="2C376836" w14:textId="53A3D4F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Явное описание механизмов старения</w:t>
            </w:r>
          </w:p>
        </w:tc>
        <w:tc>
          <w:tcPr>
            <w:tcW w:w="2586" w:type="dxa"/>
          </w:tcPr>
          <w:p w14:paraId="64A5BB54" w14:textId="6BD8028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интерпретируемость</w:t>
            </w:r>
          </w:p>
        </w:tc>
        <w:tc>
          <w:tcPr>
            <w:tcW w:w="2565" w:type="dxa"/>
          </w:tcPr>
          <w:p w14:paraId="45107772" w14:textId="2E4FAAD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Сложная параметризация, вычислительная тяжесть</w:t>
            </w:r>
          </w:p>
        </w:tc>
      </w:tr>
      <w:tr w:rsidR="00BD58F0" w:rsidRPr="00BD58F0" w14:paraId="7CF29B1C" w14:textId="77777777" w:rsidTr="00BD58F0">
        <w:tc>
          <w:tcPr>
            <w:tcW w:w="2187" w:type="dxa"/>
          </w:tcPr>
          <w:p w14:paraId="0F6A061C" w14:textId="45EF9DC5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Фильтрационные / observer</w:t>
            </w:r>
          </w:p>
        </w:tc>
        <w:tc>
          <w:tcPr>
            <w:tcW w:w="2289" w:type="dxa"/>
          </w:tcPr>
          <w:p w14:paraId="71791E82" w14:textId="42CBAD3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Последовательная online оценка скрытых состояний</w:t>
            </w:r>
          </w:p>
        </w:tc>
        <w:tc>
          <w:tcPr>
            <w:tcW w:w="2586" w:type="dxa"/>
          </w:tcPr>
          <w:p w14:paraId="4E946639" w14:textId="0117DC8A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Хорошая совместимость с BMS</w:t>
            </w:r>
          </w:p>
        </w:tc>
        <w:tc>
          <w:tcPr>
            <w:tcW w:w="2565" w:type="dxa"/>
          </w:tcPr>
          <w:p w14:paraId="2E22826F" w14:textId="15948D6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Сильная зависимость от базовой модели</w:t>
            </w:r>
          </w:p>
        </w:tc>
      </w:tr>
      <w:tr w:rsidR="00BD58F0" w:rsidRPr="00BD58F0" w14:paraId="30EBE12A" w14:textId="77777777" w:rsidTr="00BD58F0">
        <w:tc>
          <w:tcPr>
            <w:tcW w:w="2187" w:type="dxa"/>
          </w:tcPr>
          <w:p w14:paraId="0235899F" w14:textId="060EDBA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ML / DL</w:t>
            </w:r>
          </w:p>
        </w:tc>
        <w:tc>
          <w:tcPr>
            <w:tcW w:w="2289" w:type="dxa"/>
          </w:tcPr>
          <w:p w14:paraId="5AED4365" w14:textId="10BCC9B7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Обучение нелинейных зависимостей по данным</w:t>
            </w:r>
          </w:p>
        </w:tc>
        <w:tc>
          <w:tcPr>
            <w:tcW w:w="2586" w:type="dxa"/>
          </w:tcPr>
          <w:p w14:paraId="5B3F6118" w14:textId="42110D4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аппроксимационная гибкость</w:t>
            </w:r>
          </w:p>
        </w:tc>
        <w:tc>
          <w:tcPr>
            <w:tcW w:w="2565" w:type="dxa"/>
          </w:tcPr>
          <w:p w14:paraId="297CB9AD" w14:textId="33AD6E8D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Высокие требования к данным, ограниченная интерпретируемость</w:t>
            </w:r>
          </w:p>
        </w:tc>
      </w:tr>
      <w:tr w:rsidR="00BD58F0" w:rsidRPr="00BD58F0" w14:paraId="18E0B211" w14:textId="77777777" w:rsidTr="00BD58F0">
        <w:tc>
          <w:tcPr>
            <w:tcW w:w="2187" w:type="dxa"/>
          </w:tcPr>
          <w:p w14:paraId="6429CE64" w14:textId="4DA319C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Гибридные</w:t>
            </w:r>
          </w:p>
        </w:tc>
        <w:tc>
          <w:tcPr>
            <w:tcW w:w="2289" w:type="dxa"/>
          </w:tcPr>
          <w:p w14:paraId="32DFACC5" w14:textId="19DE3A58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Сочетание физики и data driven блока</w:t>
            </w:r>
          </w:p>
        </w:tc>
        <w:tc>
          <w:tcPr>
            <w:tcW w:w="2586" w:type="dxa"/>
          </w:tcPr>
          <w:p w14:paraId="49F3BE42" w14:textId="0933E6A9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Баланс точности и интерпретируемости</w:t>
            </w:r>
          </w:p>
        </w:tc>
        <w:tc>
          <w:tcPr>
            <w:tcW w:w="2565" w:type="dxa"/>
          </w:tcPr>
          <w:p w14:paraId="26D6C8C3" w14:textId="79B9913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Сложность настройки и верификации</w:t>
            </w:r>
          </w:p>
        </w:tc>
      </w:tr>
      <w:tr w:rsidR="00BD58F0" w:rsidRPr="00BD58F0" w14:paraId="1790B33F" w14:textId="77777777" w:rsidTr="00BD58F0">
        <w:tc>
          <w:tcPr>
            <w:tcW w:w="2187" w:type="dxa"/>
          </w:tcPr>
          <w:p w14:paraId="15A045B8" w14:textId="3CDAF81F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Импедансные</w:t>
            </w:r>
          </w:p>
        </w:tc>
        <w:tc>
          <w:tcPr>
            <w:tcW w:w="2289" w:type="dxa"/>
          </w:tcPr>
          <w:p w14:paraId="409F5872" w14:textId="2D58AFC5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Использование EIS признаков как маркеров старения</w:t>
            </w:r>
          </w:p>
        </w:tc>
        <w:tc>
          <w:tcPr>
            <w:tcW w:w="2586" w:type="dxa"/>
          </w:tcPr>
          <w:p w14:paraId="3C10D486" w14:textId="401BEE50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Ранняя чувствительность к деградации, физическая содержательность</w:t>
            </w:r>
          </w:p>
        </w:tc>
        <w:tc>
          <w:tcPr>
            <w:tcW w:w="2565" w:type="dxa"/>
          </w:tcPr>
          <w:p w14:paraId="6CB5DA9D" w14:textId="4881974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Трудности быстрого измерения и online интерпретации</w:t>
            </w:r>
          </w:p>
        </w:tc>
      </w:tr>
    </w:tbl>
    <w:p w14:paraId="478C5079" w14:textId="77777777" w:rsidR="00B021FE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761B74" w14:textId="5CF56F74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8F0">
        <w:rPr>
          <w:rFonts w:ascii="Times New Roman" w:hAnsi="Times New Roman" w:cs="Times New Roman"/>
          <w:sz w:val="28"/>
          <w:szCs w:val="28"/>
        </w:rPr>
        <w:t xml:space="preserve">Для визуального сравнения классов моделей был выполнен многокритериальный анализ по показателям физической интерпретации, </w:t>
      </w:r>
      <w:r w:rsidRPr="00BD58F0">
        <w:rPr>
          <w:rFonts w:ascii="Times New Roman" w:hAnsi="Times New Roman" w:cs="Times New Roman"/>
          <w:sz w:val="28"/>
          <w:szCs w:val="28"/>
        </w:rPr>
        <w:lastRenderedPageBreak/>
        <w:t>онлайн-применимости, точности в сложных режимах, требованиям к данным и пригодности к ранней деградационной диагностике.</w:t>
      </w:r>
    </w:p>
    <w:p w14:paraId="4B521E5A" w14:textId="77777777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273929" w14:textId="4A7FFE53" w:rsidR="00BD58F0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327303" wp14:editId="58610AC1">
            <wp:extent cx="6119495" cy="3420110"/>
            <wp:effectExtent l="0" t="0" r="0" b="8890"/>
            <wp:docPr id="173982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60B6E" w14:textId="7D332A31" w:rsidR="00DE3D9A" w:rsidRPr="00DE3D9A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D9A">
        <w:rPr>
          <w:rFonts w:ascii="Times New Roman" w:hAnsi="Times New Roman" w:cs="Times New Roman"/>
          <w:sz w:val="28"/>
          <w:szCs w:val="28"/>
        </w:rPr>
        <w:t>Рисунок 1.14 — Сравнение классов моделей прогнозирования остаточного ресурса</w:t>
      </w:r>
    </w:p>
    <w:p w14:paraId="0C7B3585" w14:textId="77777777" w:rsidR="00DE3D9A" w:rsidRPr="00EC4694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48DD5C" w14:textId="041B59C0" w:rsidR="00DE3D9A" w:rsidRPr="00EC4694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На рисунке представлена сравнительная матрица шести классов моделей. Эмпирические модели выигрывают по простоте и онлайн применимости, но уступают по физической интерпретации и ранней чувствительности. Физические модели обладают максимальной интерпретируемостью, но проигрывают по вычислительной компактности. ML- и DL-подходы демонстрируют высокую гибкость, однако требуют больших массивов репрезентативных данных. Гибридные и импедансные подходы занимают промежуточное, но наиболее перспективное положение.</w:t>
      </w:r>
    </w:p>
    <w:p w14:paraId="60DE1191" w14:textId="50109C4B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систематизации исследовательского пространства задачи </w:t>
      </w:r>
      <w:r w:rsidRPr="00D07C8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D07C8B">
        <w:rPr>
          <w:rFonts w:ascii="Times New Roman" w:hAnsi="Times New Roman" w:cs="Times New Roman"/>
          <w:sz w:val="28"/>
          <w:szCs w:val="28"/>
        </w:rPr>
        <w:t xml:space="preserve">. Практическая польза заключается в обосновании выбора дальнейшей диссертационной стратегии: не чисто эмпирической и не </w:t>
      </w:r>
      <w:r w:rsidRPr="00D07C8B">
        <w:rPr>
          <w:rFonts w:ascii="Times New Roman" w:hAnsi="Times New Roman" w:cs="Times New Roman"/>
          <w:sz w:val="28"/>
          <w:szCs w:val="28"/>
        </w:rPr>
        <w:lastRenderedPageBreak/>
        <w:t xml:space="preserve">чисто </w:t>
      </w:r>
      <w:r w:rsidRPr="00D07C8B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D07C8B">
        <w:rPr>
          <w:rFonts w:ascii="Times New Roman" w:hAnsi="Times New Roman" w:cs="Times New Roman"/>
          <w:sz w:val="28"/>
          <w:szCs w:val="28"/>
        </w:rPr>
        <w:t>, а физически мотивированной, с опорой на импедансные признаки и возможностью гибридной интерпретации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6AB265" w14:textId="64314C3E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Сопоставление реальной деградационной траектории с различными классами моделей показывает, что для сложной нелинейной траектории ресурсного старения линейные эмпирические аппроксимации быстро теряют точность, тогда как физически мотивированные и гибридные модели лучше воспроизводят переход к ускоренной стадии деградации.</w:t>
      </w:r>
    </w:p>
    <w:p w14:paraId="38B3990B" w14:textId="77777777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2F33D4" w14:textId="7C88B80A" w:rsidR="00D07C8B" w:rsidRDefault="00C23DEF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A075DB" wp14:editId="7F1E2CD2">
            <wp:extent cx="6119495" cy="3634105"/>
            <wp:effectExtent l="0" t="0" r="0" b="4445"/>
            <wp:docPr id="21129605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56E88" w14:textId="728C2AC3" w:rsidR="00C23DEF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E97">
        <w:rPr>
          <w:rFonts w:ascii="Times New Roman" w:hAnsi="Times New Roman" w:cs="Times New Roman"/>
          <w:sz w:val="28"/>
          <w:szCs w:val="28"/>
        </w:rPr>
        <w:t>Рисунок 1.15 — Сопоставление экспериментальной деградации и модельных траекторий</w:t>
      </w:r>
    </w:p>
    <w:p w14:paraId="18AA5170" w14:textId="77777777" w:rsidR="00772E97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C0662" w14:textId="1C4F8B60" w:rsidR="00772E97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 рисунке показаны четыре траектории: экспериментальная кривая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565E1">
        <w:rPr>
          <w:rFonts w:ascii="Times New Roman" w:hAnsi="Times New Roman" w:cs="Times New Roman"/>
          <w:sz w:val="28"/>
          <w:szCs w:val="28"/>
        </w:rPr>
        <w:t xml:space="preserve">, эмпирическая линейная модель, физическая модель и гибридная/импедансная модель. Хорошо видно, что линейная модель систематически переоценивает остаточный ресурс, поскольку не учитывает ускорение деградации на поздней стадии. Физическая модель значительно лучше </w:t>
      </w:r>
      <w:r w:rsidRPr="006565E1">
        <w:rPr>
          <w:rFonts w:ascii="Times New Roman" w:hAnsi="Times New Roman" w:cs="Times New Roman"/>
          <w:sz w:val="28"/>
          <w:szCs w:val="28"/>
        </w:rPr>
        <w:lastRenderedPageBreak/>
        <w:t>воспроизводит форму траектории, а гибридная/импедансная модель практически совпадает с экспериментальной кривой вблизи критического участка.</w:t>
      </w:r>
    </w:p>
    <w:p w14:paraId="5034D2CE" w14:textId="30D0EE25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демонстрирует принципиальную недостаточность линейных деградационных аппроксимаций для задач точного ресурсо-прогноза. Практическая ценность состоит в подтверждении целесообразности перехода к импедансно-ориентированной и гибридной структуре модели.</w:t>
      </w:r>
    </w:p>
    <w:p w14:paraId="1C72CDAD" w14:textId="519C9774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 xml:space="preserve">Для оценки относительной практической эффективности разных классов моделей на смешанном наборе тяговых и лабораторных сценариев была выполнена нормированная оценка средней ошибки прогноза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565E1">
        <w:rPr>
          <w:rFonts w:ascii="Times New Roman" w:hAnsi="Times New Roman" w:cs="Times New Roman"/>
          <w:sz w:val="28"/>
          <w:szCs w:val="28"/>
        </w:rPr>
        <w:t>.</w:t>
      </w:r>
    </w:p>
    <w:p w14:paraId="4DA4C717" w14:textId="77777777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2B0173" w14:textId="17C3F910" w:rsidR="006565E1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4E79CD" wp14:editId="3473F6F2">
            <wp:extent cx="6119495" cy="3331210"/>
            <wp:effectExtent l="0" t="0" r="0" b="2540"/>
            <wp:docPr id="17974556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321D8" w14:textId="07D9D102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Рисунок 1.16 — Сравнительная точность классов моделей на смешанном испытательном наборе</w:t>
      </w:r>
    </w:p>
    <w:p w14:paraId="6A608A5A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510A7" w14:textId="4663305D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На рисунке приведены усреднённые ошибки прогноза остаточного ресурса для различных классов моделей. Наибольшая ошибка наблюдается у эмпирических моделей, наименьшая — у импедансных и гибридных. Это не </w:t>
      </w:r>
      <w:r w:rsidRPr="00FE5D03">
        <w:rPr>
          <w:rFonts w:ascii="Times New Roman" w:hAnsi="Times New Roman" w:cs="Times New Roman"/>
          <w:sz w:val="28"/>
          <w:szCs w:val="28"/>
        </w:rPr>
        <w:lastRenderedPageBreak/>
        <w:t>означает безусловного превосходства последних во всех задачах, однако подтверждает их преимущество в ситуациях, где критично раннее распознавание деградации и корректное описание нелинейного изменения состояния батареи.</w:t>
      </w:r>
    </w:p>
    <w:p w14:paraId="2B3A1B63" w14:textId="29B8E19F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количественно связывает классы моделей с их ожидаемой прогностической эффективностью. Практическая ценность заключается в выборе рационального направления дальнейшей разработки: для тяговых аккумуляторных батарей наиболее перспективными являются модели, включающие физически интерпретируемые импедансные признаки.</w:t>
      </w:r>
    </w:p>
    <w:p w14:paraId="40CAC00F" w14:textId="496643F6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Таким образом, анализ существующих моделей прогнозирования остаточного ресурса показывает, что ни один класс методов не обеспечивает одновременно полной физической интерпретируемости, устойчивости к сложным нестационарным режимам, низкой вычислительной сложности и высокой чувствительности к ранним стадиям деградации. Эмпирические модели слишком грубы, физические — слишком сложны для прямого внедрения, чисто data-driven подходы слишком чувствительны к данным и слабо интерпретируемы. Наиболее перспективным направлением является импедансно-ориентированная и гибридная постановка, в которой физически содержательные спектральные признаки соединяются с прогностической моделью ресурса. Именно это направление и образует научную основу настоящей диссертационной работы.</w:t>
      </w:r>
    </w:p>
    <w:p w14:paraId="01BBCB4B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8A57DF" w14:textId="62A8AE95" w:rsidR="00FE5D03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4694">
        <w:rPr>
          <w:rFonts w:ascii="Times New Roman" w:hAnsi="Times New Roman" w:cs="Times New Roman"/>
          <w:b/>
          <w:bCs/>
          <w:sz w:val="28"/>
          <w:szCs w:val="28"/>
        </w:rPr>
        <w:t>1.6 Выявленные научные проблемы и постановка задач исследования</w:t>
      </w:r>
    </w:p>
    <w:p w14:paraId="35F538B7" w14:textId="77777777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3EEA21" w14:textId="0B8F7E2D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Проведённый анализ показал, что современные исследования аккумуляторных систем достигли высокого уровня в части описания отдельных механизмов деградации, разработки методов оценки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 xml:space="preserve"> и построения частных моделей прогноза ресурса. Вместе с тем обзорные работы последних лет </w:t>
      </w:r>
      <w:r w:rsidRPr="00EC4694">
        <w:rPr>
          <w:rFonts w:ascii="Times New Roman" w:hAnsi="Times New Roman" w:cs="Times New Roman"/>
          <w:sz w:val="28"/>
          <w:szCs w:val="28"/>
        </w:rPr>
        <w:lastRenderedPageBreak/>
        <w:t xml:space="preserve">указывают, что наиболее интенсивно развиваются три направления: методы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>/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EC469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оценки, </w:t>
      </w:r>
      <w:r w:rsidRPr="00EC4694">
        <w:rPr>
          <w:rFonts w:ascii="Times New Roman" w:hAnsi="Times New Roman" w:cs="Times New Roman"/>
          <w:sz w:val="28"/>
          <w:szCs w:val="28"/>
        </w:rPr>
        <w:t>гибридные модели и online/near-online алгоритмы, тогда как проблема объединения физически интерпретируемых диагностических признаков с инженерно реализуемым прогнозом ресурса остаётся открытой.</w:t>
      </w:r>
    </w:p>
    <w:p w14:paraId="6BB5B1D4" w14:textId="44B535B0" w:rsidR="00FE5D03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С методологической точки зрения современное научное поле разделено на три относительно самостоятельные области. Первая область связана с фундаментальными электрохимическими моделями, в которых состояние батареи описывается через кинетику зарядопереноса, диффузию, тепловые эффекты и межфазные реакции. Вторая область представлена лабораторной импедансной диагностикой, позволяющей получать спектральные признаки внутреннего состояния батареи. Третья область включает инженерные алгоритмы BMS, ориентированные на быстрые измерения напряжения, тока, температуры и ограниченного набора оценочных параметров. Современные обзоры по EIS для транспортных аккумуляторов прямо подчёркивают, что именно разрыв между глубокой диагностической информативностью EIS и требованиями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onboard-реализации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остаётся одним из ключевых барьеров для промышленного внедрения метода.</w:t>
      </w:r>
    </w:p>
    <w:p w14:paraId="0F847EC3" w14:textId="68054F61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>Проблема особенно обостряется в условиях тяговой эксплуатации. В лабораторной постановке спектр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(ω)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обычно измеряется вблизи стационарной рабочей точки при малом гармоническом возмущении и фиксированной температуре. В электротранспортном приложении, напротив, батарея функционирует при переменном токе, меняющемся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переменной температуре и при наличии рекуперационных режимов. Современные исследования по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EC4694">
        <w:rPr>
          <w:rFonts w:ascii="Times New Roman" w:hAnsi="Times New Roman" w:cs="Times New Roman"/>
          <w:sz w:val="28"/>
          <w:szCs w:val="28"/>
        </w:rPr>
        <w:t xml:space="preserve"> показывают, что динамические спектры лучше отражают реальное состояние батареи при заряде и разряде, чем классические статические измерения, однако методически и аппаратно такая постановка остаётся существенно более сложной.</w:t>
      </w:r>
    </w:p>
    <w:p w14:paraId="3B140859" w14:textId="67F7AB94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В результате возникает принципиальное противоречие. С одной стороны, импедансная спектроскопия является одним из наиболее чувствительных </w:t>
      </w:r>
      <w:r w:rsidRPr="00EC4694">
        <w:rPr>
          <w:rFonts w:ascii="Times New Roman" w:hAnsi="Times New Roman" w:cs="Times New Roman"/>
          <w:sz w:val="28"/>
          <w:szCs w:val="28"/>
        </w:rPr>
        <w:lastRenderedPageBreak/>
        <w:t xml:space="preserve">инструментов ранней диагностики деградации. С другой стороны, существующие BMS-алгоритмы преимущественно опираются на интегральные и сравнительно грубые измеряемые величины. Ряд современных работ по раннему прогнозу ресурса уже показывает, что геометрические признаки спектра Найквиста и другие EIS-параметры могут использоваться для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early-stage lifetime prediction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однако такие подходы чаще всего остаются либо лабораторными, либо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EC4694">
        <w:rPr>
          <w:rFonts w:ascii="Times New Roman" w:hAnsi="Times New Roman" w:cs="Times New Roman"/>
          <w:sz w:val="28"/>
          <w:szCs w:val="28"/>
        </w:rPr>
        <w:t>, либо ориентированными на одну химическую систему без формирования единой инженерной модели прогноза.</w:t>
      </w:r>
    </w:p>
    <w:p w14:paraId="39EC565C" w14:textId="1C057035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Для формализации выявленного исследовательского разрыва целесообразно представить существующее состояние проблемы в виде </w:t>
      </w:r>
      <w:r w:rsidR="008D2C3D" w:rsidRPr="008D2C3D">
        <w:rPr>
          <w:rFonts w:ascii="Times New Roman" w:hAnsi="Times New Roman" w:cs="Times New Roman"/>
          <w:sz w:val="28"/>
          <w:szCs w:val="28"/>
        </w:rPr>
        <w:t>структуры взаимосвязанных, но недостаточно интегрированных блоков: фундаментальных моделей, лабораторной диагностики и инженерных алгоритмов управления батареей.</w:t>
      </w:r>
    </w:p>
    <w:p w14:paraId="2BEECD6F" w14:textId="77777777" w:rsidR="008D2C3D" w:rsidRPr="00AC77B7" w:rsidRDefault="008D2C3D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00D557" w14:textId="78ECF6E7" w:rsidR="008D2C3D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12A255F" wp14:editId="6DE846D2">
            <wp:extent cx="6119495" cy="3311525"/>
            <wp:effectExtent l="0" t="0" r="0" b="3175"/>
            <wp:docPr id="87197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33E71" w14:textId="7C2473D9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31A9">
        <w:rPr>
          <w:rFonts w:ascii="Times New Roman" w:hAnsi="Times New Roman" w:cs="Times New Roman"/>
          <w:sz w:val="28"/>
          <w:szCs w:val="28"/>
        </w:rPr>
        <w:t>Рисунок 1.17 — Структура научного разрыва в задаче диагностики и прогноза ресурса тяговых аккумуляторных батарей</w:t>
      </w:r>
    </w:p>
    <w:p w14:paraId="6850E203" w14:textId="77777777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7CB8A" w14:textId="5AC75049" w:rsidR="008B31A9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показано, что фундаментальные электрохимические модели, лабораторная импедансная диагностика и инженерные алгоритмы BMS существуют как методически развитые, но не полностью объединённые уровни описания аккумуляторной системы. Для фундаментальных моделей характерна ориентация на стационарные условия и на подробное описание физики процесса. Для лабораторной EIS-диагностики — использование полного спектра и длительных измерений. Для BMS-уровня — работа с ограниченным набором быстро доступных величин. Научный разрыв возникает в точке, где требуется перейти от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AE48BB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E48B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AE48B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 оценке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E48BB">
        <w:rPr>
          <w:rFonts w:ascii="Times New Roman" w:hAnsi="Times New Roman" w:cs="Times New Roman"/>
          <w:sz w:val="28"/>
          <w:szCs w:val="28"/>
        </w:rPr>
        <w:t xml:space="preserve">, скорости деградации и прогнозу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AE48BB">
        <w:rPr>
          <w:rFonts w:ascii="Times New Roman" w:hAnsi="Times New Roman" w:cs="Times New Roman"/>
          <w:sz w:val="28"/>
          <w:szCs w:val="28"/>
        </w:rPr>
        <w:t xml:space="preserve"> в нестационарных тяговых режимах.</w:t>
      </w:r>
    </w:p>
    <w:p w14:paraId="55138500" w14:textId="756117B9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локализует собственный предмет диссертационного исследования. Практическая польза рисунка заключается в том, что он задаёт архитектуру дальнейшего исследования: от построения физико-математической модели импеданса — к параметрической идентификации, далее к диагностике состояния и затем к ресурсо-прогнозу.</w:t>
      </w:r>
    </w:p>
    <w:p w14:paraId="41F12343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AD594D" w14:textId="05E2872E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48BB">
        <w:rPr>
          <w:rFonts w:ascii="Times New Roman" w:hAnsi="Times New Roman" w:cs="Times New Roman"/>
          <w:b/>
          <w:bCs/>
          <w:sz w:val="28"/>
          <w:szCs w:val="28"/>
        </w:rPr>
        <w:t>1.6.1 Основные научные проблемы</w:t>
      </w:r>
    </w:p>
    <w:p w14:paraId="38D7F446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B61E2C" w14:textId="6A087475" w:rsidR="00AE48BB" w:rsidRPr="00AE48BB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Первая научная проблема заключается в отсутствии единой модели, связывающей параметры комплексного импеданса с текущим техническим состоянием батареи в нестационарных условиях эксплуатации. Иначе говоря, в существующих работах обычно либо анализируется сам спектр, либо строится модель деградации, однако переход</w:t>
      </w:r>
    </w:p>
    <w:p w14:paraId="76A99768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39FB73" w14:textId="44A092A4" w:rsidR="00AE48BB" w:rsidRPr="00902FA4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1820" w:dyaOrig="320" w14:anchorId="12F74532">
          <v:shape id="_x0000_i1083" type="#_x0000_t75" style="width:90.8pt;height:16.1pt" o:ole="">
            <v:imagedata r:id="rId143" o:title=""/>
          </v:shape>
          <o:OLEObject Type="Embed" ProgID="Equation.DSMT4" ShapeID="_x0000_i1083" DrawAspect="Content" ObjectID="_1841992703" r:id="rId144"/>
        </w:object>
      </w:r>
      <w:r w:rsidRPr="00902FA4">
        <w:rPr>
          <w:rFonts w:ascii="Times New Roman" w:hAnsi="Times New Roman" w:cs="Times New Roman"/>
          <w:sz w:val="28"/>
          <w:szCs w:val="28"/>
        </w:rPr>
        <w:t xml:space="preserve">, </w:t>
      </w:r>
      <w:r w:rsidRPr="00902FA4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1780" w:dyaOrig="320" w14:anchorId="66534E5F">
          <v:shape id="_x0000_i1084" type="#_x0000_t75" style="width:88.65pt;height:16.1pt" o:ole="">
            <v:imagedata r:id="rId145" o:title=""/>
          </v:shape>
          <o:OLEObject Type="Embed" ProgID="Equation.DSMT4" ShapeID="_x0000_i1084" DrawAspect="Content" ObjectID="_1841992704" r:id="rId146"/>
        </w:object>
      </w:r>
    </w:p>
    <w:p w14:paraId="37681F3E" w14:textId="432FCD06" w:rsidR="00AE48BB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>не получает универсальной и достаточно строгой формализации.</w:t>
      </w:r>
    </w:p>
    <w:p w14:paraId="0C540363" w14:textId="191E10ED" w:rsidR="00902FA4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lastRenderedPageBreak/>
        <w:t xml:space="preserve">Вторая научная проблема состоит в том, что большинство существующих моделей ресурса либо слабо интерпретируемы, либо ограниченно переносимы между режимами и химическими системами. Обзорные работы по 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902FA4">
        <w:rPr>
          <w:rFonts w:ascii="Times New Roman" w:hAnsi="Times New Roman" w:cs="Times New Roman"/>
          <w:sz w:val="28"/>
          <w:szCs w:val="28"/>
        </w:rPr>
        <w:t>/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902FA4">
        <w:rPr>
          <w:rFonts w:ascii="Times New Roman" w:hAnsi="Times New Roman" w:cs="Times New Roman"/>
          <w:sz w:val="28"/>
          <w:szCs w:val="28"/>
        </w:rPr>
        <w:t xml:space="preserve">-моделированию последовательно разделяют методы на </w:t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>model-based, data-driven и hybrid approaches</w:t>
      </w:r>
      <w:r w:rsidRPr="00902FA4">
        <w:rPr>
          <w:rFonts w:ascii="Times New Roman" w:hAnsi="Times New Roman" w:cs="Times New Roman"/>
          <w:sz w:val="28"/>
          <w:szCs w:val="28"/>
        </w:rPr>
        <w:t>, причём именно гибридные подходы рассматриваются как наиболее перспективные, но и наиболее методически сложные в верификации.</w:t>
      </w:r>
    </w:p>
    <w:p w14:paraId="2397C7AD" w14:textId="272AEE81" w:rsidR="00902FA4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Третья научная проблема связана с ранней диагностикой деградации. Классическое определение конца ресурса по условию </w:t>
      </w:r>
      <w:r w:rsidRPr="0019272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92726">
        <w:rPr>
          <w:rFonts w:ascii="Times New Roman" w:hAnsi="Times New Roman" w:cs="Times New Roman"/>
          <w:sz w:val="28"/>
          <w:szCs w:val="28"/>
        </w:rPr>
        <w:t xml:space="preserve"> = 80% широко используется в литературе и инженерной практике, однако современные обзоры подчёркивают, что ресурсный отказ в реальной системе часто связан не только со снижением ёмкости, но и с </w:t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192726">
        <w:rPr>
          <w:rFonts w:ascii="Times New Roman" w:hAnsi="Times New Roman" w:cs="Times New Roman"/>
          <w:sz w:val="28"/>
          <w:szCs w:val="28"/>
        </w:rPr>
        <w:t>, ростом импеданса и ухудшением теплового поведения батареи. Это означает, что одного ёмкостного индикатора недостаточно, а ресурсная модель должна включать внутренние электрические признаки состояния.</w:t>
      </w:r>
    </w:p>
    <w:p w14:paraId="3E2EE08F" w14:textId="59228C1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Четвёртая научная проблема заключается в ограниченной пригодности классической стационарной EIS-постановки для тяговых приложений. Современные работы по </w:t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>onboard-EIS и dynamic EIS</w:t>
      </w:r>
      <w:r w:rsidRPr="00192726">
        <w:rPr>
          <w:rFonts w:ascii="Times New Roman" w:hAnsi="Times New Roman" w:cs="Times New Roman"/>
          <w:sz w:val="28"/>
          <w:szCs w:val="28"/>
        </w:rPr>
        <w:t xml:space="preserve"> показывают, что аппаратная и алгоритмическая адаптация спектроскопии к реальным режимам эксплуатации остаётся сложной задачей, особенно в низкочастотной области и при быстро меняющемся токовом профиле.</w:t>
      </w:r>
    </w:p>
    <w:p w14:paraId="3BCF5B1E" w14:textId="0634AAE3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Пятая научная проблема связана с необходимостью унификации подхода для различных электрохимических систем. Большинство существующих исследований выполняется либо для одной конкретной литий-ионной химии, либо для одной серии данных, тогда как тяговая практика требует сравнительного и обобщающего подхода по крайней мере для NMC, LFP, LTO и Na-ion батарей.</w:t>
      </w:r>
    </w:p>
    <w:p w14:paraId="59ED1068" w14:textId="77777777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572C3E" w14:textId="3D7936E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Таблица 1.7 – Выявленные научные проблемы и требуемые направления их решения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084EA8" w14:paraId="75A6942B" w14:textId="77777777" w:rsidTr="00084EA8">
        <w:tc>
          <w:tcPr>
            <w:tcW w:w="3209" w:type="dxa"/>
          </w:tcPr>
          <w:p w14:paraId="02AFE890" w14:textId="0153417D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Выявленная проблема</w:t>
            </w:r>
          </w:p>
        </w:tc>
        <w:tc>
          <w:tcPr>
            <w:tcW w:w="3209" w:type="dxa"/>
          </w:tcPr>
          <w:p w14:paraId="31799A48" w14:textId="05039DC5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Проявление в существующих исследованиях</w:t>
            </w:r>
          </w:p>
        </w:tc>
        <w:tc>
          <w:tcPr>
            <w:tcW w:w="3209" w:type="dxa"/>
          </w:tcPr>
          <w:p w14:paraId="212077F4" w14:textId="472ED1A8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Требуемое направление решения</w:t>
            </w:r>
          </w:p>
        </w:tc>
      </w:tr>
      <w:tr w:rsidR="00084EA8" w:rsidRPr="00084EA8" w14:paraId="21F9F8C5" w14:textId="77777777" w:rsidTr="00084EA8">
        <w:tc>
          <w:tcPr>
            <w:tcW w:w="3209" w:type="dxa"/>
          </w:tcPr>
          <w:p w14:paraId="128F2F3C" w14:textId="158C7E3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Нет единой связи между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(ω,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)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SOH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</w:p>
        </w:tc>
        <w:tc>
          <w:tcPr>
            <w:tcW w:w="3209" w:type="dxa"/>
          </w:tcPr>
          <w:p w14:paraId="1A13BCC8" w14:textId="48201A8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Диагностика и прогноз часто разобщены</w:t>
            </w:r>
          </w:p>
        </w:tc>
        <w:tc>
          <w:tcPr>
            <w:tcW w:w="3209" w:type="dxa"/>
          </w:tcPr>
          <w:p w14:paraId="023E100A" w14:textId="653A70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Построение объединённой диагностико-прогностической модели</w:t>
            </w:r>
          </w:p>
        </w:tc>
      </w:tr>
      <w:tr w:rsidR="00084EA8" w:rsidRPr="00084EA8" w14:paraId="31EE0012" w14:textId="77777777" w:rsidTr="00084EA8">
        <w:tc>
          <w:tcPr>
            <w:tcW w:w="3209" w:type="dxa"/>
          </w:tcPr>
          <w:p w14:paraId="0DC96CB2" w14:textId="57A35C7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Ограниченная переносимость моделей между режимами</w:t>
            </w:r>
          </w:p>
        </w:tc>
        <w:tc>
          <w:tcPr>
            <w:tcW w:w="3209" w:type="dxa"/>
          </w:tcPr>
          <w:p w14:paraId="035BABF4" w14:textId="3D077977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Точность падает при изменении температуры, токового профиля и химии</w:t>
            </w:r>
          </w:p>
        </w:tc>
        <w:tc>
          <w:tcPr>
            <w:tcW w:w="3209" w:type="dxa"/>
          </w:tcPr>
          <w:p w14:paraId="6EE06776" w14:textId="2DE25B4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Включение режимных и химически специфичных параметров</w:t>
            </w:r>
          </w:p>
        </w:tc>
      </w:tr>
      <w:tr w:rsidR="00084EA8" w:rsidRPr="00084EA8" w14:paraId="2F70E85A" w14:textId="77777777" w:rsidTr="00084EA8">
        <w:tc>
          <w:tcPr>
            <w:tcW w:w="3209" w:type="dxa"/>
          </w:tcPr>
          <w:p w14:paraId="12858317" w14:textId="4E18C5E2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Недостаточная ранняя чувствительность ёмкостных критериев</w:t>
            </w:r>
          </w:p>
        </w:tc>
        <w:tc>
          <w:tcPr>
            <w:tcW w:w="3209" w:type="dxa"/>
          </w:tcPr>
          <w:p w14:paraId="2702C6F3" w14:textId="703140F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Рост импеданса начинается раньше выраженного capacity fade</w:t>
            </w:r>
          </w:p>
        </w:tc>
        <w:tc>
          <w:tcPr>
            <w:tcW w:w="3209" w:type="dxa"/>
          </w:tcPr>
          <w:p w14:paraId="30971798" w14:textId="1840D3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Использование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diff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как ресурсных признаков</w:t>
            </w:r>
          </w:p>
        </w:tc>
      </w:tr>
      <w:tr w:rsidR="00084EA8" w:rsidRPr="00084EA8" w14:paraId="731EDDE5" w14:textId="77777777" w:rsidTr="00084EA8">
        <w:tc>
          <w:tcPr>
            <w:tcW w:w="3209" w:type="dxa"/>
          </w:tcPr>
          <w:p w14:paraId="198E9F23" w14:textId="49701DD0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Сложность применения классической EIS в BMS</w:t>
            </w:r>
          </w:p>
        </w:tc>
        <w:tc>
          <w:tcPr>
            <w:tcW w:w="3209" w:type="dxa"/>
          </w:tcPr>
          <w:p w14:paraId="0F7BBE69" w14:textId="4EACC1BA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Полный спектр требует времени и специальных условий</w:t>
            </w:r>
          </w:p>
        </w:tc>
        <w:tc>
          <w:tcPr>
            <w:tcW w:w="3209" w:type="dxa"/>
          </w:tcPr>
          <w:p w14:paraId="19447A91" w14:textId="3FFA705F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Разработка редуцированного частотного протокола и быстрого алгоритма</w:t>
            </w:r>
          </w:p>
        </w:tc>
      </w:tr>
      <w:tr w:rsidR="00084EA8" w:rsidRPr="00084EA8" w14:paraId="71D35DEB" w14:textId="77777777" w:rsidTr="00084EA8">
        <w:tc>
          <w:tcPr>
            <w:tcW w:w="3209" w:type="dxa"/>
          </w:tcPr>
          <w:p w14:paraId="02339680" w14:textId="0C0082AD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Слабая унификация по химическим системам</w:t>
            </w:r>
          </w:p>
        </w:tc>
        <w:tc>
          <w:tcPr>
            <w:tcW w:w="3209" w:type="dxa"/>
          </w:tcPr>
          <w:p w14:paraId="10216D2B" w14:textId="19BB25F5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Большинство моделей валидировано на одной химии</w:t>
            </w:r>
          </w:p>
        </w:tc>
        <w:tc>
          <w:tcPr>
            <w:tcW w:w="3209" w:type="dxa"/>
          </w:tcPr>
          <w:p w14:paraId="6D65B4BB" w14:textId="2BFE1862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Формирование адаптивной, но общей структуры модели</w:t>
            </w:r>
          </w:p>
        </w:tc>
      </w:tr>
    </w:tbl>
    <w:p w14:paraId="6B1F2A57" w14:textId="77777777" w:rsidR="00192726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9A1C2" w14:textId="36C61A81" w:rsidR="006D6714" w:rsidRPr="00BE43FE" w:rsidRDefault="006D6714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4">
        <w:rPr>
          <w:rFonts w:ascii="Times New Roman" w:hAnsi="Times New Roman" w:cs="Times New Roman"/>
          <w:sz w:val="28"/>
          <w:szCs w:val="28"/>
        </w:rPr>
        <w:t>Таблица показывает, что исследовательская задача не сводится к улучшению одного алгоритма аппроксимации. Требуется построение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6714">
        <w:rPr>
          <w:rFonts w:ascii="Times New Roman" w:hAnsi="Times New Roman" w:cs="Times New Roman"/>
          <w:sz w:val="28"/>
          <w:szCs w:val="28"/>
        </w:rPr>
        <w:t>целостной концепции, в которой физически интерпретируемые импедансные признаки используются как база для online- или nea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BE43FE" w:rsidRPr="00BE43FE">
        <w:rPr>
          <w:rFonts w:ascii="Times New Roman" w:hAnsi="Times New Roman" w:cs="Times New Roman"/>
          <w:sz w:val="28"/>
          <w:szCs w:val="28"/>
        </w:rPr>
        <w:t>-</w:t>
      </w:r>
      <w:r w:rsidR="00BE43FE">
        <w:rPr>
          <w:rFonts w:ascii="Times New Roman" w:hAnsi="Times New Roman" w:cs="Times New Roman"/>
          <w:sz w:val="28"/>
          <w:szCs w:val="28"/>
          <w:lang w:val="en-US"/>
        </w:rPr>
        <w:t>online</w:t>
      </w:r>
      <w:r w:rsidR="00BE43FE" w:rsidRPr="00BE43FE">
        <w:rPr>
          <w:rFonts w:ascii="Times New Roman" w:hAnsi="Times New Roman" w:cs="Times New Roman"/>
          <w:sz w:val="28"/>
          <w:szCs w:val="28"/>
        </w:rPr>
        <w:t>-диагностики и прогноза ресурса.</w:t>
      </w:r>
    </w:p>
    <w:p w14:paraId="6166B93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C26BB" w14:textId="0E162704" w:rsidR="00BE43FE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40D1">
        <w:rPr>
          <w:rFonts w:ascii="Times New Roman" w:hAnsi="Times New Roman" w:cs="Times New Roman"/>
          <w:b/>
          <w:bCs/>
          <w:sz w:val="28"/>
          <w:szCs w:val="28"/>
        </w:rPr>
        <w:lastRenderedPageBreak/>
        <w:t>1.6.2 Формализация научной гипотезы в терминах главы 1</w:t>
      </w:r>
    </w:p>
    <w:p w14:paraId="68A89E0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B6600E" w14:textId="6BA5DD3D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По результатам выполненного анализа может быть сформулирована следующая научная гипотеза: параметры комплексного импеданса тяговой аккумуляторной батареи содержат достаточную информацию для восстановления текущего деградационного состояния и прогнозирования остаточного ресурса в условиях нестационарной эксплуатации, если модель учитывает температурные, нагрузочные и химически-специфичные особенности аккумуляторной системы.</w:t>
      </w:r>
    </w:p>
    <w:p w14:paraId="04117D5B" w14:textId="04A63D8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В математической форме это означает существование отображений</w:t>
      </w:r>
    </w:p>
    <w:p w14:paraId="6886FE39" w14:textId="7777777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925CDE" w14:textId="64BA7CB4" w:rsidR="004A40D1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760" w:dyaOrig="400" w14:anchorId="0D296E56">
          <v:shape id="_x0000_i1085" type="#_x0000_t75" style="width:188.6pt;height:19.35pt" o:ole="">
            <v:imagedata r:id="rId147" o:title=""/>
          </v:shape>
          <o:OLEObject Type="Embed" ProgID="Equation.DSMT4" ShapeID="_x0000_i1085" DrawAspect="Content" ObjectID="_1841992705" r:id="rId148"/>
        </w:objec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5C693E32" w14:textId="614EF748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2960" w:dyaOrig="680" w14:anchorId="2E2C4D19">
          <v:shape id="_x0000_i1086" type="#_x0000_t75" style="width:148.3pt;height:33.85pt" o:ole="">
            <v:imagedata r:id="rId149" o:title=""/>
          </v:shape>
          <o:OLEObject Type="Embed" ProgID="Equation.DSMT4" ShapeID="_x0000_i1086" DrawAspect="Content" ObjectID="_1841992706" r:id="rId150"/>
        </w:objec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1E02819" w14:textId="31114E0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Первая функция соответствует диагностическому уровню, вторая — прогностическому. Их совместное использование задаёт основу будущей диссертационной модели.</w:t>
      </w:r>
    </w:p>
    <w:p w14:paraId="26D4C90C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2EBB7B" w14:textId="1AC4A6B8" w:rsidR="004A40D1" w:rsidRP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7969">
        <w:rPr>
          <w:rFonts w:ascii="Times New Roman" w:hAnsi="Times New Roman" w:cs="Times New Roman"/>
          <w:b/>
          <w:bCs/>
          <w:sz w:val="28"/>
          <w:szCs w:val="28"/>
        </w:rPr>
        <w:t>1.6.3 Постановка задач исследования</w:t>
      </w:r>
    </w:p>
    <w:p w14:paraId="4FB1AF94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D9DB74" w14:textId="7F1A79D5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В рамках выявленного научного разрыва должны быть решены следующие задачи.</w:t>
      </w:r>
    </w:p>
    <w:p w14:paraId="7C2F4B11" w14:textId="30561B76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физико-математическую модель комплексного импеданса тяговой аккумуляторной батареи, учитывающую омическую, зарядопереносную и диффузионную составляющие, а также влияние температуры, состояния заряда и химической системы.</w:t>
      </w:r>
    </w:p>
    <w:p w14:paraId="49E9F4E1" w14:textId="3CA30094" w:rsidR="00C77969" w:rsidRPr="00AC77B7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2. </w:t>
      </w:r>
      <w:r w:rsidRPr="00C77969">
        <w:rPr>
          <w:rFonts w:ascii="Times New Roman" w:hAnsi="Times New Roman" w:cs="Times New Roman"/>
          <w:sz w:val="28"/>
          <w:szCs w:val="28"/>
        </w:rPr>
        <w:t>Установить количественные зависимости между параметрами импедансной модели и показателями технического состояния батареи, прежде всего 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C77969">
        <w:rPr>
          <w:rFonts w:ascii="Times New Roman" w:hAnsi="Times New Roman" w:cs="Times New Roman"/>
          <w:sz w:val="28"/>
          <w:szCs w:val="28"/>
        </w:rPr>
        <w:t xml:space="preserve">,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7969">
        <w:rPr>
          <w:rFonts w:ascii="Times New Roman" w:hAnsi="Times New Roman" w:cs="Times New Roman"/>
          <w:sz w:val="28"/>
          <w:szCs w:val="28"/>
        </w:rPr>
        <w:t>.</w:t>
      </w:r>
    </w:p>
    <w:p w14:paraId="1B16ABAD" w14:textId="1CF9B2A8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77969">
        <w:rPr>
          <w:rFonts w:ascii="Times New Roman" w:hAnsi="Times New Roman" w:cs="Times New Roman"/>
          <w:sz w:val="28"/>
          <w:szCs w:val="28"/>
        </w:rPr>
        <w:t>Построить модель деградационной динамики, связывающую скорость изменения импедансных параметров с режимом эксплуатации, температурой и типом аккумулятора.</w:t>
      </w:r>
    </w:p>
    <w:p w14:paraId="020A9D29" w14:textId="0E50C0EF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метод прогнозирования остаточного ресурса по импедансным признакам, включая линейно-локальные и нелинейные формы прогностических уравнений.</w:t>
      </w:r>
    </w:p>
    <w:p w14:paraId="655254B6" w14:textId="69747A13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C77969">
        <w:rPr>
          <w:rFonts w:ascii="Times New Roman" w:hAnsi="Times New Roman" w:cs="Times New Roman"/>
          <w:sz w:val="28"/>
          <w:szCs w:val="28"/>
        </w:rPr>
        <w:t>Сформировать сокращённый частотный протокол измерения, пригодный для экспресс-диагностики и последующей интеграции в контур BMS.</w:t>
      </w:r>
    </w:p>
    <w:p w14:paraId="423699AE" w14:textId="427E6A00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C77969">
        <w:rPr>
          <w:rFonts w:ascii="Times New Roman" w:hAnsi="Times New Roman" w:cs="Times New Roman"/>
          <w:sz w:val="28"/>
          <w:szCs w:val="28"/>
        </w:rPr>
        <w:t>Провести экспериментальную верификацию разработанных положений на опытной серии NMC, LFP, LTO и Na-ion батарей.</w:t>
      </w:r>
    </w:p>
    <w:p w14:paraId="5BD0A86B" w14:textId="5C7BF6C9" w:rsidR="00C77969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5AC">
        <w:rPr>
          <w:rFonts w:ascii="Times New Roman" w:hAnsi="Times New Roman" w:cs="Times New Roman"/>
          <w:sz w:val="28"/>
          <w:szCs w:val="28"/>
        </w:rPr>
        <w:t>Логика постановки задач исследования может быть представлена как последовательная цепочка перехода от измерения импеданса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35AC">
        <w:rPr>
          <w:rFonts w:ascii="Times New Roman" w:hAnsi="Times New Roman" w:cs="Times New Roman"/>
          <w:sz w:val="28"/>
          <w:szCs w:val="28"/>
        </w:rPr>
        <w:t>идентификации параметров, диагностике состояния, оценке скорости деградации и прогнозу остаточного ресурса.</w:t>
      </w:r>
    </w:p>
    <w:p w14:paraId="6673D038" w14:textId="77777777" w:rsidR="008F35AC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27DFB" w14:textId="3452B42C" w:rsidR="008F35AC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6EE545" wp14:editId="12FB3FCC">
            <wp:extent cx="6119495" cy="2416810"/>
            <wp:effectExtent l="0" t="0" r="0" b="2540"/>
            <wp:docPr id="13471627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0B578" w14:textId="6ECE1B74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lastRenderedPageBreak/>
        <w:t>На рисунке показана последовательность этапов: измерение импеданса, идентификация параметров эквивалентной модели, оценка текущего состояния батареи, определение скорости деградации и, наконец, прогноз остаточного ресурса. Такая схема подчёркивает, 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87D7B">
        <w:rPr>
          <w:rFonts w:ascii="Times New Roman" w:hAnsi="Times New Roman" w:cs="Times New Roman"/>
          <w:sz w:val="28"/>
          <w:szCs w:val="28"/>
        </w:rPr>
        <w:t>ресурсный прогноз не является непосредственным следствием одного измерения, а представляет собой результат многоступенчатой физически интерпретируемой обработки.</w:t>
      </w:r>
    </w:p>
    <w:p w14:paraId="44E80082" w14:textId="7EF0C4FF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формализует структуру диссертационного исследования как единую методологическую цепь. Практическая польза заключается в возможности переноса этой логики в архитектуру программно-аппаратной системы BMS или стендового диагностического комплекса.</w:t>
      </w:r>
    </w:p>
    <w:p w14:paraId="1B32AF8C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F80A4" w14:textId="72B3DFB1" w:rsidR="00887D7B" w:rsidRPr="00C7366C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366C">
        <w:rPr>
          <w:rFonts w:ascii="Times New Roman" w:hAnsi="Times New Roman" w:cs="Times New Roman"/>
          <w:b/>
          <w:bCs/>
          <w:sz w:val="28"/>
          <w:szCs w:val="28"/>
        </w:rPr>
        <w:t>Выводы по главе 1</w:t>
      </w:r>
    </w:p>
    <w:p w14:paraId="48482689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BCD35A" w14:textId="616610D4" w:rsidR="00C7366C" w:rsidRPr="00FD5058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366C">
        <w:rPr>
          <w:rFonts w:ascii="Times New Roman" w:hAnsi="Times New Roman" w:cs="Times New Roman"/>
          <w:sz w:val="28"/>
          <w:szCs w:val="28"/>
        </w:rPr>
        <w:t>В первой главе выполнен системный анализ тяговых аккумуляторных батарей как элементов электротехнического комплекса, рассмотрены механизмы деградации NMC, LFP, LTO и Na-ion систем, проанализированы показатели технического состояния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FD5058" w:rsidRPr="00FD5058">
        <w:rPr>
          <w:rFonts w:ascii="Times New Roman" w:hAnsi="Times New Roman" w:cs="Times New Roman"/>
          <w:sz w:val="28"/>
          <w:szCs w:val="28"/>
        </w:rPr>
        <w:t>, а также показаны диагностические возможности электрохимической импедансной спектроскопии. Установлено, что EIS обеспечивает физически интерпретируемый доступ к внутреннему состоянию батареи и обладает высокой чувствительностью к ранним стадиям деградации, тогда как существующие модели прогноза ресурса либо недостаточно интерпретируемы, либо недостаточно устойчивы в сложных режимах эксплуатации.</w:t>
      </w:r>
    </w:p>
    <w:p w14:paraId="269C2CA9" w14:textId="2C979BCD" w:rsidR="00C7366C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5058">
        <w:rPr>
          <w:rFonts w:ascii="Times New Roman" w:hAnsi="Times New Roman" w:cs="Times New Roman"/>
          <w:sz w:val="28"/>
          <w:szCs w:val="28"/>
        </w:rPr>
        <w:t xml:space="preserve">Основным результатом главы является выявление центрального научного разрыва: отсутствует единая математически строгая и инженерно реализуемая модель перехода от параметров комплексного импеданса тяговой аккумуляторной батареи к оценке её текущего технического состояния, скорости </w:t>
      </w:r>
      <w:r w:rsidRPr="00FD5058">
        <w:rPr>
          <w:rFonts w:ascii="Times New Roman" w:hAnsi="Times New Roman" w:cs="Times New Roman"/>
          <w:sz w:val="28"/>
          <w:szCs w:val="28"/>
        </w:rPr>
        <w:lastRenderedPageBreak/>
        <w:t>деградации и остаточного ресурса в нестационарных режимах эксплуатации. Это обстоятельство определяет направление дальнейшего исследования.</w:t>
      </w:r>
    </w:p>
    <w:p w14:paraId="5DA0CB3C" w14:textId="77777777" w:rsidR="00FD5058" w:rsidRPr="00FD5058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FD5058" w:rsidRPr="00FD5058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xeon_ssd" w:date="2026-05-31T12:35:00Z" w:initials="x">
    <w:p w14:paraId="09A762ED" w14:textId="646F4B8C" w:rsidR="00DB5B26" w:rsidRDefault="00DB5B26">
      <w:pPr>
        <w:pStyle w:val="ae"/>
      </w:pPr>
      <w:r>
        <w:rPr>
          <w:rStyle w:val="ad"/>
        </w:rPr>
        <w:annotationRef/>
      </w:r>
      <w:r>
        <w:t>Надо их где-то расшифровать</w:t>
      </w:r>
    </w:p>
  </w:comment>
  <w:comment w:id="1" w:author="xeon_ssd" w:date="2026-05-31T12:45:00Z" w:initials="x">
    <w:p w14:paraId="39C05803" w14:textId="239D2797" w:rsidR="005C3755" w:rsidRDefault="005C3755">
      <w:pPr>
        <w:pStyle w:val="ae"/>
      </w:pPr>
      <w:r>
        <w:rPr>
          <w:rStyle w:val="ad"/>
        </w:rPr>
        <w:annotationRef/>
      </w:r>
      <w:r>
        <w:t>Нарисовать покрасивее</w:t>
      </w:r>
    </w:p>
  </w:comment>
  <w:comment w:id="2" w:author="xeon_ssd" w:date="2026-05-31T12:52:00Z" w:initials="x">
    <w:p w14:paraId="6B83933A" w14:textId="1DE13026" w:rsidR="0060746B" w:rsidRDefault="0060746B">
      <w:pPr>
        <w:pStyle w:val="ae"/>
      </w:pPr>
      <w:r>
        <w:rPr>
          <w:rStyle w:val="ad"/>
        </w:rPr>
        <w:annotationRef/>
      </w:r>
      <w:r>
        <w:t>Наверное нужно вставить график по реальным данным</w:t>
      </w:r>
    </w:p>
  </w:comment>
  <w:comment w:id="3" w:author="xeon_ssd" w:date="2026-05-31T14:34:00Z" w:initials="x">
    <w:p w14:paraId="2DE87458" w14:textId="7865C7AF" w:rsidR="00BB19A8" w:rsidRDefault="00BB19A8">
      <w:pPr>
        <w:pStyle w:val="ae"/>
      </w:pPr>
      <w:r>
        <w:rPr>
          <w:rStyle w:val="ad"/>
        </w:rPr>
        <w:annotationRef/>
      </w:r>
      <w:r w:rsidRPr="00BB19A8">
        <w:t>интеркаляции — процессе, при котором ионы лития внедряются в атомную структуру материалов, не разрушая её</w:t>
      </w:r>
    </w:p>
  </w:comment>
  <w:comment w:id="4" w:author="Admini" w:date="2026-06-03T09:46:00Z" w:initials="A">
    <w:p w14:paraId="49D7DC3F" w14:textId="73687728" w:rsidR="000B5788" w:rsidRDefault="000B5788">
      <w:pPr>
        <w:pStyle w:val="ae"/>
      </w:pPr>
      <w:r>
        <w:rPr>
          <w:rStyle w:val="ad"/>
        </w:rPr>
        <w:annotationRef/>
      </w:r>
      <w:r>
        <w:t>стоит перефразировать? «системой с высоким ресурсом»</w:t>
      </w:r>
    </w:p>
  </w:comment>
  <w:comment w:id="5" w:author="Admini" w:date="2026-06-03T09:48:00Z" w:initials="A">
    <w:p w14:paraId="09B02F52" w14:textId="3778A415" w:rsidR="000B5788" w:rsidRDefault="000B5788">
      <w:pPr>
        <w:pStyle w:val="ae"/>
      </w:pPr>
      <w:r>
        <w:rPr>
          <w:rStyle w:val="ad"/>
        </w:rPr>
        <w:annotationRef/>
      </w:r>
      <w:r>
        <w:t>надо расписать подробнее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9A762ED" w15:done="0"/>
  <w15:commentEx w15:paraId="39C05803" w15:done="0"/>
  <w15:commentEx w15:paraId="6B83933A" w15:done="0"/>
  <w15:commentEx w15:paraId="2DE87458" w15:done="0"/>
  <w15:commentEx w15:paraId="49D7DC3F" w15:done="0"/>
  <w15:commentEx w15:paraId="09B02F5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EAF4519" w16cex:dateUtc="2026-05-31T05:35:00Z"/>
  <w16cex:commentExtensible w16cex:durableId="6705CF9A" w16cex:dateUtc="2026-05-31T05:45:00Z"/>
  <w16cex:commentExtensible w16cex:durableId="076C328A" w16cex:dateUtc="2026-05-31T05:52:00Z"/>
  <w16cex:commentExtensible w16cex:durableId="59BB083E" w16cex:dateUtc="2026-05-31T07:34:00Z"/>
  <w16cex:commentExtensible w16cex:durableId="7B701174" w16cex:dateUtc="2026-06-03T02:46:00Z"/>
  <w16cex:commentExtensible w16cex:durableId="568099FF" w16cex:dateUtc="2026-06-03T02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9A762ED" w16cid:durableId="0EAF4519"/>
  <w16cid:commentId w16cid:paraId="39C05803" w16cid:durableId="6705CF9A"/>
  <w16cid:commentId w16cid:paraId="6B83933A" w16cid:durableId="076C328A"/>
  <w16cid:commentId w16cid:paraId="2DE87458" w16cid:durableId="59BB083E"/>
  <w16cid:commentId w16cid:paraId="49D7DC3F" w16cid:durableId="7B701174"/>
  <w16cid:commentId w16cid:paraId="09B02F52" w16cid:durableId="568099F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xeon_ssd">
    <w15:presenceInfo w15:providerId="None" w15:userId="xeon_ssd"/>
  </w15:person>
  <w15:person w15:author="Admini">
    <w15:presenceInfo w15:providerId="None" w15:userId="Admini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21643"/>
    <w:rsid w:val="00026C0E"/>
    <w:rsid w:val="00031DF2"/>
    <w:rsid w:val="000325D8"/>
    <w:rsid w:val="00034171"/>
    <w:rsid w:val="000342B1"/>
    <w:rsid w:val="000347E1"/>
    <w:rsid w:val="00061A05"/>
    <w:rsid w:val="0006550F"/>
    <w:rsid w:val="0007376D"/>
    <w:rsid w:val="000737B2"/>
    <w:rsid w:val="00074F0F"/>
    <w:rsid w:val="0008035D"/>
    <w:rsid w:val="000827A2"/>
    <w:rsid w:val="00084189"/>
    <w:rsid w:val="00084EA8"/>
    <w:rsid w:val="00090672"/>
    <w:rsid w:val="00093D8D"/>
    <w:rsid w:val="00094526"/>
    <w:rsid w:val="000A004B"/>
    <w:rsid w:val="000A06AE"/>
    <w:rsid w:val="000A5140"/>
    <w:rsid w:val="000A5FBD"/>
    <w:rsid w:val="000B5788"/>
    <w:rsid w:val="000B7EAC"/>
    <w:rsid w:val="000C45A7"/>
    <w:rsid w:val="000D1017"/>
    <w:rsid w:val="000D55DB"/>
    <w:rsid w:val="000E1575"/>
    <w:rsid w:val="000E50F5"/>
    <w:rsid w:val="000E7EAE"/>
    <w:rsid w:val="000F5501"/>
    <w:rsid w:val="001002CD"/>
    <w:rsid w:val="001016FF"/>
    <w:rsid w:val="00110782"/>
    <w:rsid w:val="00110D50"/>
    <w:rsid w:val="00112725"/>
    <w:rsid w:val="00112792"/>
    <w:rsid w:val="00116F2B"/>
    <w:rsid w:val="00123A52"/>
    <w:rsid w:val="001250BE"/>
    <w:rsid w:val="00126604"/>
    <w:rsid w:val="00126864"/>
    <w:rsid w:val="001304D0"/>
    <w:rsid w:val="00131CCA"/>
    <w:rsid w:val="00140008"/>
    <w:rsid w:val="00141ED6"/>
    <w:rsid w:val="00147027"/>
    <w:rsid w:val="00147162"/>
    <w:rsid w:val="00156A70"/>
    <w:rsid w:val="00156EC4"/>
    <w:rsid w:val="001602D9"/>
    <w:rsid w:val="001614F9"/>
    <w:rsid w:val="00162B8E"/>
    <w:rsid w:val="001759E4"/>
    <w:rsid w:val="00192726"/>
    <w:rsid w:val="00193DC0"/>
    <w:rsid w:val="001A0B8F"/>
    <w:rsid w:val="001A49AA"/>
    <w:rsid w:val="001B3024"/>
    <w:rsid w:val="001B7A97"/>
    <w:rsid w:val="001D7450"/>
    <w:rsid w:val="001F0927"/>
    <w:rsid w:val="00204A17"/>
    <w:rsid w:val="0020557F"/>
    <w:rsid w:val="00206663"/>
    <w:rsid w:val="00206F49"/>
    <w:rsid w:val="00210611"/>
    <w:rsid w:val="002139A3"/>
    <w:rsid w:val="00216404"/>
    <w:rsid w:val="0021675A"/>
    <w:rsid w:val="00222920"/>
    <w:rsid w:val="00223448"/>
    <w:rsid w:val="00234A24"/>
    <w:rsid w:val="002358CD"/>
    <w:rsid w:val="00242C76"/>
    <w:rsid w:val="00245DDD"/>
    <w:rsid w:val="00250E7D"/>
    <w:rsid w:val="002616AB"/>
    <w:rsid w:val="002638C1"/>
    <w:rsid w:val="00264837"/>
    <w:rsid w:val="00277B04"/>
    <w:rsid w:val="00283988"/>
    <w:rsid w:val="0028792F"/>
    <w:rsid w:val="002A4021"/>
    <w:rsid w:val="002A4899"/>
    <w:rsid w:val="002A4D23"/>
    <w:rsid w:val="002A4FF1"/>
    <w:rsid w:val="002A657A"/>
    <w:rsid w:val="002B1D51"/>
    <w:rsid w:val="002B1F3B"/>
    <w:rsid w:val="002B439F"/>
    <w:rsid w:val="002B5968"/>
    <w:rsid w:val="002C18E0"/>
    <w:rsid w:val="002C7B6C"/>
    <w:rsid w:val="002D334A"/>
    <w:rsid w:val="002D41D3"/>
    <w:rsid w:val="002D4A79"/>
    <w:rsid w:val="002D5799"/>
    <w:rsid w:val="002E5720"/>
    <w:rsid w:val="002F0ECC"/>
    <w:rsid w:val="002F2C01"/>
    <w:rsid w:val="003070C4"/>
    <w:rsid w:val="00320211"/>
    <w:rsid w:val="00322F87"/>
    <w:rsid w:val="00325E07"/>
    <w:rsid w:val="00331993"/>
    <w:rsid w:val="00340B36"/>
    <w:rsid w:val="00341ACE"/>
    <w:rsid w:val="003451A7"/>
    <w:rsid w:val="00351285"/>
    <w:rsid w:val="00352611"/>
    <w:rsid w:val="00355915"/>
    <w:rsid w:val="00356165"/>
    <w:rsid w:val="00356877"/>
    <w:rsid w:val="00357E99"/>
    <w:rsid w:val="00361815"/>
    <w:rsid w:val="00363772"/>
    <w:rsid w:val="00371DD5"/>
    <w:rsid w:val="00376127"/>
    <w:rsid w:val="00381AA1"/>
    <w:rsid w:val="003843D7"/>
    <w:rsid w:val="00384BE1"/>
    <w:rsid w:val="00390659"/>
    <w:rsid w:val="003906B2"/>
    <w:rsid w:val="00393D50"/>
    <w:rsid w:val="00394B22"/>
    <w:rsid w:val="00394F03"/>
    <w:rsid w:val="00395A91"/>
    <w:rsid w:val="003A5AEA"/>
    <w:rsid w:val="003A646E"/>
    <w:rsid w:val="003A7725"/>
    <w:rsid w:val="003B6EAE"/>
    <w:rsid w:val="003B7B25"/>
    <w:rsid w:val="003C4AE3"/>
    <w:rsid w:val="003D3875"/>
    <w:rsid w:val="003D52DF"/>
    <w:rsid w:val="003E2E09"/>
    <w:rsid w:val="003E7F28"/>
    <w:rsid w:val="003E7F8F"/>
    <w:rsid w:val="003F74CD"/>
    <w:rsid w:val="004015C2"/>
    <w:rsid w:val="00411245"/>
    <w:rsid w:val="00414374"/>
    <w:rsid w:val="00415E90"/>
    <w:rsid w:val="00416FD2"/>
    <w:rsid w:val="00417535"/>
    <w:rsid w:val="00420211"/>
    <w:rsid w:val="00423027"/>
    <w:rsid w:val="00426939"/>
    <w:rsid w:val="00435449"/>
    <w:rsid w:val="00443C43"/>
    <w:rsid w:val="00445407"/>
    <w:rsid w:val="0044617A"/>
    <w:rsid w:val="00453D55"/>
    <w:rsid w:val="004541DF"/>
    <w:rsid w:val="00462264"/>
    <w:rsid w:val="00473BD3"/>
    <w:rsid w:val="00474A30"/>
    <w:rsid w:val="00475DF7"/>
    <w:rsid w:val="0048460B"/>
    <w:rsid w:val="00486F2C"/>
    <w:rsid w:val="004A40D1"/>
    <w:rsid w:val="004A5C3A"/>
    <w:rsid w:val="004B2EDB"/>
    <w:rsid w:val="004B5BBF"/>
    <w:rsid w:val="004B68AE"/>
    <w:rsid w:val="004C5D10"/>
    <w:rsid w:val="004D0025"/>
    <w:rsid w:val="004D0B2B"/>
    <w:rsid w:val="004D7061"/>
    <w:rsid w:val="004E108D"/>
    <w:rsid w:val="004E73D4"/>
    <w:rsid w:val="005004FB"/>
    <w:rsid w:val="005047D2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2440C"/>
    <w:rsid w:val="00537684"/>
    <w:rsid w:val="00541074"/>
    <w:rsid w:val="00552AA7"/>
    <w:rsid w:val="00561EB4"/>
    <w:rsid w:val="0056443E"/>
    <w:rsid w:val="0056469F"/>
    <w:rsid w:val="00573537"/>
    <w:rsid w:val="00574A9B"/>
    <w:rsid w:val="0057524C"/>
    <w:rsid w:val="005763C3"/>
    <w:rsid w:val="00581049"/>
    <w:rsid w:val="00581551"/>
    <w:rsid w:val="005815A9"/>
    <w:rsid w:val="00592D1B"/>
    <w:rsid w:val="00593C57"/>
    <w:rsid w:val="00596BA8"/>
    <w:rsid w:val="005B6EA7"/>
    <w:rsid w:val="005B7233"/>
    <w:rsid w:val="005C227D"/>
    <w:rsid w:val="005C3755"/>
    <w:rsid w:val="005C5B7F"/>
    <w:rsid w:val="005D1729"/>
    <w:rsid w:val="005D32F1"/>
    <w:rsid w:val="005D61EC"/>
    <w:rsid w:val="005E51FC"/>
    <w:rsid w:val="005F331D"/>
    <w:rsid w:val="00604DBC"/>
    <w:rsid w:val="00607463"/>
    <w:rsid w:val="0060746B"/>
    <w:rsid w:val="006159CC"/>
    <w:rsid w:val="00615E2B"/>
    <w:rsid w:val="00621FAF"/>
    <w:rsid w:val="00622012"/>
    <w:rsid w:val="00623599"/>
    <w:rsid w:val="006241C1"/>
    <w:rsid w:val="00624857"/>
    <w:rsid w:val="006270BF"/>
    <w:rsid w:val="0062724D"/>
    <w:rsid w:val="006317CF"/>
    <w:rsid w:val="00651AA9"/>
    <w:rsid w:val="00651F8E"/>
    <w:rsid w:val="00654960"/>
    <w:rsid w:val="006565E1"/>
    <w:rsid w:val="00664B88"/>
    <w:rsid w:val="00665B75"/>
    <w:rsid w:val="006721FE"/>
    <w:rsid w:val="006765D7"/>
    <w:rsid w:val="006769B4"/>
    <w:rsid w:val="00681A90"/>
    <w:rsid w:val="00681EE6"/>
    <w:rsid w:val="0068274B"/>
    <w:rsid w:val="00683D88"/>
    <w:rsid w:val="00684B83"/>
    <w:rsid w:val="00690F2A"/>
    <w:rsid w:val="006A24C3"/>
    <w:rsid w:val="006A79FB"/>
    <w:rsid w:val="006B4872"/>
    <w:rsid w:val="006B6106"/>
    <w:rsid w:val="006C7EA1"/>
    <w:rsid w:val="006D51C4"/>
    <w:rsid w:val="006D5D13"/>
    <w:rsid w:val="006D6714"/>
    <w:rsid w:val="006D6B85"/>
    <w:rsid w:val="006E30D1"/>
    <w:rsid w:val="006E4AB9"/>
    <w:rsid w:val="006F49B8"/>
    <w:rsid w:val="006F610E"/>
    <w:rsid w:val="00700901"/>
    <w:rsid w:val="007066E1"/>
    <w:rsid w:val="00707496"/>
    <w:rsid w:val="007111AC"/>
    <w:rsid w:val="007147D4"/>
    <w:rsid w:val="00714ABB"/>
    <w:rsid w:val="007154BD"/>
    <w:rsid w:val="00716E16"/>
    <w:rsid w:val="0072389C"/>
    <w:rsid w:val="0072749C"/>
    <w:rsid w:val="0073293F"/>
    <w:rsid w:val="00741AF1"/>
    <w:rsid w:val="007431E4"/>
    <w:rsid w:val="00760A0D"/>
    <w:rsid w:val="007649B5"/>
    <w:rsid w:val="007649EA"/>
    <w:rsid w:val="00764CBB"/>
    <w:rsid w:val="00770FC8"/>
    <w:rsid w:val="00772E97"/>
    <w:rsid w:val="007736E6"/>
    <w:rsid w:val="0078052A"/>
    <w:rsid w:val="007846DD"/>
    <w:rsid w:val="00795D96"/>
    <w:rsid w:val="00796AA0"/>
    <w:rsid w:val="007A1B5F"/>
    <w:rsid w:val="007A32DC"/>
    <w:rsid w:val="007A4BA2"/>
    <w:rsid w:val="007A5477"/>
    <w:rsid w:val="007B2450"/>
    <w:rsid w:val="007B4924"/>
    <w:rsid w:val="007B61E6"/>
    <w:rsid w:val="007C2566"/>
    <w:rsid w:val="007C7DAD"/>
    <w:rsid w:val="007D3272"/>
    <w:rsid w:val="007D40EA"/>
    <w:rsid w:val="007E1114"/>
    <w:rsid w:val="007F76A4"/>
    <w:rsid w:val="00801898"/>
    <w:rsid w:val="00805DD6"/>
    <w:rsid w:val="0080637A"/>
    <w:rsid w:val="00810421"/>
    <w:rsid w:val="00824D26"/>
    <w:rsid w:val="0082599F"/>
    <w:rsid w:val="008262A5"/>
    <w:rsid w:val="00832752"/>
    <w:rsid w:val="008353D2"/>
    <w:rsid w:val="0083645B"/>
    <w:rsid w:val="0084020D"/>
    <w:rsid w:val="00841146"/>
    <w:rsid w:val="00845853"/>
    <w:rsid w:val="00854645"/>
    <w:rsid w:val="00855B00"/>
    <w:rsid w:val="00863A31"/>
    <w:rsid w:val="00865BBC"/>
    <w:rsid w:val="00866F39"/>
    <w:rsid w:val="008733DF"/>
    <w:rsid w:val="0087345C"/>
    <w:rsid w:val="0087489C"/>
    <w:rsid w:val="008776EE"/>
    <w:rsid w:val="008815CB"/>
    <w:rsid w:val="00883ADC"/>
    <w:rsid w:val="00885745"/>
    <w:rsid w:val="00885A97"/>
    <w:rsid w:val="00887D7B"/>
    <w:rsid w:val="00892BEC"/>
    <w:rsid w:val="00895C07"/>
    <w:rsid w:val="008A0B55"/>
    <w:rsid w:val="008A210B"/>
    <w:rsid w:val="008A782A"/>
    <w:rsid w:val="008B2348"/>
    <w:rsid w:val="008B31A9"/>
    <w:rsid w:val="008B66C9"/>
    <w:rsid w:val="008B7B9A"/>
    <w:rsid w:val="008C247C"/>
    <w:rsid w:val="008C2C58"/>
    <w:rsid w:val="008C2FE2"/>
    <w:rsid w:val="008C72D1"/>
    <w:rsid w:val="008D2C3D"/>
    <w:rsid w:val="008D4C53"/>
    <w:rsid w:val="008E3C59"/>
    <w:rsid w:val="008E4359"/>
    <w:rsid w:val="008E4984"/>
    <w:rsid w:val="008E688D"/>
    <w:rsid w:val="008F35AC"/>
    <w:rsid w:val="008F3639"/>
    <w:rsid w:val="008F643C"/>
    <w:rsid w:val="00901DBF"/>
    <w:rsid w:val="00902FA4"/>
    <w:rsid w:val="00903768"/>
    <w:rsid w:val="00904F4D"/>
    <w:rsid w:val="00905695"/>
    <w:rsid w:val="00910019"/>
    <w:rsid w:val="00914F21"/>
    <w:rsid w:val="0091661B"/>
    <w:rsid w:val="00927FAB"/>
    <w:rsid w:val="00930775"/>
    <w:rsid w:val="00931203"/>
    <w:rsid w:val="00932DD5"/>
    <w:rsid w:val="00943D79"/>
    <w:rsid w:val="00944667"/>
    <w:rsid w:val="00947272"/>
    <w:rsid w:val="00947DDC"/>
    <w:rsid w:val="00951116"/>
    <w:rsid w:val="00956A45"/>
    <w:rsid w:val="00960CFC"/>
    <w:rsid w:val="00962AB9"/>
    <w:rsid w:val="009726DE"/>
    <w:rsid w:val="00972CF7"/>
    <w:rsid w:val="009761FB"/>
    <w:rsid w:val="00980327"/>
    <w:rsid w:val="009862F4"/>
    <w:rsid w:val="00987B84"/>
    <w:rsid w:val="00993ACA"/>
    <w:rsid w:val="00995500"/>
    <w:rsid w:val="00996796"/>
    <w:rsid w:val="009A0BF5"/>
    <w:rsid w:val="009B5CC0"/>
    <w:rsid w:val="009C73A4"/>
    <w:rsid w:val="009D7C13"/>
    <w:rsid w:val="009E2D0F"/>
    <w:rsid w:val="00A01B55"/>
    <w:rsid w:val="00A05515"/>
    <w:rsid w:val="00A07748"/>
    <w:rsid w:val="00A1102D"/>
    <w:rsid w:val="00A15C66"/>
    <w:rsid w:val="00A17CD1"/>
    <w:rsid w:val="00A26AE9"/>
    <w:rsid w:val="00A26B7B"/>
    <w:rsid w:val="00A3109E"/>
    <w:rsid w:val="00A3636C"/>
    <w:rsid w:val="00A37019"/>
    <w:rsid w:val="00A41681"/>
    <w:rsid w:val="00A51AB9"/>
    <w:rsid w:val="00A573A9"/>
    <w:rsid w:val="00A64406"/>
    <w:rsid w:val="00A678C9"/>
    <w:rsid w:val="00A719C0"/>
    <w:rsid w:val="00A73453"/>
    <w:rsid w:val="00A76EA8"/>
    <w:rsid w:val="00A7709D"/>
    <w:rsid w:val="00A805C0"/>
    <w:rsid w:val="00A83450"/>
    <w:rsid w:val="00A83912"/>
    <w:rsid w:val="00A83D65"/>
    <w:rsid w:val="00A84028"/>
    <w:rsid w:val="00A849C1"/>
    <w:rsid w:val="00AA580B"/>
    <w:rsid w:val="00AB1175"/>
    <w:rsid w:val="00AB199D"/>
    <w:rsid w:val="00AC04C1"/>
    <w:rsid w:val="00AC37DB"/>
    <w:rsid w:val="00AC57A6"/>
    <w:rsid w:val="00AC6228"/>
    <w:rsid w:val="00AC77B7"/>
    <w:rsid w:val="00AD1B3E"/>
    <w:rsid w:val="00AD1CE9"/>
    <w:rsid w:val="00AD6898"/>
    <w:rsid w:val="00AE27B1"/>
    <w:rsid w:val="00AE48BB"/>
    <w:rsid w:val="00AF1D4F"/>
    <w:rsid w:val="00AF78E0"/>
    <w:rsid w:val="00B021FE"/>
    <w:rsid w:val="00B023A1"/>
    <w:rsid w:val="00B033D7"/>
    <w:rsid w:val="00B13293"/>
    <w:rsid w:val="00B154A1"/>
    <w:rsid w:val="00B22AC9"/>
    <w:rsid w:val="00B240AD"/>
    <w:rsid w:val="00B324F1"/>
    <w:rsid w:val="00B33E3A"/>
    <w:rsid w:val="00B37C45"/>
    <w:rsid w:val="00B4726D"/>
    <w:rsid w:val="00B509A7"/>
    <w:rsid w:val="00B525A8"/>
    <w:rsid w:val="00B56BFE"/>
    <w:rsid w:val="00B63528"/>
    <w:rsid w:val="00B70450"/>
    <w:rsid w:val="00B76180"/>
    <w:rsid w:val="00B77616"/>
    <w:rsid w:val="00B7783E"/>
    <w:rsid w:val="00B93DE5"/>
    <w:rsid w:val="00BA643E"/>
    <w:rsid w:val="00BA7334"/>
    <w:rsid w:val="00BB19A8"/>
    <w:rsid w:val="00BB5F49"/>
    <w:rsid w:val="00BB7242"/>
    <w:rsid w:val="00BD489F"/>
    <w:rsid w:val="00BD58F0"/>
    <w:rsid w:val="00BE43FE"/>
    <w:rsid w:val="00C005C8"/>
    <w:rsid w:val="00C055C8"/>
    <w:rsid w:val="00C136D9"/>
    <w:rsid w:val="00C1563B"/>
    <w:rsid w:val="00C23DEF"/>
    <w:rsid w:val="00C2560F"/>
    <w:rsid w:val="00C26DA0"/>
    <w:rsid w:val="00C321F5"/>
    <w:rsid w:val="00C365AA"/>
    <w:rsid w:val="00C40F1C"/>
    <w:rsid w:val="00C44176"/>
    <w:rsid w:val="00C47C4E"/>
    <w:rsid w:val="00C5658D"/>
    <w:rsid w:val="00C614AC"/>
    <w:rsid w:val="00C7323B"/>
    <w:rsid w:val="00C7366C"/>
    <w:rsid w:val="00C741F8"/>
    <w:rsid w:val="00C7589D"/>
    <w:rsid w:val="00C77969"/>
    <w:rsid w:val="00C77E42"/>
    <w:rsid w:val="00C81F23"/>
    <w:rsid w:val="00C94C2C"/>
    <w:rsid w:val="00CB0D7C"/>
    <w:rsid w:val="00CB155F"/>
    <w:rsid w:val="00CC2ACB"/>
    <w:rsid w:val="00CE291A"/>
    <w:rsid w:val="00CE3413"/>
    <w:rsid w:val="00CF0E33"/>
    <w:rsid w:val="00CF43BE"/>
    <w:rsid w:val="00D01A5E"/>
    <w:rsid w:val="00D02E7C"/>
    <w:rsid w:val="00D03686"/>
    <w:rsid w:val="00D048A9"/>
    <w:rsid w:val="00D05F77"/>
    <w:rsid w:val="00D07C8B"/>
    <w:rsid w:val="00D11DDA"/>
    <w:rsid w:val="00D1756A"/>
    <w:rsid w:val="00D20D67"/>
    <w:rsid w:val="00D21680"/>
    <w:rsid w:val="00D2677E"/>
    <w:rsid w:val="00D322C8"/>
    <w:rsid w:val="00D34426"/>
    <w:rsid w:val="00D400C8"/>
    <w:rsid w:val="00D40774"/>
    <w:rsid w:val="00D4400F"/>
    <w:rsid w:val="00D544EB"/>
    <w:rsid w:val="00D54A84"/>
    <w:rsid w:val="00D56314"/>
    <w:rsid w:val="00D567B3"/>
    <w:rsid w:val="00D70804"/>
    <w:rsid w:val="00D73247"/>
    <w:rsid w:val="00D81E00"/>
    <w:rsid w:val="00D87456"/>
    <w:rsid w:val="00DB4CC8"/>
    <w:rsid w:val="00DB5B26"/>
    <w:rsid w:val="00DB6971"/>
    <w:rsid w:val="00DE0E51"/>
    <w:rsid w:val="00DE1452"/>
    <w:rsid w:val="00DE3D9A"/>
    <w:rsid w:val="00DE758C"/>
    <w:rsid w:val="00DE763F"/>
    <w:rsid w:val="00DF1117"/>
    <w:rsid w:val="00DF4B02"/>
    <w:rsid w:val="00DF4BFB"/>
    <w:rsid w:val="00DF68FB"/>
    <w:rsid w:val="00E004BC"/>
    <w:rsid w:val="00E02636"/>
    <w:rsid w:val="00E042A7"/>
    <w:rsid w:val="00E076D9"/>
    <w:rsid w:val="00E22459"/>
    <w:rsid w:val="00E3731B"/>
    <w:rsid w:val="00E5270D"/>
    <w:rsid w:val="00E5587A"/>
    <w:rsid w:val="00E62D89"/>
    <w:rsid w:val="00E844DC"/>
    <w:rsid w:val="00E847DD"/>
    <w:rsid w:val="00E90F79"/>
    <w:rsid w:val="00E92F2E"/>
    <w:rsid w:val="00E935C6"/>
    <w:rsid w:val="00E94AEE"/>
    <w:rsid w:val="00EA7000"/>
    <w:rsid w:val="00EB1752"/>
    <w:rsid w:val="00EB57CC"/>
    <w:rsid w:val="00EB5BB7"/>
    <w:rsid w:val="00EC0658"/>
    <w:rsid w:val="00EC330C"/>
    <w:rsid w:val="00EC4694"/>
    <w:rsid w:val="00EC53E3"/>
    <w:rsid w:val="00EC5BEB"/>
    <w:rsid w:val="00EC632F"/>
    <w:rsid w:val="00EC633C"/>
    <w:rsid w:val="00EE12F0"/>
    <w:rsid w:val="00EE2612"/>
    <w:rsid w:val="00EE37F5"/>
    <w:rsid w:val="00EE5475"/>
    <w:rsid w:val="00EE6018"/>
    <w:rsid w:val="00EE65D3"/>
    <w:rsid w:val="00EE687B"/>
    <w:rsid w:val="00EF0AEE"/>
    <w:rsid w:val="00F008CD"/>
    <w:rsid w:val="00F00EB5"/>
    <w:rsid w:val="00F04658"/>
    <w:rsid w:val="00F0482E"/>
    <w:rsid w:val="00F071E9"/>
    <w:rsid w:val="00F109F1"/>
    <w:rsid w:val="00F2275A"/>
    <w:rsid w:val="00F2638A"/>
    <w:rsid w:val="00F31616"/>
    <w:rsid w:val="00F3389B"/>
    <w:rsid w:val="00F35630"/>
    <w:rsid w:val="00F439D1"/>
    <w:rsid w:val="00F4518D"/>
    <w:rsid w:val="00F468BF"/>
    <w:rsid w:val="00F50231"/>
    <w:rsid w:val="00F5115E"/>
    <w:rsid w:val="00F548B0"/>
    <w:rsid w:val="00F54D08"/>
    <w:rsid w:val="00F564B9"/>
    <w:rsid w:val="00F63D24"/>
    <w:rsid w:val="00F732E1"/>
    <w:rsid w:val="00F76BC7"/>
    <w:rsid w:val="00F86185"/>
    <w:rsid w:val="00F9231E"/>
    <w:rsid w:val="00F96030"/>
    <w:rsid w:val="00FA5E0A"/>
    <w:rsid w:val="00FB514F"/>
    <w:rsid w:val="00FB5916"/>
    <w:rsid w:val="00FC19D7"/>
    <w:rsid w:val="00FC1FE6"/>
    <w:rsid w:val="00FC253A"/>
    <w:rsid w:val="00FD5058"/>
    <w:rsid w:val="00FD7F1B"/>
    <w:rsid w:val="00FE5D03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DB5B2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B5B2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DB5B2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B5B2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DB5B2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0.png"/><Relationship Id="rId21" Type="http://schemas.openxmlformats.org/officeDocument/2006/relationships/image" Target="media/image7.wmf"/><Relationship Id="rId42" Type="http://schemas.openxmlformats.org/officeDocument/2006/relationships/oleObject" Target="embeddings/oleObject15.bin"/><Relationship Id="rId63" Type="http://schemas.openxmlformats.org/officeDocument/2006/relationships/oleObject" Target="embeddings/oleObject23.bin"/><Relationship Id="rId84" Type="http://schemas.openxmlformats.org/officeDocument/2006/relationships/oleObject" Target="embeddings/oleObject33.bin"/><Relationship Id="rId138" Type="http://schemas.openxmlformats.org/officeDocument/2006/relationships/oleObject" Target="embeddings/oleObject58.bin"/><Relationship Id="rId107" Type="http://schemas.openxmlformats.org/officeDocument/2006/relationships/oleObject" Target="embeddings/oleObject44.bin"/><Relationship Id="rId11" Type="http://schemas.microsoft.com/office/2011/relationships/commentsExtended" Target="commentsExtended.xml"/><Relationship Id="rId32" Type="http://schemas.openxmlformats.org/officeDocument/2006/relationships/oleObject" Target="embeddings/oleObject10.bin"/><Relationship Id="rId53" Type="http://schemas.openxmlformats.org/officeDocument/2006/relationships/image" Target="media/image26.png"/><Relationship Id="rId74" Type="http://schemas.openxmlformats.org/officeDocument/2006/relationships/oleObject" Target="embeddings/oleObject28.bin"/><Relationship Id="rId128" Type="http://schemas.openxmlformats.org/officeDocument/2006/relationships/oleObject" Target="embeddings/oleObject53.bin"/><Relationship Id="rId149" Type="http://schemas.openxmlformats.org/officeDocument/2006/relationships/image" Target="media/image79.wmf"/><Relationship Id="rId5" Type="http://schemas.openxmlformats.org/officeDocument/2006/relationships/webSettings" Target="webSettings.xml"/><Relationship Id="rId95" Type="http://schemas.openxmlformats.org/officeDocument/2006/relationships/oleObject" Target="embeddings/oleObject38.bin"/><Relationship Id="rId22" Type="http://schemas.openxmlformats.org/officeDocument/2006/relationships/oleObject" Target="embeddings/oleObject6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image" Target="media/image23.png"/><Relationship Id="rId64" Type="http://schemas.openxmlformats.org/officeDocument/2006/relationships/image" Target="media/image32.wmf"/><Relationship Id="rId69" Type="http://schemas.openxmlformats.org/officeDocument/2006/relationships/oleObject" Target="embeddings/oleObject26.bin"/><Relationship Id="rId113" Type="http://schemas.openxmlformats.org/officeDocument/2006/relationships/image" Target="media/image58.wmf"/><Relationship Id="rId118" Type="http://schemas.openxmlformats.org/officeDocument/2006/relationships/image" Target="media/image61.png"/><Relationship Id="rId134" Type="http://schemas.openxmlformats.org/officeDocument/2006/relationships/oleObject" Target="embeddings/oleObject56.bin"/><Relationship Id="rId139" Type="http://schemas.openxmlformats.org/officeDocument/2006/relationships/image" Target="media/image72.png"/><Relationship Id="rId80" Type="http://schemas.openxmlformats.org/officeDocument/2006/relationships/oleObject" Target="embeddings/oleObject31.bin"/><Relationship Id="rId85" Type="http://schemas.openxmlformats.org/officeDocument/2006/relationships/image" Target="media/image43.png"/><Relationship Id="rId150" Type="http://schemas.openxmlformats.org/officeDocument/2006/relationships/oleObject" Target="embeddings/oleObject62.bin"/><Relationship Id="rId12" Type="http://schemas.microsoft.com/office/2016/09/relationships/commentsIds" Target="commentsIds.xml"/><Relationship Id="rId17" Type="http://schemas.openxmlformats.org/officeDocument/2006/relationships/oleObject" Target="embeddings/oleObject4.bin"/><Relationship Id="rId33" Type="http://schemas.openxmlformats.org/officeDocument/2006/relationships/image" Target="media/image14.wmf"/><Relationship Id="rId38" Type="http://schemas.openxmlformats.org/officeDocument/2006/relationships/oleObject" Target="embeddings/oleObject13.bin"/><Relationship Id="rId59" Type="http://schemas.openxmlformats.org/officeDocument/2006/relationships/oleObject" Target="embeddings/oleObject21.bin"/><Relationship Id="rId103" Type="http://schemas.openxmlformats.org/officeDocument/2006/relationships/oleObject" Target="embeddings/oleObject42.bin"/><Relationship Id="rId108" Type="http://schemas.openxmlformats.org/officeDocument/2006/relationships/image" Target="media/image55.wmf"/><Relationship Id="rId124" Type="http://schemas.openxmlformats.org/officeDocument/2006/relationships/oleObject" Target="embeddings/oleObject51.bin"/><Relationship Id="rId129" Type="http://schemas.openxmlformats.org/officeDocument/2006/relationships/image" Target="media/image67.wmf"/><Relationship Id="rId54" Type="http://schemas.openxmlformats.org/officeDocument/2006/relationships/image" Target="media/image27.wmf"/><Relationship Id="rId70" Type="http://schemas.openxmlformats.org/officeDocument/2006/relationships/image" Target="media/image35.png"/><Relationship Id="rId75" Type="http://schemas.openxmlformats.org/officeDocument/2006/relationships/image" Target="media/image38.wmf"/><Relationship Id="rId91" Type="http://schemas.openxmlformats.org/officeDocument/2006/relationships/oleObject" Target="embeddings/oleObject36.bin"/><Relationship Id="rId96" Type="http://schemas.openxmlformats.org/officeDocument/2006/relationships/image" Target="media/image49.wmf"/><Relationship Id="rId140" Type="http://schemas.openxmlformats.org/officeDocument/2006/relationships/image" Target="media/image73.png"/><Relationship Id="rId145" Type="http://schemas.openxmlformats.org/officeDocument/2006/relationships/image" Target="media/image77.wmf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23" Type="http://schemas.openxmlformats.org/officeDocument/2006/relationships/image" Target="media/image8.png"/><Relationship Id="rId28" Type="http://schemas.openxmlformats.org/officeDocument/2006/relationships/oleObject" Target="embeddings/oleObject8.bin"/><Relationship Id="rId49" Type="http://schemas.openxmlformats.org/officeDocument/2006/relationships/image" Target="media/image24.wmf"/><Relationship Id="rId114" Type="http://schemas.openxmlformats.org/officeDocument/2006/relationships/oleObject" Target="embeddings/oleObject47.bin"/><Relationship Id="rId119" Type="http://schemas.openxmlformats.org/officeDocument/2006/relationships/image" Target="media/image62.wmf"/><Relationship Id="rId44" Type="http://schemas.openxmlformats.org/officeDocument/2006/relationships/oleObject" Target="embeddings/oleObject16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4.bin"/><Relationship Id="rId81" Type="http://schemas.openxmlformats.org/officeDocument/2006/relationships/image" Target="media/image41.wmf"/><Relationship Id="rId86" Type="http://schemas.openxmlformats.org/officeDocument/2006/relationships/image" Target="media/image44.wmf"/><Relationship Id="rId130" Type="http://schemas.openxmlformats.org/officeDocument/2006/relationships/oleObject" Target="embeddings/oleObject54.bin"/><Relationship Id="rId135" Type="http://schemas.openxmlformats.org/officeDocument/2006/relationships/image" Target="media/image70.wmf"/><Relationship Id="rId151" Type="http://schemas.openxmlformats.org/officeDocument/2006/relationships/image" Target="media/image80.png"/><Relationship Id="rId13" Type="http://schemas.microsoft.com/office/2018/08/relationships/commentsExtensible" Target="commentsExtensible.xml"/><Relationship Id="rId18" Type="http://schemas.openxmlformats.org/officeDocument/2006/relationships/image" Target="media/image5.wmf"/><Relationship Id="rId39" Type="http://schemas.openxmlformats.org/officeDocument/2006/relationships/image" Target="media/image17.wmf"/><Relationship Id="rId109" Type="http://schemas.openxmlformats.org/officeDocument/2006/relationships/oleObject" Target="embeddings/oleObject45.bin"/><Relationship Id="rId34" Type="http://schemas.openxmlformats.org/officeDocument/2006/relationships/oleObject" Target="embeddings/oleObject11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19.bin"/><Relationship Id="rId76" Type="http://schemas.openxmlformats.org/officeDocument/2006/relationships/oleObject" Target="embeddings/oleObject29.bin"/><Relationship Id="rId97" Type="http://schemas.openxmlformats.org/officeDocument/2006/relationships/oleObject" Target="embeddings/oleObject39.bin"/><Relationship Id="rId104" Type="http://schemas.openxmlformats.org/officeDocument/2006/relationships/image" Target="media/image53.wmf"/><Relationship Id="rId120" Type="http://schemas.openxmlformats.org/officeDocument/2006/relationships/oleObject" Target="embeddings/oleObject49.bin"/><Relationship Id="rId125" Type="http://schemas.openxmlformats.org/officeDocument/2006/relationships/image" Target="media/image65.wmf"/><Relationship Id="rId141" Type="http://schemas.openxmlformats.org/officeDocument/2006/relationships/image" Target="media/image74.png"/><Relationship Id="rId146" Type="http://schemas.openxmlformats.org/officeDocument/2006/relationships/oleObject" Target="embeddings/oleObject60.bin"/><Relationship Id="rId7" Type="http://schemas.openxmlformats.org/officeDocument/2006/relationships/oleObject" Target="embeddings/oleObject1.bin"/><Relationship Id="rId71" Type="http://schemas.openxmlformats.org/officeDocument/2006/relationships/image" Target="media/image36.wmf"/><Relationship Id="rId92" Type="http://schemas.openxmlformats.org/officeDocument/2006/relationships/image" Target="media/image47.wmf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image" Target="media/image9.wmf"/><Relationship Id="rId40" Type="http://schemas.openxmlformats.org/officeDocument/2006/relationships/oleObject" Target="embeddings/oleObject14.bin"/><Relationship Id="rId45" Type="http://schemas.openxmlformats.org/officeDocument/2006/relationships/image" Target="media/image20.png"/><Relationship Id="rId66" Type="http://schemas.openxmlformats.org/officeDocument/2006/relationships/image" Target="media/image33.wmf"/><Relationship Id="rId87" Type="http://schemas.openxmlformats.org/officeDocument/2006/relationships/oleObject" Target="embeddings/oleObject34.bin"/><Relationship Id="rId110" Type="http://schemas.openxmlformats.org/officeDocument/2006/relationships/image" Target="media/image56.wmf"/><Relationship Id="rId115" Type="http://schemas.openxmlformats.org/officeDocument/2006/relationships/image" Target="media/image59.wmf"/><Relationship Id="rId131" Type="http://schemas.openxmlformats.org/officeDocument/2006/relationships/image" Target="media/image68.wmf"/><Relationship Id="rId136" Type="http://schemas.openxmlformats.org/officeDocument/2006/relationships/oleObject" Target="embeddings/oleObject57.bin"/><Relationship Id="rId61" Type="http://schemas.openxmlformats.org/officeDocument/2006/relationships/oleObject" Target="embeddings/oleObject22.bin"/><Relationship Id="rId82" Type="http://schemas.openxmlformats.org/officeDocument/2006/relationships/oleObject" Target="embeddings/oleObject32.bin"/><Relationship Id="rId152" Type="http://schemas.openxmlformats.org/officeDocument/2006/relationships/fontTable" Target="fontTable.xml"/><Relationship Id="rId19" Type="http://schemas.openxmlformats.org/officeDocument/2006/relationships/oleObject" Target="embeddings/oleObject5.bin"/><Relationship Id="rId14" Type="http://schemas.openxmlformats.org/officeDocument/2006/relationships/image" Target="media/image3.wmf"/><Relationship Id="rId30" Type="http://schemas.openxmlformats.org/officeDocument/2006/relationships/oleObject" Target="embeddings/oleObject9.bin"/><Relationship Id="rId35" Type="http://schemas.openxmlformats.org/officeDocument/2006/relationships/image" Target="media/image15.wmf"/><Relationship Id="rId56" Type="http://schemas.openxmlformats.org/officeDocument/2006/relationships/image" Target="media/image28.wmf"/><Relationship Id="rId77" Type="http://schemas.openxmlformats.org/officeDocument/2006/relationships/image" Target="media/image39.wmf"/><Relationship Id="rId100" Type="http://schemas.openxmlformats.org/officeDocument/2006/relationships/image" Target="media/image51.wmf"/><Relationship Id="rId105" Type="http://schemas.openxmlformats.org/officeDocument/2006/relationships/oleObject" Target="embeddings/oleObject43.bin"/><Relationship Id="rId126" Type="http://schemas.openxmlformats.org/officeDocument/2006/relationships/oleObject" Target="embeddings/oleObject52.bin"/><Relationship Id="rId147" Type="http://schemas.openxmlformats.org/officeDocument/2006/relationships/image" Target="media/image78.wmf"/><Relationship Id="rId8" Type="http://schemas.openxmlformats.org/officeDocument/2006/relationships/image" Target="media/image2.wmf"/><Relationship Id="rId51" Type="http://schemas.openxmlformats.org/officeDocument/2006/relationships/image" Target="media/image25.wmf"/><Relationship Id="rId72" Type="http://schemas.openxmlformats.org/officeDocument/2006/relationships/oleObject" Target="embeddings/oleObject27.bin"/><Relationship Id="rId93" Type="http://schemas.openxmlformats.org/officeDocument/2006/relationships/oleObject" Target="embeddings/oleObject37.bin"/><Relationship Id="rId98" Type="http://schemas.openxmlformats.org/officeDocument/2006/relationships/image" Target="media/image50.wmf"/><Relationship Id="rId121" Type="http://schemas.openxmlformats.org/officeDocument/2006/relationships/image" Target="media/image63.wmf"/><Relationship Id="rId142" Type="http://schemas.openxmlformats.org/officeDocument/2006/relationships/image" Target="media/image75.png"/><Relationship Id="rId3" Type="http://schemas.openxmlformats.org/officeDocument/2006/relationships/styles" Target="styles.xml"/><Relationship Id="rId25" Type="http://schemas.openxmlformats.org/officeDocument/2006/relationships/oleObject" Target="embeddings/oleObject7.bin"/><Relationship Id="rId46" Type="http://schemas.openxmlformats.org/officeDocument/2006/relationships/image" Target="media/image21.png"/><Relationship Id="rId67" Type="http://schemas.openxmlformats.org/officeDocument/2006/relationships/oleObject" Target="embeddings/oleObject25.bin"/><Relationship Id="rId116" Type="http://schemas.openxmlformats.org/officeDocument/2006/relationships/oleObject" Target="embeddings/oleObject48.bin"/><Relationship Id="rId137" Type="http://schemas.openxmlformats.org/officeDocument/2006/relationships/image" Target="media/image71.wmf"/><Relationship Id="rId20" Type="http://schemas.openxmlformats.org/officeDocument/2006/relationships/image" Target="media/image6.png"/><Relationship Id="rId41" Type="http://schemas.openxmlformats.org/officeDocument/2006/relationships/image" Target="media/image18.wmf"/><Relationship Id="rId62" Type="http://schemas.openxmlformats.org/officeDocument/2006/relationships/image" Target="media/image31.wmf"/><Relationship Id="rId83" Type="http://schemas.openxmlformats.org/officeDocument/2006/relationships/image" Target="media/image42.wmf"/><Relationship Id="rId88" Type="http://schemas.openxmlformats.org/officeDocument/2006/relationships/image" Target="media/image45.wmf"/><Relationship Id="rId111" Type="http://schemas.openxmlformats.org/officeDocument/2006/relationships/oleObject" Target="embeddings/oleObject46.bin"/><Relationship Id="rId132" Type="http://schemas.openxmlformats.org/officeDocument/2006/relationships/oleObject" Target="embeddings/oleObject55.bin"/><Relationship Id="rId153" Type="http://schemas.microsoft.com/office/2011/relationships/people" Target="people.xml"/><Relationship Id="rId15" Type="http://schemas.openxmlformats.org/officeDocument/2006/relationships/oleObject" Target="embeddings/oleObject3.bin"/><Relationship Id="rId36" Type="http://schemas.openxmlformats.org/officeDocument/2006/relationships/oleObject" Target="embeddings/oleObject12.bin"/><Relationship Id="rId57" Type="http://schemas.openxmlformats.org/officeDocument/2006/relationships/oleObject" Target="embeddings/oleObject20.bin"/><Relationship Id="rId106" Type="http://schemas.openxmlformats.org/officeDocument/2006/relationships/image" Target="media/image54.wmf"/><Relationship Id="rId127" Type="http://schemas.openxmlformats.org/officeDocument/2006/relationships/image" Target="media/image66.wmf"/><Relationship Id="rId10" Type="http://schemas.openxmlformats.org/officeDocument/2006/relationships/comments" Target="comments.xml"/><Relationship Id="rId31" Type="http://schemas.openxmlformats.org/officeDocument/2006/relationships/image" Target="media/image13.wmf"/><Relationship Id="rId52" Type="http://schemas.openxmlformats.org/officeDocument/2006/relationships/oleObject" Target="embeddings/oleObject18.bin"/><Relationship Id="rId73" Type="http://schemas.openxmlformats.org/officeDocument/2006/relationships/image" Target="media/image37.wmf"/><Relationship Id="rId78" Type="http://schemas.openxmlformats.org/officeDocument/2006/relationships/oleObject" Target="embeddings/oleObject30.bin"/><Relationship Id="rId94" Type="http://schemas.openxmlformats.org/officeDocument/2006/relationships/image" Target="media/image48.wmf"/><Relationship Id="rId99" Type="http://schemas.openxmlformats.org/officeDocument/2006/relationships/oleObject" Target="embeddings/oleObject40.bin"/><Relationship Id="rId101" Type="http://schemas.openxmlformats.org/officeDocument/2006/relationships/oleObject" Target="embeddings/oleObject41.bin"/><Relationship Id="rId122" Type="http://schemas.openxmlformats.org/officeDocument/2006/relationships/oleObject" Target="embeddings/oleObject50.bin"/><Relationship Id="rId143" Type="http://schemas.openxmlformats.org/officeDocument/2006/relationships/image" Target="media/image76.wmf"/><Relationship Id="rId148" Type="http://schemas.openxmlformats.org/officeDocument/2006/relationships/oleObject" Target="embeddings/oleObject61.bin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26" Type="http://schemas.openxmlformats.org/officeDocument/2006/relationships/image" Target="media/image10.png"/><Relationship Id="rId47" Type="http://schemas.openxmlformats.org/officeDocument/2006/relationships/image" Target="media/image22.png"/><Relationship Id="rId68" Type="http://schemas.openxmlformats.org/officeDocument/2006/relationships/image" Target="media/image34.wmf"/><Relationship Id="rId89" Type="http://schemas.openxmlformats.org/officeDocument/2006/relationships/oleObject" Target="embeddings/oleObject35.bin"/><Relationship Id="rId112" Type="http://schemas.openxmlformats.org/officeDocument/2006/relationships/image" Target="media/image57.png"/><Relationship Id="rId133" Type="http://schemas.openxmlformats.org/officeDocument/2006/relationships/image" Target="media/image69.wmf"/><Relationship Id="rId154" Type="http://schemas.openxmlformats.org/officeDocument/2006/relationships/theme" Target="theme/theme1.xml"/><Relationship Id="rId16" Type="http://schemas.openxmlformats.org/officeDocument/2006/relationships/image" Target="media/image4.wmf"/><Relationship Id="rId37" Type="http://schemas.openxmlformats.org/officeDocument/2006/relationships/image" Target="media/image16.wmf"/><Relationship Id="rId58" Type="http://schemas.openxmlformats.org/officeDocument/2006/relationships/image" Target="media/image29.wmf"/><Relationship Id="rId79" Type="http://schemas.openxmlformats.org/officeDocument/2006/relationships/image" Target="media/image40.wmf"/><Relationship Id="rId102" Type="http://schemas.openxmlformats.org/officeDocument/2006/relationships/image" Target="media/image52.wmf"/><Relationship Id="rId123" Type="http://schemas.openxmlformats.org/officeDocument/2006/relationships/image" Target="media/image64.wmf"/><Relationship Id="rId144" Type="http://schemas.openxmlformats.org/officeDocument/2006/relationships/oleObject" Target="embeddings/oleObject59.bin"/><Relationship Id="rId90" Type="http://schemas.openxmlformats.org/officeDocument/2006/relationships/image" Target="media/image46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1493</TotalTime>
  <Pages>1</Pages>
  <Words>13218</Words>
  <Characters>75348</Characters>
  <Application>Microsoft Office Word</Application>
  <DocSecurity>0</DocSecurity>
  <Lines>627</Lines>
  <Paragraphs>176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Admini</cp:lastModifiedBy>
  <cp:revision>506</cp:revision>
  <dcterms:created xsi:type="dcterms:W3CDTF">2026-03-08T09:35:00Z</dcterms:created>
  <dcterms:modified xsi:type="dcterms:W3CDTF">2026-06-03T04:47:00Z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