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3343" w14:textId="1EB60874" w:rsidR="00320211" w:rsidRPr="00320211" w:rsidRDefault="00DE763F" w:rsidP="00320211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0211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1F79007A" w14:textId="60C272AC" w:rsidR="007E1114" w:rsidRPr="00960CFC" w:rsidRDefault="00DE763F" w:rsidP="00D874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211">
        <w:rPr>
          <w:rFonts w:ascii="Times New Roman" w:hAnsi="Times New Roman" w:cs="Times New Roman"/>
          <w:b/>
          <w:bCs/>
          <w:sz w:val="28"/>
          <w:szCs w:val="28"/>
        </w:rPr>
        <w:t>Актуальность темы исследования</w:t>
      </w:r>
      <w:r w:rsidR="00320211" w:rsidRPr="0032021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DE763F">
        <w:rPr>
          <w:rFonts w:ascii="Times New Roman" w:hAnsi="Times New Roman" w:cs="Times New Roman"/>
          <w:sz w:val="28"/>
          <w:szCs w:val="28"/>
        </w:rPr>
        <w:t xml:space="preserve"> Развитие электрического транспорта является одним из ключевых направлений современной энергетики и транспортной инженерии. Электрификация транспортных систем рассматривается как один из основных инструментов снижения выбросов парниковых газов, повышения энергетической эффективности и обеспечения устойчивого развития транспортной инфраструктуры. В условиях глобального перехода к низкоуглеродной энергетике электрический транспорт становится важным элементом современной энергетической системы. Основным источником энергии в электротранспортных системах являются тяговые аккумуляторные батареи. Они выполняют функции накопления, преобразования и передачи электрической энергии, обеспечивая питание тяговых электродвигателей и вспомогательных систем транспортного средства. В структуре электротехнического комплекса электротранспорта аккумуляторная батарея взаимодействует с силовыми преобразовательными устройствами, системой рекуперации энергии и системой управления батареей (</w:t>
      </w:r>
      <w:proofErr w:type="spellStart"/>
      <w:r w:rsidRPr="00DE763F">
        <w:rPr>
          <w:rFonts w:ascii="Times New Roman" w:hAnsi="Times New Roman" w:cs="Times New Roman"/>
          <w:sz w:val="28"/>
          <w:szCs w:val="28"/>
        </w:rPr>
        <w:t>Battery</w:t>
      </w:r>
      <w:proofErr w:type="spellEnd"/>
      <w:r w:rsidRPr="00DE763F">
        <w:rPr>
          <w:rFonts w:ascii="Times New Roman" w:hAnsi="Times New Roman" w:cs="Times New Roman"/>
          <w:sz w:val="28"/>
          <w:szCs w:val="28"/>
        </w:rPr>
        <w:t xml:space="preserve"> Management System, BMS). С точки зрения теории электротехнических комплексов тяговая аккумуляторная батарея представляет собой сложную физико-химическую систему, параметры которой изменяются во времени под воздействием эксплуатационных факторов. Поведение батареи определяется совокупностью электрических, электрохимических и тепловых процессов, протекающих в электродных материалах и электролите.</w:t>
      </w:r>
    </w:p>
    <w:p w14:paraId="0754A455" w14:textId="553104A7" w:rsidR="00061A05" w:rsidRPr="00960CFC" w:rsidRDefault="00061A05" w:rsidP="00061A05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1A05">
        <w:rPr>
          <w:rFonts w:ascii="Times New Roman" w:hAnsi="Times New Roman" w:cs="Times New Roman"/>
          <w:b/>
          <w:bCs/>
          <w:sz w:val="28"/>
          <w:szCs w:val="28"/>
        </w:rPr>
        <w:t>Структура аккумуляторного элемента</w:t>
      </w:r>
    </w:p>
    <w:p w14:paraId="1B2B1D7E" w14:textId="77777777" w:rsidR="00A41681" w:rsidRPr="00A41681" w:rsidRDefault="00061A05" w:rsidP="00D874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A05">
        <w:rPr>
          <w:rFonts w:ascii="Times New Roman" w:hAnsi="Times New Roman" w:cs="Times New Roman"/>
          <w:sz w:val="28"/>
          <w:szCs w:val="28"/>
        </w:rPr>
        <w:t>Конструктивно аккумуляторная батарея состоит из большого числа электрохимических элементов, соединённых последовательно и параллельно в модули и батарейные блоки. Каждый элемент включает катодный материал, анод, сепаратор и электролит, обеспечивающий перенос ионов между электродами. Рисунок структуры аккумуляторного элемента приведён ниже.</w:t>
      </w:r>
    </w:p>
    <w:p w14:paraId="1E321EB3" w14:textId="4AA888EE" w:rsidR="001304D0" w:rsidRDefault="001304D0" w:rsidP="001304D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36F780F" wp14:editId="3E99EBA0">
            <wp:extent cx="4718685" cy="3752215"/>
            <wp:effectExtent l="0" t="0" r="5715" b="635"/>
            <wp:docPr id="675075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685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88346" w14:textId="206EA9DE" w:rsidR="006E4AB9" w:rsidRDefault="00061A05" w:rsidP="00D8745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1A05">
        <w:rPr>
          <w:rFonts w:ascii="Times New Roman" w:hAnsi="Times New Roman" w:cs="Times New Roman"/>
          <w:sz w:val="28"/>
          <w:szCs w:val="28"/>
        </w:rPr>
        <w:t>Рисунок 1 — Схематическая структура литий-ионного аккумуляторного элемента.</w:t>
      </w:r>
    </w:p>
    <w:p w14:paraId="02971CF2" w14:textId="35553212" w:rsidR="00061A05" w:rsidRDefault="00061A05" w:rsidP="00927F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A05">
        <w:rPr>
          <w:rFonts w:ascii="Times New Roman" w:hAnsi="Times New Roman" w:cs="Times New Roman"/>
          <w:sz w:val="28"/>
          <w:szCs w:val="28"/>
        </w:rPr>
        <w:t>Электродная система включает катодный материал (обычно оксиды переходных металлов), сепаратор и анод на основе графита. Токосъёмники обеспечивают транспорт электронов во внешней электрической цепи.</w:t>
      </w:r>
      <w:r w:rsidR="00D87456">
        <w:rPr>
          <w:rFonts w:ascii="Times New Roman" w:hAnsi="Times New Roman" w:cs="Times New Roman"/>
          <w:sz w:val="28"/>
          <w:szCs w:val="28"/>
        </w:rPr>
        <w:t xml:space="preserve"> </w:t>
      </w:r>
      <w:r w:rsidRPr="00061A05">
        <w:rPr>
          <w:rFonts w:ascii="Times New Roman" w:hAnsi="Times New Roman" w:cs="Times New Roman"/>
          <w:sz w:val="28"/>
          <w:szCs w:val="28"/>
        </w:rPr>
        <w:t>Катод обычно представляет собой оксиды переходных металлов (NMC, NCA) или фосфатные материалы (</w:t>
      </w:r>
      <w:proofErr w:type="spellStart"/>
      <w:r w:rsidRPr="00061A05">
        <w:rPr>
          <w:rFonts w:ascii="Times New Roman" w:hAnsi="Times New Roman" w:cs="Times New Roman"/>
          <w:sz w:val="28"/>
          <w:szCs w:val="28"/>
        </w:rPr>
        <w:t>LiFePO</w:t>
      </w:r>
      <w:proofErr w:type="spellEnd"/>
      <w:r w:rsidRPr="00061A05">
        <w:rPr>
          <w:rFonts w:ascii="Times New Roman" w:hAnsi="Times New Roman" w:cs="Times New Roman"/>
          <w:sz w:val="28"/>
          <w:szCs w:val="28"/>
        </w:rPr>
        <w:t>₄). Анод чаще всего выполнен из графита.</w:t>
      </w:r>
      <w:r w:rsidR="00D87456">
        <w:rPr>
          <w:rFonts w:ascii="Times New Roman" w:hAnsi="Times New Roman" w:cs="Times New Roman"/>
          <w:sz w:val="28"/>
          <w:szCs w:val="28"/>
        </w:rPr>
        <w:t xml:space="preserve"> </w:t>
      </w:r>
      <w:r w:rsidRPr="00061A05">
        <w:rPr>
          <w:rFonts w:ascii="Times New Roman" w:hAnsi="Times New Roman" w:cs="Times New Roman"/>
          <w:sz w:val="28"/>
          <w:szCs w:val="28"/>
        </w:rPr>
        <w:t xml:space="preserve">Сепаратор обеспечивает ионную проводимость электролита и предотвращает короткое замыкание между электродами. Во время заряда ионы лития перемещаются из катода в анод, </w:t>
      </w:r>
      <w:proofErr w:type="spellStart"/>
      <w:r w:rsidRPr="00061A05">
        <w:rPr>
          <w:rFonts w:ascii="Times New Roman" w:hAnsi="Times New Roman" w:cs="Times New Roman"/>
          <w:sz w:val="28"/>
          <w:szCs w:val="28"/>
        </w:rPr>
        <w:t>интеркалируясь</w:t>
      </w:r>
      <w:proofErr w:type="spellEnd"/>
      <w:r w:rsidRPr="00061A05">
        <w:rPr>
          <w:rFonts w:ascii="Times New Roman" w:hAnsi="Times New Roman" w:cs="Times New Roman"/>
          <w:sz w:val="28"/>
          <w:szCs w:val="28"/>
        </w:rPr>
        <w:t xml:space="preserve"> в кристаллическую структуру графита. Во время разряда процесс протекает в обратном направлении.</w:t>
      </w:r>
    </w:p>
    <w:p w14:paraId="464052AE" w14:textId="3A62E706" w:rsidR="002C7B6C" w:rsidRPr="002C7B6C" w:rsidRDefault="002C7B6C" w:rsidP="00927F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B6C">
        <w:rPr>
          <w:rFonts w:ascii="Times New Roman" w:hAnsi="Times New Roman" w:cs="Times New Roman"/>
          <w:b/>
          <w:bCs/>
          <w:sz w:val="28"/>
          <w:szCs w:val="28"/>
        </w:rPr>
        <w:t>Физико-химические основы работы аккумуляторов.</w:t>
      </w:r>
    </w:p>
    <w:p w14:paraId="2AEA7C97" w14:textId="5449E384" w:rsidR="002C7B6C" w:rsidRDefault="002C7B6C" w:rsidP="002C7B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B6C">
        <w:rPr>
          <w:rFonts w:ascii="Times New Roman" w:hAnsi="Times New Roman" w:cs="Times New Roman"/>
          <w:sz w:val="28"/>
          <w:szCs w:val="28"/>
        </w:rPr>
        <w:t>Работа аккумуляторных систем определяется фундаментальными законами электрохимии и термодинамики. Равновесное напряжение электрохимической системы определяется уравнением Нернста:</w:t>
      </w:r>
    </w:p>
    <w:p w14:paraId="45F39BF5" w14:textId="6C1A3317" w:rsidR="002C7B6C" w:rsidRDefault="00960CFC" w:rsidP="002C7B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0CFC">
        <w:rPr>
          <w:rFonts w:ascii="Times New Roman" w:hAnsi="Times New Roman" w:cs="Times New Roman"/>
          <w:position w:val="-30"/>
          <w:sz w:val="28"/>
          <w:szCs w:val="28"/>
          <w:lang w:val="en-US"/>
        </w:rPr>
        <w:object w:dxaOrig="2079" w:dyaOrig="680" w14:anchorId="4F1001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03.9pt;height:33.95pt" o:ole="">
            <v:imagedata r:id="rId6" o:title=""/>
          </v:shape>
          <o:OLEObject Type="Embed" ProgID="Equation.DSMT4" ShapeID="_x0000_i1027" DrawAspect="Content" ObjectID="_1834515479" r:id="rId7"/>
        </w:object>
      </w:r>
    </w:p>
    <w:p w14:paraId="212A8F5C" w14:textId="0FBB197B" w:rsidR="00960CFC" w:rsidRDefault="00960CFC" w:rsidP="002C7B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, где</w:t>
      </w:r>
    </w:p>
    <w:p w14:paraId="392B5626" w14:textId="43951128" w:rsidR="00960CFC" w:rsidRDefault="00960CFC" w:rsidP="002C7B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CFC">
        <w:rPr>
          <w:rFonts w:ascii="Times New Roman" w:hAnsi="Times New Roman" w:cs="Times New Roman"/>
          <w:i/>
          <w:iCs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электродный потенциал;</w:t>
      </w:r>
    </w:p>
    <w:p w14:paraId="57AAEFB0" w14:textId="695D83C5" w:rsidR="00960CFC" w:rsidRDefault="00960CFC" w:rsidP="002C7B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CFC">
        <w:rPr>
          <w:rFonts w:ascii="Times New Roman" w:hAnsi="Times New Roman" w:cs="Times New Roman"/>
          <w:i/>
          <w:iCs/>
          <w:sz w:val="28"/>
          <w:szCs w:val="28"/>
          <w:lang w:val="en-US"/>
        </w:rPr>
        <w:t>E</w:t>
      </w:r>
      <w:r w:rsidRPr="00960CFC">
        <w:rPr>
          <w:rFonts w:ascii="Times New Roman" w:hAnsi="Times New Roman" w:cs="Times New Roman"/>
          <w:i/>
          <w:iCs/>
          <w:sz w:val="28"/>
          <w:szCs w:val="28"/>
          <w:vertAlign w:val="superscript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стандартный потенциал;</w:t>
      </w:r>
    </w:p>
    <w:p w14:paraId="077E7780" w14:textId="3778788B" w:rsidR="00960CFC" w:rsidRDefault="00960CFC" w:rsidP="002C7B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75A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универсальная газовая постоянная;</w:t>
      </w:r>
    </w:p>
    <w:p w14:paraId="7BABAAAC" w14:textId="160CA2EA" w:rsidR="00960CFC" w:rsidRDefault="00960CFC" w:rsidP="002C7B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75A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1675A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1675A">
        <w:rPr>
          <w:rFonts w:ascii="Times New Roman" w:hAnsi="Times New Roman" w:cs="Times New Roman"/>
          <w:sz w:val="28"/>
          <w:szCs w:val="28"/>
        </w:rPr>
        <w:t>абсолютная температура;</w:t>
      </w:r>
    </w:p>
    <w:p w14:paraId="18721A8B" w14:textId="7D802B92" w:rsidR="0021675A" w:rsidRDefault="0021675A" w:rsidP="002C7B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75A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постоянная фарадея</w:t>
      </w:r>
      <w:r w:rsidR="009862F4">
        <w:rPr>
          <w:rFonts w:ascii="Times New Roman" w:hAnsi="Times New Roman" w:cs="Times New Roman"/>
          <w:sz w:val="28"/>
          <w:szCs w:val="28"/>
        </w:rPr>
        <w:t>;</w:t>
      </w:r>
    </w:p>
    <w:p w14:paraId="636BB220" w14:textId="06D8F0A0" w:rsidR="009862F4" w:rsidRDefault="009862F4" w:rsidP="002C7B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862F4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9862F4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ox</w:t>
      </w:r>
      <w:proofErr w:type="spellEnd"/>
      <w:r w:rsidRPr="009862F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proofErr w:type="spellStart"/>
      <w:r w:rsidRPr="009862F4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9862F4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red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активности реагентов.</w:t>
      </w:r>
    </w:p>
    <w:p w14:paraId="3912A85A" w14:textId="65DB61AA" w:rsidR="00914F21" w:rsidRDefault="00914F21" w:rsidP="002C7B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F21">
        <w:rPr>
          <w:rFonts w:ascii="Times New Roman" w:hAnsi="Times New Roman" w:cs="Times New Roman"/>
          <w:sz w:val="28"/>
          <w:szCs w:val="28"/>
        </w:rPr>
        <w:t>Это выражение следует из второго закона термодинамики и связывает электрический потенциал с химическим потенциалом реагентов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406C97" w14:textId="24F31E99" w:rsidR="00914F21" w:rsidRDefault="00914F21" w:rsidP="002C7B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F21">
        <w:rPr>
          <w:rFonts w:ascii="Times New Roman" w:hAnsi="Times New Roman" w:cs="Times New Roman"/>
          <w:sz w:val="28"/>
          <w:szCs w:val="28"/>
        </w:rPr>
        <w:t>Скорость электрохимических реакций на поверхности электродов описывается уравнением Батлера–</w:t>
      </w:r>
      <w:proofErr w:type="spellStart"/>
      <w:r w:rsidRPr="00914F21">
        <w:rPr>
          <w:rFonts w:ascii="Times New Roman" w:hAnsi="Times New Roman" w:cs="Times New Roman"/>
          <w:sz w:val="28"/>
          <w:szCs w:val="28"/>
        </w:rPr>
        <w:t>Фольмера</w:t>
      </w:r>
      <w:proofErr w:type="spellEnd"/>
      <w:r w:rsidRPr="00914F21">
        <w:rPr>
          <w:rFonts w:ascii="Times New Roman" w:hAnsi="Times New Roman" w:cs="Times New Roman"/>
          <w:sz w:val="28"/>
          <w:szCs w:val="28"/>
        </w:rPr>
        <w:t>:</w:t>
      </w:r>
    </w:p>
    <w:p w14:paraId="2A393774" w14:textId="57C220A9" w:rsidR="00541074" w:rsidRDefault="001F0927" w:rsidP="002C7B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0927">
        <w:rPr>
          <w:rFonts w:ascii="Times New Roman" w:hAnsi="Times New Roman" w:cs="Times New Roman"/>
          <w:position w:val="-30"/>
          <w:sz w:val="28"/>
          <w:szCs w:val="28"/>
        </w:rPr>
        <w:object w:dxaOrig="3480" w:dyaOrig="720" w14:anchorId="7F742803">
          <v:shape id="_x0000_i1030" type="#_x0000_t75" style="width:173.9pt;height:36pt" o:ole="">
            <v:imagedata r:id="rId8" o:title=""/>
          </v:shape>
          <o:OLEObject Type="Embed" ProgID="Equation.DSMT4" ShapeID="_x0000_i1030" DrawAspect="Content" ObjectID="_1834515480" r:id="rId9"/>
        </w:object>
      </w:r>
    </w:p>
    <w:p w14:paraId="3FCC3902" w14:textId="69FF9194" w:rsidR="001F0927" w:rsidRDefault="000A004B" w:rsidP="002C7B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, где</w:t>
      </w:r>
    </w:p>
    <w:p w14:paraId="442CA6FC" w14:textId="6A2B3281" w:rsidR="000A004B" w:rsidRDefault="000A004B" w:rsidP="002C7B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004B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плотность тока;</w:t>
      </w:r>
    </w:p>
    <w:p w14:paraId="3C94EB2E" w14:textId="1AD78D2E" w:rsidR="000A004B" w:rsidRDefault="00C005C8" w:rsidP="002C7B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5BBF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4B5BBF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C005C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обменный ток реакции;</w:t>
      </w:r>
    </w:p>
    <w:p w14:paraId="45A8529F" w14:textId="783FF2D4" w:rsidR="00C005C8" w:rsidRDefault="00C005C8" w:rsidP="002C7B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BBF">
        <w:rPr>
          <w:rFonts w:ascii="Times New Roman" w:hAnsi="Times New Roman" w:cs="Times New Roman"/>
          <w:i/>
          <w:iCs/>
          <w:sz w:val="28"/>
          <w:szCs w:val="28"/>
        </w:rPr>
        <w:t>η</w:t>
      </w:r>
      <w:r>
        <w:rPr>
          <w:rFonts w:ascii="Times New Roman" w:hAnsi="Times New Roman" w:cs="Times New Roman"/>
          <w:sz w:val="28"/>
          <w:szCs w:val="28"/>
        </w:rPr>
        <w:t xml:space="preserve"> – перенапряжение.</w:t>
      </w:r>
    </w:p>
    <w:p w14:paraId="4A28AF1D" w14:textId="54EE2D40" w:rsidR="00C005C8" w:rsidRDefault="00C005C8" w:rsidP="002C7B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05C8">
        <w:rPr>
          <w:rFonts w:ascii="Times New Roman" w:hAnsi="Times New Roman" w:cs="Times New Roman"/>
          <w:sz w:val="28"/>
          <w:szCs w:val="28"/>
        </w:rPr>
        <w:t>При малых перенапряжениях данное выражение можно линеаризовать, что приводит к определению сопротивления переноса заряда:</w:t>
      </w:r>
    </w:p>
    <w:p w14:paraId="46443739" w14:textId="4448DDE0" w:rsidR="00C005C8" w:rsidRDefault="00CE3413" w:rsidP="002C7B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3413">
        <w:rPr>
          <w:rFonts w:ascii="Times New Roman" w:hAnsi="Times New Roman" w:cs="Times New Roman"/>
          <w:position w:val="-30"/>
          <w:sz w:val="28"/>
          <w:szCs w:val="28"/>
        </w:rPr>
        <w:object w:dxaOrig="960" w:dyaOrig="680" w14:anchorId="4F2308DC">
          <v:shape id="_x0000_i1033" type="#_x0000_t75" style="width:48.25pt;height:33.95pt" o:ole="">
            <v:imagedata r:id="rId10" o:title=""/>
          </v:shape>
          <o:OLEObject Type="Embed" ProgID="Equation.DSMT4" ShapeID="_x0000_i1033" DrawAspect="Content" ObjectID="_1834515481" r:id="rId11"/>
        </w:object>
      </w:r>
    </w:p>
    <w:p w14:paraId="290D40D8" w14:textId="09A915DE" w:rsidR="00CE3413" w:rsidRDefault="00CE3413" w:rsidP="002C7B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3413">
        <w:rPr>
          <w:rFonts w:ascii="Times New Roman" w:hAnsi="Times New Roman" w:cs="Times New Roman"/>
          <w:sz w:val="28"/>
          <w:szCs w:val="28"/>
        </w:rPr>
        <w:t>Таким образом, сопротивление переноса заряда обратно пропорционально обменному току электрохимической реакции.</w:t>
      </w:r>
    </w:p>
    <w:p w14:paraId="483DC76C" w14:textId="3902F626" w:rsidR="00CE3413" w:rsidRDefault="00DF1117" w:rsidP="002C7B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1117">
        <w:rPr>
          <w:rFonts w:ascii="Times New Roman" w:hAnsi="Times New Roman" w:cs="Times New Roman"/>
          <w:sz w:val="28"/>
          <w:szCs w:val="28"/>
        </w:rPr>
        <w:lastRenderedPageBreak/>
        <w:t xml:space="preserve">Перенос ионов внутри активных материалов электродов описывается вторым законом </w:t>
      </w:r>
      <w:proofErr w:type="spellStart"/>
      <w:r w:rsidRPr="00DF1117">
        <w:rPr>
          <w:rFonts w:ascii="Times New Roman" w:hAnsi="Times New Roman" w:cs="Times New Roman"/>
          <w:sz w:val="28"/>
          <w:szCs w:val="28"/>
        </w:rPr>
        <w:t>Фика</w:t>
      </w:r>
      <w:proofErr w:type="spellEnd"/>
      <w:r w:rsidRPr="00DF1117">
        <w:rPr>
          <w:rFonts w:ascii="Times New Roman" w:hAnsi="Times New Roman" w:cs="Times New Roman"/>
          <w:sz w:val="28"/>
          <w:szCs w:val="28"/>
        </w:rPr>
        <w:t>:</w:t>
      </w:r>
    </w:p>
    <w:p w14:paraId="0E4E28DD" w14:textId="120AE3F2" w:rsidR="00DF1117" w:rsidRDefault="00474A30" w:rsidP="002C7B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4A30">
        <w:rPr>
          <w:rFonts w:ascii="Times New Roman" w:hAnsi="Times New Roman" w:cs="Times New Roman"/>
          <w:position w:val="-24"/>
          <w:sz w:val="28"/>
          <w:szCs w:val="28"/>
          <w:lang w:val="en-US"/>
        </w:rPr>
        <w:object w:dxaOrig="1280" w:dyaOrig="660" w14:anchorId="149D3A1E">
          <v:shape id="_x0000_i1036" type="#_x0000_t75" style="width:63.85pt;height:33.3pt" o:ole="">
            <v:imagedata r:id="rId12" o:title=""/>
          </v:shape>
          <o:OLEObject Type="Embed" ProgID="Equation.DSMT4" ShapeID="_x0000_i1036" DrawAspect="Content" ObjectID="_1834515482" r:id="rId13"/>
        </w:object>
      </w:r>
    </w:p>
    <w:p w14:paraId="52E65629" w14:textId="395641A4" w:rsidR="00474A30" w:rsidRDefault="009E2D0F" w:rsidP="002C7B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, где</w:t>
      </w:r>
    </w:p>
    <w:p w14:paraId="34971F34" w14:textId="0467ECA1" w:rsidR="009E2D0F" w:rsidRDefault="009E2D0F" w:rsidP="002C7B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– концентрация ионов;</w:t>
      </w:r>
    </w:p>
    <w:p w14:paraId="3076D6E3" w14:textId="2F83CBD1" w:rsidR="009E2D0F" w:rsidRDefault="009E2D0F" w:rsidP="002C7B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E2D0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коэффициент диффузии.</w:t>
      </w:r>
    </w:p>
    <w:p w14:paraId="19950B82" w14:textId="287D4F80" w:rsidR="009E2D0F" w:rsidRPr="009E2D0F" w:rsidRDefault="009E2D0F" w:rsidP="002C7B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2D0F">
        <w:rPr>
          <w:rFonts w:ascii="Times New Roman" w:hAnsi="Times New Roman" w:cs="Times New Roman"/>
          <w:sz w:val="28"/>
          <w:szCs w:val="28"/>
        </w:rPr>
        <w:t>Диффузионные процессы приводят к появлению характерной частотной зависимости импеданса, известной как импеданс Варбурга.</w:t>
      </w:r>
    </w:p>
    <w:sectPr w:rsidR="009E2D0F" w:rsidRPr="009E2D0F" w:rsidSect="00F50231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ED6"/>
    <w:rsid w:val="00061A05"/>
    <w:rsid w:val="000A004B"/>
    <w:rsid w:val="00110D50"/>
    <w:rsid w:val="001304D0"/>
    <w:rsid w:val="00141ED6"/>
    <w:rsid w:val="001F0927"/>
    <w:rsid w:val="0021675A"/>
    <w:rsid w:val="002C7B6C"/>
    <w:rsid w:val="00320211"/>
    <w:rsid w:val="00474A30"/>
    <w:rsid w:val="004B5BBF"/>
    <w:rsid w:val="004D7061"/>
    <w:rsid w:val="00541074"/>
    <w:rsid w:val="005C227D"/>
    <w:rsid w:val="006E4AB9"/>
    <w:rsid w:val="007E1114"/>
    <w:rsid w:val="008C72D1"/>
    <w:rsid w:val="008E4359"/>
    <w:rsid w:val="00914F21"/>
    <w:rsid w:val="00927FAB"/>
    <w:rsid w:val="00960CFC"/>
    <w:rsid w:val="009862F4"/>
    <w:rsid w:val="009E2D0F"/>
    <w:rsid w:val="00A41681"/>
    <w:rsid w:val="00B154A1"/>
    <w:rsid w:val="00C005C8"/>
    <w:rsid w:val="00C321F5"/>
    <w:rsid w:val="00CE3413"/>
    <w:rsid w:val="00D048A9"/>
    <w:rsid w:val="00D87456"/>
    <w:rsid w:val="00DE763F"/>
    <w:rsid w:val="00DF1117"/>
    <w:rsid w:val="00EE37F5"/>
    <w:rsid w:val="00F5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79A73"/>
  <w15:chartTrackingRefBased/>
  <w15:docId w15:val="{66F8737A-7C42-4786-A978-0E7F80DA4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1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1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1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1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1E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1E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1E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1E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1E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1E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1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1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1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1E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1E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1E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1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1E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1E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C4E44-0375-4656-80F3-C58AF9F21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4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xeon_ssd</dc:creator>
  <cp:keywords/>
  <dc:description/>
  <cp:lastModifiedBy>xeon_ssd</cp:lastModifiedBy>
  <cp:revision>28</cp:revision>
  <dcterms:created xsi:type="dcterms:W3CDTF">2026-03-08T09:35:00Z</dcterms:created>
  <dcterms:modified xsi:type="dcterms:W3CDTF">2026-03-08T15:51:00Z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