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33343" w14:textId="5A1103CB" w:rsidR="00320211" w:rsidRPr="005B7233" w:rsidRDefault="00B023A1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ГЛАВА 1</w:t>
      </w:r>
    </w:p>
    <w:p w14:paraId="01422AB9" w14:textId="40309947" w:rsidR="00B023A1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Современное состояние методов диагностики и прогнозирования ресурса тяговых аккумуляторных батарей</w:t>
      </w:r>
    </w:p>
    <w:p w14:paraId="28BB381C" w14:textId="77777777" w:rsidR="005B7233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60E6A7" w14:textId="5755B741" w:rsidR="005B7233" w:rsidRPr="00AC77B7" w:rsidRDefault="00AC77B7" w:rsidP="00AC77B7">
      <w:pPr>
        <w:spacing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77B7">
        <w:rPr>
          <w:rFonts w:ascii="Times New Roman" w:hAnsi="Times New Roman" w:cs="Times New Roman"/>
          <w:b/>
          <w:bCs/>
          <w:sz w:val="28"/>
          <w:szCs w:val="28"/>
        </w:rPr>
        <w:t xml:space="preserve">1.1 </w:t>
      </w:r>
      <w:r w:rsidR="005B7233" w:rsidRPr="00AC77B7">
        <w:rPr>
          <w:rFonts w:ascii="Times New Roman" w:hAnsi="Times New Roman" w:cs="Times New Roman"/>
          <w:b/>
          <w:bCs/>
          <w:sz w:val="28"/>
          <w:szCs w:val="28"/>
        </w:rPr>
        <w:t>Тяговые аккумуляторные батареи электротранспорта как элемент электротехнического комплекса</w:t>
      </w:r>
    </w:p>
    <w:p w14:paraId="34667D8D" w14:textId="77777777" w:rsidR="00CC2ACB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9356BD" w14:textId="1EED24EE" w:rsidR="005B7233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2ACB">
        <w:rPr>
          <w:rFonts w:ascii="Times New Roman" w:hAnsi="Times New Roman" w:cs="Times New Roman"/>
          <w:sz w:val="28"/>
          <w:szCs w:val="28"/>
        </w:rPr>
        <w:t xml:space="preserve">Тяговая аккумуляторная батарея электротранспорта представляет собой функционально интегрированный элемент электротехнического комплекса, определяющий энергетические, динамические, тепловые свойства транспортной системы </w:t>
      </w:r>
      <w:r w:rsidR="00810421" w:rsidRPr="00810421">
        <w:rPr>
          <w:rFonts w:ascii="Times New Roman" w:hAnsi="Times New Roman" w:cs="Times New Roman"/>
          <w:sz w:val="28"/>
          <w:szCs w:val="28"/>
          <w:highlight w:val="green"/>
        </w:rPr>
        <w:t>и её надёжность</w:t>
      </w:r>
      <w:r w:rsidR="00810421">
        <w:rPr>
          <w:rFonts w:ascii="Times New Roman" w:hAnsi="Times New Roman" w:cs="Times New Roman"/>
          <w:sz w:val="28"/>
          <w:szCs w:val="28"/>
        </w:rPr>
        <w:t xml:space="preserve"> </w:t>
      </w:r>
      <w:r w:rsidRPr="00CC2ACB">
        <w:rPr>
          <w:rFonts w:ascii="Times New Roman" w:hAnsi="Times New Roman" w:cs="Times New Roman"/>
          <w:sz w:val="28"/>
          <w:szCs w:val="28"/>
        </w:rPr>
        <w:t xml:space="preserve">в целом. В рассматриваемой постановке батарея трактуется как многомасштабная </w:t>
      </w:r>
      <w:r w:rsidRPr="00A3636C">
        <w:rPr>
          <w:rFonts w:ascii="Times New Roman" w:hAnsi="Times New Roman" w:cs="Times New Roman"/>
          <w:sz w:val="28"/>
          <w:szCs w:val="28"/>
          <w:highlight w:val="yellow"/>
        </w:rPr>
        <w:t>электрохими</w:t>
      </w:r>
      <w:r w:rsidR="00810421">
        <w:rPr>
          <w:rFonts w:ascii="Times New Roman" w:hAnsi="Times New Roman" w:cs="Times New Roman"/>
          <w:sz w:val="28"/>
          <w:szCs w:val="28"/>
          <w:highlight w:val="yellow"/>
        </w:rPr>
        <w:t xml:space="preserve">ческая и </w:t>
      </w:r>
      <w:r w:rsidRPr="00A3636C">
        <w:rPr>
          <w:rFonts w:ascii="Times New Roman" w:hAnsi="Times New Roman" w:cs="Times New Roman"/>
          <w:sz w:val="28"/>
          <w:szCs w:val="28"/>
          <w:highlight w:val="yellow"/>
        </w:rPr>
        <w:t>электротехническая</w:t>
      </w:r>
      <w:r w:rsidRPr="00CC2ACB">
        <w:rPr>
          <w:rFonts w:ascii="Times New Roman" w:hAnsi="Times New Roman" w:cs="Times New Roman"/>
          <w:sz w:val="28"/>
          <w:szCs w:val="28"/>
        </w:rPr>
        <w:t xml:space="preserve"> система</w:t>
      </w:r>
      <w:r w:rsidR="00810421">
        <w:rPr>
          <w:rFonts w:ascii="Times New Roman" w:hAnsi="Times New Roman" w:cs="Times New Roman"/>
          <w:sz w:val="28"/>
          <w:szCs w:val="28"/>
        </w:rPr>
        <w:t xml:space="preserve">, </w:t>
      </w:r>
      <w:r w:rsidR="00810421" w:rsidRPr="00210611">
        <w:rPr>
          <w:rFonts w:ascii="Times New Roman" w:hAnsi="Times New Roman" w:cs="Times New Roman"/>
          <w:sz w:val="28"/>
          <w:szCs w:val="28"/>
          <w:highlight w:val="green"/>
        </w:rPr>
        <w:t>а не сводится к простому эквивалентному источнику ЭДС с внутренним сопротивлением</w:t>
      </w:r>
      <w:r w:rsidR="00210611">
        <w:rPr>
          <w:rFonts w:ascii="Times New Roman" w:hAnsi="Times New Roman" w:cs="Times New Roman"/>
          <w:sz w:val="28"/>
          <w:szCs w:val="28"/>
        </w:rPr>
        <w:t>. Она</w:t>
      </w:r>
      <w:r w:rsidRPr="00CC2ACB">
        <w:rPr>
          <w:rFonts w:ascii="Times New Roman" w:hAnsi="Times New Roman" w:cs="Times New Roman"/>
          <w:sz w:val="28"/>
          <w:szCs w:val="28"/>
        </w:rPr>
        <w:t xml:space="preserve"> взаимодейству</w:t>
      </w:r>
      <w:r w:rsidR="00210611">
        <w:rPr>
          <w:rFonts w:ascii="Times New Roman" w:hAnsi="Times New Roman" w:cs="Times New Roman"/>
          <w:sz w:val="28"/>
          <w:szCs w:val="28"/>
        </w:rPr>
        <w:t>ет</w:t>
      </w:r>
      <w:r w:rsidRPr="00CC2ACB">
        <w:rPr>
          <w:rFonts w:ascii="Times New Roman" w:hAnsi="Times New Roman" w:cs="Times New Roman"/>
          <w:sz w:val="28"/>
          <w:szCs w:val="28"/>
        </w:rPr>
        <w:t xml:space="preserve"> с системой управления батареей, силовым преобразователем, тяговым электродвигателем, контуром рекуперации энергии и тепловым контуром. Именно такой подход является принципиальным для дальнейшего перехода от диагностики к прогнозированию остаточного ресурса на основе анализа комплексного импеданса в нестационарных режимах эксплуатации.</w:t>
      </w:r>
    </w:p>
    <w:p w14:paraId="01C36104" w14:textId="146E25DD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49C">
        <w:rPr>
          <w:rFonts w:ascii="Times New Roman" w:hAnsi="Times New Roman" w:cs="Times New Roman"/>
          <w:sz w:val="28"/>
          <w:szCs w:val="28"/>
        </w:rPr>
        <w:t>С позиций теории электротехнических комплексов состояние тяговой батареи должно описываться не одним скалярным параметром, а совокупностью взаимосвязанных переменных, отражающих электрическое, тепловое и деградационное состояние. В общем виде напряжение батареи в динамическом режиме может быть представлено как</w:t>
      </w:r>
    </w:p>
    <w:p w14:paraId="36ABD8CD" w14:textId="77777777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CF9E50" w14:textId="18C6C893" w:rsidR="0072749C" w:rsidRP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6FD2">
        <w:rPr>
          <w:rFonts w:ascii="Times New Roman" w:hAnsi="Times New Roman" w:cs="Times New Roman"/>
          <w:position w:val="-14"/>
          <w:sz w:val="28"/>
          <w:szCs w:val="28"/>
        </w:rPr>
        <w:object w:dxaOrig="5300" w:dyaOrig="400" w14:anchorId="51D087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64.85pt;height:20.65pt" o:ole="">
            <v:imagedata r:id="rId6" o:title=""/>
          </v:shape>
          <o:OLEObject Type="Embed" ProgID="Equation.DSMT4" ShapeID="_x0000_i1025" DrawAspect="Content" ObjectID="_1841986588" r:id="rId7"/>
        </w:object>
      </w:r>
    </w:p>
    <w:p w14:paraId="2C2EE9BF" w14:textId="34984919" w:rsidR="0072749C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168E604C" w14:textId="0C7F575B" w:rsid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6FD2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E</w:t>
      </w:r>
      <w:r w:rsidRPr="00416FD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eq</w:t>
      </w:r>
      <w:r w:rsidR="00D4077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D40774" w:rsidRPr="00D40774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D4077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D4077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равновесное напряжение;</w:t>
      </w:r>
    </w:p>
    <w:p w14:paraId="1CF970B1" w14:textId="2AE453B2" w:rsidR="00416FD2" w:rsidRDefault="00D4077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9C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719C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A719C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омическое сопротивление токосъёмников</w:t>
      </w:r>
      <w:r w:rsidR="00A719C0">
        <w:rPr>
          <w:rFonts w:ascii="Times New Roman" w:hAnsi="Times New Roman" w:cs="Times New Roman"/>
          <w:sz w:val="28"/>
          <w:szCs w:val="28"/>
        </w:rPr>
        <w:t xml:space="preserve">, контактов и </w:t>
      </w:r>
      <w:r w:rsidR="00A719C0" w:rsidRPr="00A719C0">
        <w:rPr>
          <w:rFonts w:ascii="Times New Roman" w:hAnsi="Times New Roman" w:cs="Times New Roman"/>
          <w:sz w:val="28"/>
          <w:szCs w:val="28"/>
          <w:highlight w:val="yellow"/>
        </w:rPr>
        <w:t>электролита</w:t>
      </w:r>
      <w:r w:rsidR="00A719C0">
        <w:rPr>
          <w:rFonts w:ascii="Times New Roman" w:hAnsi="Times New Roman" w:cs="Times New Roman"/>
          <w:sz w:val="28"/>
          <w:szCs w:val="28"/>
        </w:rPr>
        <w:t>;</w:t>
      </w:r>
    </w:p>
    <w:p w14:paraId="7E068C68" w14:textId="6A508592" w:rsidR="00A719C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перенапряжение, связанное с процессом переноса заряда;</w:t>
      </w:r>
    </w:p>
    <w:p w14:paraId="4624B926" w14:textId="35A45667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>диффузионная составляющая перенапряжения;</w:t>
      </w:r>
    </w:p>
    <w:p w14:paraId="3F23C9E7" w14:textId="4869D931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onc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 w:rsidRPr="00C75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концентрационная составляющая.</w:t>
      </w:r>
    </w:p>
    <w:p w14:paraId="5B02B15E" w14:textId="00EB75B1" w:rsidR="00995500" w:rsidRPr="00995500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Данное соотношение является прямым следствием обобщённого баланса потенциалов в электрохимической системе. Его применение обосновано тем, что при работе тяговой батареи суммарное напряжение на клеммах формируется не только термодинамически равновесной ЭДС, но и потерями различной физической природы. Для задач диссертации это принципиально важно, поскольку параметры деградации отражаются не в одном интегральном сопротивлении, а в изменении структуры указанных слагаемых.</w:t>
      </w:r>
    </w:p>
    <w:p w14:paraId="0CC6FC0B" w14:textId="15F46AFD" w:rsidR="00416FD2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Состояние заряда батареи определяется законом сохранения электрического заряда:</w:t>
      </w:r>
    </w:p>
    <w:p w14:paraId="72F639AF" w14:textId="77777777" w:rsidR="00D56314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E40118" w14:textId="52A9B14D" w:rsidR="00D56314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37B2">
        <w:rPr>
          <w:rFonts w:ascii="Times New Roman" w:hAnsi="Times New Roman" w:cs="Times New Roman"/>
          <w:position w:val="-30"/>
          <w:sz w:val="28"/>
          <w:szCs w:val="28"/>
        </w:rPr>
        <w:object w:dxaOrig="3159" w:dyaOrig="680" w14:anchorId="4128C517">
          <v:shape id="_x0000_i1026" type="#_x0000_t75" style="width:157.75pt;height:33.8pt" o:ole="">
            <v:imagedata r:id="rId8" o:title=""/>
          </v:shape>
          <o:OLEObject Type="Embed" ProgID="Equation.DSMT4" ShapeID="_x0000_i1026" DrawAspect="Content" ObjectID="_1841986589" r:id="rId9"/>
        </w:object>
      </w:r>
    </w:p>
    <w:p w14:paraId="52AB0A51" w14:textId="7777777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D4EC669" w14:textId="1AD6D4A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6DA41FCE" w14:textId="512AB75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номинальная ёмкость батареи.</w:t>
      </w:r>
    </w:p>
    <w:p w14:paraId="162FC05C" w14:textId="2441CE6A" w:rsidR="000737B2" w:rsidRPr="00EE12F0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7B2">
        <w:rPr>
          <w:rFonts w:ascii="Times New Roman" w:hAnsi="Times New Roman" w:cs="Times New Roman"/>
          <w:sz w:val="28"/>
          <w:szCs w:val="28"/>
        </w:rPr>
        <w:t>Эта формула выводится из интегральной формы уравнения непрерывности заряда и лежит в основе кулоновского счёта. Однако для тяговых батарей её практическая применимость ограничена тем, что величина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>фактически становится функцией деградации, а следовательно, прямая интеграция тока без учёта старения накапливает систематическую ошибку.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 xml:space="preserve">По этой причине в современных задачах надёжности и ресурсного сопровождения батарей одной </w:t>
      </w:r>
      <w:r w:rsidR="008A0B55" w:rsidRPr="008A0B55">
        <w:rPr>
          <w:rFonts w:ascii="Times New Roman" w:hAnsi="Times New Roman" w:cs="Times New Roman"/>
          <w:sz w:val="28"/>
          <w:szCs w:val="28"/>
        </w:rPr>
        <w:lastRenderedPageBreak/>
        <w:t>оценки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A0B55" w:rsidRP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EE12F0" w:rsidRPr="00EE12F0">
        <w:rPr>
          <w:rFonts w:ascii="Times New Roman" w:hAnsi="Times New Roman" w:cs="Times New Roman"/>
          <w:sz w:val="28"/>
          <w:szCs w:val="28"/>
        </w:rPr>
        <w:t>недостаточно; необходимы также модели</w:t>
      </w:r>
      <w:r w:rsidR="00EE12F0"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0"/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, </w:t>
      </w:r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 и </w:t>
      </w:r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commentRangeEnd w:id="0"/>
      <w:r w:rsidR="00DB5B26" w:rsidRPr="00EE12F0">
        <w:rPr>
          <w:rStyle w:val="ad"/>
          <w:rFonts w:ascii="Times New Roman" w:hAnsi="Times New Roman" w:cs="Times New Roman"/>
          <w:sz w:val="28"/>
          <w:szCs w:val="28"/>
        </w:rPr>
        <w:commentReference w:id="0"/>
      </w:r>
      <w:r w:rsidR="00EE12F0" w:rsidRPr="00EE12F0">
        <w:rPr>
          <w:rFonts w:ascii="Times New Roman" w:hAnsi="Times New Roman" w:cs="Times New Roman"/>
          <w:sz w:val="28"/>
          <w:szCs w:val="28"/>
        </w:rPr>
        <w:t>, чувствительные к внутренним электрохимическим изменениям.</w:t>
      </w:r>
    </w:p>
    <w:p w14:paraId="76169ECE" w14:textId="51DC8771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12F0">
        <w:rPr>
          <w:rFonts w:ascii="Times New Roman" w:hAnsi="Times New Roman" w:cs="Times New Roman"/>
          <w:sz w:val="28"/>
          <w:szCs w:val="28"/>
        </w:rPr>
        <w:t>Мощностной режим тяговой батареи определяется энергетическим балансом</w:t>
      </w:r>
    </w:p>
    <w:p w14:paraId="68374410" w14:textId="77777777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7989E" w14:textId="7B0126D9" w:rsidR="00EE12F0" w:rsidRPr="00DB5B26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359" w:dyaOrig="360" w14:anchorId="1157D90C">
          <v:shape id="_x0000_i1027" type="#_x0000_t75" style="width:67.6pt;height:17.55pt" o:ole="">
            <v:imagedata r:id="rId14" o:title=""/>
          </v:shape>
          <o:OLEObject Type="Embed" ProgID="Equation.DSMT4" ShapeID="_x0000_i1027" DrawAspect="Content" ObjectID="_1841986590" r:id="rId15"/>
        </w:object>
      </w:r>
      <w:r w:rsidR="00DB5B26">
        <w:rPr>
          <w:rFonts w:ascii="Times New Roman" w:hAnsi="Times New Roman" w:cs="Times New Roman"/>
          <w:sz w:val="28"/>
          <w:szCs w:val="28"/>
        </w:rPr>
        <w:t>,</w:t>
      </w:r>
    </w:p>
    <w:p w14:paraId="0ED3C069" w14:textId="02C8F7EA" w:rsidR="00EE12F0" w:rsidRPr="00C7589D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а потери мощности могут быть представлены в виде</w:t>
      </w:r>
    </w:p>
    <w:p w14:paraId="3BF40B19" w14:textId="3D2E5100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90672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240" w:dyaOrig="400" w14:anchorId="3B9C0CF4">
          <v:shape id="_x0000_i1028" type="#_x0000_t75" style="width:162.8pt;height:20.65pt" o:ole="">
            <v:imagedata r:id="rId16" o:title=""/>
          </v:shape>
          <o:OLEObject Type="Embed" ProgID="Equation.DSMT4" ShapeID="_x0000_i1028" DrawAspect="Content" ObjectID="_1841986591" r:id="rId17"/>
        </w:object>
      </w:r>
    </w:p>
    <w:p w14:paraId="5C2F5723" w14:textId="77777777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866B4D" w14:textId="6B504CCA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DB5B26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r w:rsidRPr="00DB5B2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r w:rsidRPr="0009067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эквивалентное внутреннее сопротивление, </w:t>
      </w:r>
      <w:r w:rsidRPr="00090672">
        <w:rPr>
          <w:rFonts w:ascii="Times New Roman" w:hAnsi="Times New Roman" w:cs="Times New Roman"/>
          <w:sz w:val="28"/>
          <w:szCs w:val="28"/>
        </w:rPr>
        <w:t>включающее омическую, зарядопереносную и диффузионную составляющие.</w:t>
      </w:r>
    </w:p>
    <w:p w14:paraId="0859D0BA" w14:textId="0573A4BC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Первое слагаемое следует из закона Джоуля–Ленца, второе и третье отражают необратимые потери, связанные соответственно с кинетикой межфазной реакции и ограничениями массопереноса. Именно поэтому рост сопротивления переноса заряда и рост диффузионного импеданса ведут не только к ухудшению диагностических показателей, но и к непосредственному снижению доступной тяговой мощности транспортного средства.</w:t>
      </w:r>
    </w:p>
    <w:p w14:paraId="77AB5C95" w14:textId="5839FD94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24F1">
        <w:rPr>
          <w:rFonts w:ascii="Times New Roman" w:hAnsi="Times New Roman" w:cs="Times New Roman"/>
          <w:sz w:val="28"/>
          <w:szCs w:val="28"/>
        </w:rPr>
        <w:t>Тепловое состояние батареи описывается уравнением баланса тепла</w:t>
      </w:r>
    </w:p>
    <w:p w14:paraId="5FA7EC5C" w14:textId="77777777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B702C4" w14:textId="0DBE90FF" w:rsidR="00B324F1" w:rsidRP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7F1B">
        <w:rPr>
          <w:rFonts w:ascii="Times New Roman" w:hAnsi="Times New Roman" w:cs="Times New Roman"/>
          <w:position w:val="-24"/>
          <w:sz w:val="28"/>
          <w:szCs w:val="28"/>
        </w:rPr>
        <w:object w:dxaOrig="3440" w:dyaOrig="620" w14:anchorId="3CFCB99D">
          <v:shape id="_x0000_i1029" type="#_x0000_t75" style="width:171.55pt;height:31.3pt" o:ole="">
            <v:imagedata r:id="rId18" o:title=""/>
          </v:shape>
          <o:OLEObject Type="Embed" ProgID="Equation.DSMT4" ShapeID="_x0000_i1029" DrawAspect="Content" ObjectID="_1841986592" r:id="rId19"/>
        </w:object>
      </w:r>
    </w:p>
    <w:p w14:paraId="29DE5A08" w14:textId="461FCD55" w:rsidR="00B324F1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C259639" w14:textId="4A7F3EF6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тепловая ёмкость батарейного модуля;</w:t>
      </w:r>
    </w:p>
    <w:p w14:paraId="0D8BD0F9" w14:textId="3696ED41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rev</w:t>
      </w:r>
      <w:r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обратимая тепловая составляющая;</w:t>
      </w:r>
    </w:p>
    <w:p w14:paraId="651A1325" w14:textId="6E9E3125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теплопередачи;</w:t>
      </w:r>
    </w:p>
    <w:p w14:paraId="3E78362D" w14:textId="42F54C69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A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эффективная поверхность теплообмена;</w:t>
      </w:r>
    </w:p>
    <w:p w14:paraId="10C974D8" w14:textId="0FA0C2E1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amb</w:t>
      </w:r>
      <w:r w:rsidRPr="0078052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температура окружающей среды.</w:t>
      </w:r>
    </w:p>
    <w:p w14:paraId="288618F5" w14:textId="4541C39F" w:rsidR="00FD7F1B" w:rsidRDefault="0078052A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52A">
        <w:rPr>
          <w:rFonts w:ascii="Times New Roman" w:hAnsi="Times New Roman" w:cs="Times New Roman"/>
          <w:sz w:val="28"/>
          <w:szCs w:val="28"/>
        </w:rPr>
        <w:t>Это уравнение представляет собой первый закон термодинамики для сосредоточенной тепловой системы. Оно используется в диссертации потому, что температура не является внешним фоном, а входит в деградационную динамику напрямую: через изменение электропроводности, скорости межфазной реакции, коэффициента диффузии и толщины пассивирующего слоя.</w:t>
      </w:r>
    </w:p>
    <w:p w14:paraId="11438C5B" w14:textId="7D1069B7" w:rsidR="00AF1D4F" w:rsidRDefault="00AF1D4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D4F">
        <w:rPr>
          <w:rFonts w:ascii="Times New Roman" w:hAnsi="Times New Roman" w:cs="Times New Roman"/>
          <w:sz w:val="28"/>
          <w:szCs w:val="28"/>
        </w:rPr>
        <w:t xml:space="preserve">Для последующего анализа в работе рассматриваются четыре группы аккумуляторных систем: NMC, LFP, LTO и Na-ion. Такой выбор обусловлен необходимостью охватить не только наиболее распространённые литий-ионные тяговые химии, но и системы с существенно различающимися эксплуатационными свойствами: высокой энергоёмкостью, высокой циклической стабильностью, повышенной мощностью и низкотемпературной работоспособностью, а также альтернативные </w:t>
      </w:r>
      <w:r w:rsidRPr="003D52DF">
        <w:rPr>
          <w:rFonts w:ascii="Times New Roman" w:hAnsi="Times New Roman" w:cs="Times New Roman"/>
          <w:sz w:val="28"/>
          <w:szCs w:val="28"/>
          <w:highlight w:val="yellow"/>
        </w:rPr>
        <w:t>натрий-ионные решения</w:t>
      </w:r>
      <w:r w:rsidRPr="00AF1D4F">
        <w:rPr>
          <w:rFonts w:ascii="Times New Roman" w:hAnsi="Times New Roman" w:cs="Times New Roman"/>
          <w:sz w:val="28"/>
          <w:szCs w:val="28"/>
        </w:rPr>
        <w:t>. Введение LTO и Na-ion в</w:t>
      </w:r>
      <w:r w:rsidR="008A210B">
        <w:rPr>
          <w:rFonts w:ascii="Times New Roman" w:hAnsi="Times New Roman" w:cs="Times New Roman"/>
          <w:sz w:val="28"/>
          <w:szCs w:val="28"/>
        </w:rPr>
        <w:t xml:space="preserve"> </w:t>
      </w:r>
      <w:r w:rsidR="008A210B" w:rsidRPr="008A210B">
        <w:rPr>
          <w:rFonts w:ascii="Times New Roman" w:hAnsi="Times New Roman" w:cs="Times New Roman"/>
          <w:sz w:val="28"/>
          <w:szCs w:val="28"/>
        </w:rPr>
        <w:t>общую структуру исследования позволяет перейти от частной модели одной химической системы к более общей унифицированной постановке, что является одним из ключевых направлений развития диссертации.</w:t>
      </w:r>
    </w:p>
    <w:p w14:paraId="2E63A900" w14:textId="6718D1E2" w:rsidR="00980327" w:rsidRDefault="00980327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327">
        <w:rPr>
          <w:rFonts w:ascii="Times New Roman" w:hAnsi="Times New Roman" w:cs="Times New Roman"/>
          <w:sz w:val="28"/>
          <w:szCs w:val="28"/>
        </w:rPr>
        <w:t>Таблица 1.1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 w:rsidRPr="00980327">
        <w:rPr>
          <w:rFonts w:ascii="Times New Roman" w:hAnsi="Times New Roman" w:cs="Times New Roman"/>
          <w:sz w:val="28"/>
          <w:szCs w:val="28"/>
        </w:rPr>
        <w:t>Сравнительные характеристики опытной серии тяговых аккумуляторных систем</w:t>
      </w:r>
    </w:p>
    <w:tbl>
      <w:tblPr>
        <w:tblStyle w:val="ac"/>
        <w:tblW w:w="9647" w:type="dxa"/>
        <w:tblLook w:val="04A0" w:firstRow="1" w:lastRow="0" w:firstColumn="1" w:lastColumn="0" w:noHBand="0" w:noVBand="1"/>
      </w:tblPr>
      <w:tblGrid>
        <w:gridCol w:w="876"/>
        <w:gridCol w:w="1378"/>
        <w:gridCol w:w="1367"/>
        <w:gridCol w:w="999"/>
        <w:gridCol w:w="1126"/>
        <w:gridCol w:w="1487"/>
        <w:gridCol w:w="1487"/>
        <w:gridCol w:w="957"/>
      </w:tblGrid>
      <w:tr w:rsidR="004B2EDB" w:rsidRPr="004B2EDB" w14:paraId="46F5BAAD" w14:textId="40D084E9" w:rsidTr="004B2EDB">
        <w:tc>
          <w:tcPr>
            <w:tcW w:w="846" w:type="dxa"/>
          </w:tcPr>
          <w:p w14:paraId="7AEFBBCC" w14:textId="35CAAC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Тип батареи</w:t>
            </w:r>
          </w:p>
        </w:tc>
        <w:tc>
          <w:tcPr>
            <w:tcW w:w="1378" w:type="dxa"/>
          </w:tcPr>
          <w:p w14:paraId="5A0471BA" w14:textId="7B419AC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Номинальное напряжение элемента, В</w:t>
            </w:r>
          </w:p>
        </w:tc>
        <w:tc>
          <w:tcPr>
            <w:tcW w:w="1367" w:type="dxa"/>
          </w:tcPr>
          <w:p w14:paraId="778BC6B5" w14:textId="45B078D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Номинальная ёмкость, А·ч</w:t>
            </w:r>
          </w:p>
        </w:tc>
        <w:tc>
          <w:tcPr>
            <w:tcW w:w="999" w:type="dxa"/>
          </w:tcPr>
          <w:p w14:paraId="4852FB4D" w14:textId="4A0FC0A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Удельная энергия, Вт·ч/кг</w:t>
            </w:r>
          </w:p>
        </w:tc>
        <w:tc>
          <w:tcPr>
            <w:tcW w:w="1126" w:type="dxa"/>
          </w:tcPr>
          <w:p w14:paraId="327F8207" w14:textId="46B60F47" w:rsidR="009D7C13" w:rsidRPr="004B2EDB" w:rsidRDefault="009D7C13" w:rsidP="004B2ED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Удельная мощность, Вт/кг</w:t>
            </w:r>
          </w:p>
        </w:tc>
        <w:tc>
          <w:tcPr>
            <w:tcW w:w="1487" w:type="dxa"/>
          </w:tcPr>
          <w:p w14:paraId="60AC2434" w14:textId="7FDBC88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омическое сопротивление </w:t>
            </w:r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R</w:t>
            </w:r>
            <w:r w:rsidRPr="004B2EDB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en-US"/>
              </w:rPr>
              <w:t>Ω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1487" w:type="dxa"/>
          </w:tcPr>
          <w:p w14:paraId="0B8B6A6E" w14:textId="77777777" w:rsid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сопротивление переноса заряда </w:t>
            </w:r>
          </w:p>
          <w:p w14:paraId="283C2D2F" w14:textId="1BCFBCD1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R</w:t>
            </w:r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vertAlign w:val="subscript"/>
                <w:lang w:val="en-US"/>
              </w:rPr>
              <w:t>ct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957" w:type="dxa"/>
          </w:tcPr>
          <w:p w14:paraId="1A87BE7B" w14:textId="0DFDC48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Ресурс до 80% ёмкости, циклы</w:t>
            </w:r>
          </w:p>
        </w:tc>
      </w:tr>
      <w:tr w:rsidR="004B2EDB" w:rsidRPr="004B2EDB" w14:paraId="703199BE" w14:textId="64A3345F" w:rsidTr="004B2EDB">
        <w:tc>
          <w:tcPr>
            <w:tcW w:w="846" w:type="dxa"/>
          </w:tcPr>
          <w:p w14:paraId="5C076C3E" w14:textId="3440B7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NMC</w:t>
            </w:r>
          </w:p>
        </w:tc>
        <w:tc>
          <w:tcPr>
            <w:tcW w:w="1378" w:type="dxa"/>
          </w:tcPr>
          <w:p w14:paraId="23D067DB" w14:textId="3FEC78A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3,65</w:t>
            </w:r>
          </w:p>
        </w:tc>
        <w:tc>
          <w:tcPr>
            <w:tcW w:w="1367" w:type="dxa"/>
          </w:tcPr>
          <w:p w14:paraId="0D2D1487" w14:textId="42A7D6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999" w:type="dxa"/>
          </w:tcPr>
          <w:p w14:paraId="15793BF6" w14:textId="555BE4BA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182</w:t>
            </w:r>
          </w:p>
        </w:tc>
        <w:tc>
          <w:tcPr>
            <w:tcW w:w="1126" w:type="dxa"/>
          </w:tcPr>
          <w:p w14:paraId="66FE19B1" w14:textId="4F1B852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980</w:t>
            </w:r>
          </w:p>
        </w:tc>
        <w:tc>
          <w:tcPr>
            <w:tcW w:w="1487" w:type="dxa"/>
          </w:tcPr>
          <w:p w14:paraId="3D2C8686" w14:textId="5BAF149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1,9</w:t>
            </w:r>
          </w:p>
        </w:tc>
        <w:tc>
          <w:tcPr>
            <w:tcW w:w="1487" w:type="dxa"/>
          </w:tcPr>
          <w:p w14:paraId="7941D3A3" w14:textId="40703F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4.1</w:t>
            </w:r>
          </w:p>
        </w:tc>
        <w:tc>
          <w:tcPr>
            <w:tcW w:w="957" w:type="dxa"/>
          </w:tcPr>
          <w:p w14:paraId="641D097C" w14:textId="43092F6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1800</w:t>
            </w:r>
          </w:p>
        </w:tc>
      </w:tr>
      <w:tr w:rsidR="004B2EDB" w:rsidRPr="004B2EDB" w14:paraId="5BF713CF" w14:textId="4901C63E" w:rsidTr="004B2EDB">
        <w:tc>
          <w:tcPr>
            <w:tcW w:w="846" w:type="dxa"/>
          </w:tcPr>
          <w:p w14:paraId="39E410C6" w14:textId="085DD56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LFP</w:t>
            </w:r>
          </w:p>
        </w:tc>
        <w:tc>
          <w:tcPr>
            <w:tcW w:w="1378" w:type="dxa"/>
          </w:tcPr>
          <w:p w14:paraId="7D64546B" w14:textId="1160F40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3,20</w:t>
            </w:r>
          </w:p>
        </w:tc>
        <w:tc>
          <w:tcPr>
            <w:tcW w:w="1367" w:type="dxa"/>
          </w:tcPr>
          <w:p w14:paraId="0D077A92" w14:textId="746853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999" w:type="dxa"/>
          </w:tcPr>
          <w:p w14:paraId="72F5E384" w14:textId="1E6517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128</w:t>
            </w:r>
          </w:p>
        </w:tc>
        <w:tc>
          <w:tcPr>
            <w:tcW w:w="1126" w:type="dxa"/>
          </w:tcPr>
          <w:p w14:paraId="5E262CCC" w14:textId="64B7B21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1450</w:t>
            </w:r>
          </w:p>
        </w:tc>
        <w:tc>
          <w:tcPr>
            <w:tcW w:w="1487" w:type="dxa"/>
          </w:tcPr>
          <w:p w14:paraId="79917309" w14:textId="1029579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2,6</w:t>
            </w:r>
          </w:p>
        </w:tc>
        <w:tc>
          <w:tcPr>
            <w:tcW w:w="1487" w:type="dxa"/>
          </w:tcPr>
          <w:p w14:paraId="41647284" w14:textId="286BD21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6.8</w:t>
            </w:r>
          </w:p>
        </w:tc>
        <w:tc>
          <w:tcPr>
            <w:tcW w:w="957" w:type="dxa"/>
          </w:tcPr>
          <w:p w14:paraId="641F1D73" w14:textId="469FDA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4200</w:t>
            </w:r>
          </w:p>
        </w:tc>
      </w:tr>
      <w:tr w:rsidR="004B2EDB" w:rsidRPr="004B2EDB" w14:paraId="2E8E6682" w14:textId="18B9B852" w:rsidTr="004B2EDB">
        <w:tc>
          <w:tcPr>
            <w:tcW w:w="846" w:type="dxa"/>
          </w:tcPr>
          <w:p w14:paraId="30BFC9A3" w14:textId="515FFC9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LTO</w:t>
            </w:r>
          </w:p>
        </w:tc>
        <w:tc>
          <w:tcPr>
            <w:tcW w:w="1378" w:type="dxa"/>
          </w:tcPr>
          <w:p w14:paraId="48A73919" w14:textId="4B16244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2,30</w:t>
            </w:r>
          </w:p>
        </w:tc>
        <w:tc>
          <w:tcPr>
            <w:tcW w:w="1367" w:type="dxa"/>
          </w:tcPr>
          <w:p w14:paraId="5246477A" w14:textId="1BD6008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999" w:type="dxa"/>
          </w:tcPr>
          <w:p w14:paraId="6D30F387" w14:textId="75D1A18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82</w:t>
            </w:r>
          </w:p>
        </w:tc>
        <w:tc>
          <w:tcPr>
            <w:tcW w:w="1126" w:type="dxa"/>
          </w:tcPr>
          <w:p w14:paraId="09FB6494" w14:textId="1EC9DC0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2650</w:t>
            </w:r>
          </w:p>
        </w:tc>
        <w:tc>
          <w:tcPr>
            <w:tcW w:w="1487" w:type="dxa"/>
          </w:tcPr>
          <w:p w14:paraId="0C4E2FDA" w14:textId="6F2CA99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0,9</w:t>
            </w:r>
          </w:p>
        </w:tc>
        <w:tc>
          <w:tcPr>
            <w:tcW w:w="1487" w:type="dxa"/>
          </w:tcPr>
          <w:p w14:paraId="5BF33C6B" w14:textId="288E2D98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2.3</w:t>
            </w:r>
          </w:p>
        </w:tc>
        <w:tc>
          <w:tcPr>
            <w:tcW w:w="957" w:type="dxa"/>
          </w:tcPr>
          <w:p w14:paraId="27E0D8B7" w14:textId="2A6A7C5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12000</w:t>
            </w:r>
          </w:p>
        </w:tc>
      </w:tr>
      <w:tr w:rsidR="004B2EDB" w:rsidRPr="004B2EDB" w14:paraId="5293EEF9" w14:textId="77E69D6C" w:rsidTr="004B2EDB">
        <w:tc>
          <w:tcPr>
            <w:tcW w:w="846" w:type="dxa"/>
          </w:tcPr>
          <w:p w14:paraId="27FF586D" w14:textId="725D42C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Na-ion</w:t>
            </w:r>
          </w:p>
        </w:tc>
        <w:tc>
          <w:tcPr>
            <w:tcW w:w="1378" w:type="dxa"/>
          </w:tcPr>
          <w:p w14:paraId="09F02737" w14:textId="4543BEE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3,00</w:t>
            </w:r>
          </w:p>
        </w:tc>
        <w:tc>
          <w:tcPr>
            <w:tcW w:w="1367" w:type="dxa"/>
          </w:tcPr>
          <w:p w14:paraId="5D1D25BF" w14:textId="1EBA44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999" w:type="dxa"/>
          </w:tcPr>
          <w:p w14:paraId="423DF624" w14:textId="5174A365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118</w:t>
            </w:r>
          </w:p>
        </w:tc>
        <w:tc>
          <w:tcPr>
            <w:tcW w:w="1126" w:type="dxa"/>
          </w:tcPr>
          <w:p w14:paraId="5E18902E" w14:textId="7A90D71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920</w:t>
            </w:r>
          </w:p>
        </w:tc>
        <w:tc>
          <w:tcPr>
            <w:tcW w:w="1487" w:type="dxa"/>
          </w:tcPr>
          <w:p w14:paraId="6F600B07" w14:textId="3C93F96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3,4</w:t>
            </w:r>
          </w:p>
        </w:tc>
        <w:tc>
          <w:tcPr>
            <w:tcW w:w="1487" w:type="dxa"/>
          </w:tcPr>
          <w:p w14:paraId="47670E91" w14:textId="7E396BD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9.2</w:t>
            </w:r>
          </w:p>
        </w:tc>
        <w:tc>
          <w:tcPr>
            <w:tcW w:w="957" w:type="dxa"/>
          </w:tcPr>
          <w:p w14:paraId="65323A3C" w14:textId="6035046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2000</w:t>
            </w:r>
          </w:p>
        </w:tc>
      </w:tr>
    </w:tbl>
    <w:p w14:paraId="4A4BE87D" w14:textId="77777777" w:rsidR="00C77E42" w:rsidRDefault="00C77E4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2AF40E" w14:textId="6F0902B7" w:rsidR="00435449" w:rsidRDefault="0043544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5449">
        <w:rPr>
          <w:rFonts w:ascii="Times New Roman" w:hAnsi="Times New Roman" w:cs="Times New Roman"/>
          <w:sz w:val="28"/>
          <w:szCs w:val="28"/>
        </w:rPr>
        <w:lastRenderedPageBreak/>
        <w:t>Представленные данные отражают исходную параметризацию опытной серии, принятой в работе для последующих нагрузочных, импедансных и деградационных экспериментов. Уже на этом уровне видно, что различные химические системы задают принципиально разные компромиссы между энергоёмкостью, мощностью, внутренним сопротивлением и циклическим ресурсом. NMC характеризуется максимальной удельной энергией, LFP — сбалансированным сочетанием ресурса и мощностных характеристик, LTO — минимальным внутренним сопротивлением и наивысшей циклической стойкостью, а Na-ion — перспективностью с точки зрения ресурсной и сырьевой независимости при более высоком начальном импедансе.</w:t>
      </w:r>
    </w:p>
    <w:p w14:paraId="7C4FFA3B" w14:textId="2030C480" w:rsidR="00841146" w:rsidRDefault="0084114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1146">
        <w:rPr>
          <w:rFonts w:ascii="Times New Roman" w:hAnsi="Times New Roman" w:cs="Times New Roman"/>
          <w:sz w:val="28"/>
          <w:szCs w:val="28"/>
        </w:rPr>
        <w:t>Тяговая батарея должна рассматриваться в структуре полного транспортного энергетического контура.</w:t>
      </w:r>
    </w:p>
    <w:p w14:paraId="0F828233" w14:textId="67B99E7C" w:rsidR="00841146" w:rsidRDefault="0062359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599">
        <w:rPr>
          <w:rFonts w:ascii="Times New Roman" w:hAnsi="Times New Roman" w:cs="Times New Roman"/>
          <w:sz w:val="28"/>
          <w:szCs w:val="28"/>
        </w:rPr>
        <w:t xml:space="preserve">Структурная схема электротранспортного комплекса показывает, что аккумуляторная батарея одновременно выполняет функции источника энергии, объекта мониторинга, </w:t>
      </w:r>
      <w:r w:rsidRPr="005C3755">
        <w:rPr>
          <w:rFonts w:ascii="Times New Roman" w:hAnsi="Times New Roman" w:cs="Times New Roman"/>
          <w:sz w:val="28"/>
          <w:szCs w:val="28"/>
          <w:highlight w:val="yellow"/>
        </w:rPr>
        <w:t>термонапряжённого</w:t>
      </w:r>
      <w:r w:rsidRPr="00623599">
        <w:rPr>
          <w:rFonts w:ascii="Times New Roman" w:hAnsi="Times New Roman" w:cs="Times New Roman"/>
          <w:sz w:val="28"/>
          <w:szCs w:val="28"/>
        </w:rPr>
        <w:t xml:space="preserve"> узла и элемента динамического силового контура. Поэтому любые диагностические модели, не учитывающие её системные связи с BMS, силовой электроникой, рекуперацией и тепловым контуром, неизбежно оказываются неполными.</w:t>
      </w:r>
    </w:p>
    <w:p w14:paraId="38CA198E" w14:textId="77777777" w:rsidR="001A0B8F" w:rsidRDefault="001A0B8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5F373C" w14:textId="6EA62700" w:rsidR="001A0B8F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FC445B0" wp14:editId="01AC8C84">
            <wp:extent cx="6119495" cy="3032760"/>
            <wp:effectExtent l="0" t="0" r="0" b="0"/>
            <wp:docPr id="1396804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624DE" w14:textId="14174A8B" w:rsidR="00EA7000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"/>
      <w:r w:rsidRPr="00EA7000">
        <w:rPr>
          <w:rFonts w:ascii="Times New Roman" w:hAnsi="Times New Roman" w:cs="Times New Roman"/>
          <w:sz w:val="28"/>
          <w:szCs w:val="28"/>
        </w:rPr>
        <w:t>Рисунок 1.1 — Структура тяговой аккумуляторной батареи в составе электротехнического комплекса</w:t>
      </w:r>
      <w:commentRangeEnd w:id="1"/>
      <w:r w:rsidR="005C3755">
        <w:rPr>
          <w:rStyle w:val="ad"/>
          <w:rFonts w:ascii="Times New Roman" w:hAnsi="Times New Roman" w:cs="Times New Roman"/>
          <w:sz w:val="28"/>
          <w:szCs w:val="28"/>
        </w:rPr>
        <w:commentReference w:id="1"/>
      </w:r>
    </w:p>
    <w:p w14:paraId="1101A498" w14:textId="77777777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C42883" w14:textId="47D35204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1B5F">
        <w:rPr>
          <w:rFonts w:ascii="Times New Roman" w:hAnsi="Times New Roman" w:cs="Times New Roman"/>
          <w:sz w:val="28"/>
          <w:szCs w:val="28"/>
        </w:rPr>
        <w:t>На рисунке показано место батареи в общем энергетическом контуре электротранспортной системы. Батарея связана с системой управления батареей, силовым преобразователем, тяговым электродвигателем, рекуперационным контуром, тепловым контуром и бортовой сетью. Такая структура демонстрирует, что состояние батареи определяет не только запас энергии, но и допустимые уровни тока, устойчивость теплового режима, интенсивность рекуперации и фактическую доступную мощность тягового привода.</w:t>
      </w:r>
    </w:p>
    <w:p w14:paraId="4968E4D8" w14:textId="75BAF733" w:rsidR="00805DD6" w:rsidRDefault="00805DD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DD6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системной постановке объекта исследования. Батарея вводится не как отдельная электрохимическая ячейка, а как параметрически изменяющийся элемент электротехнического комплекса. Это обеспечивает корректную связь диссертации с проблематикой специальности 2.4.2, поскольку дальнейшие модели будут относиться не только к электрохимии, но и к режимам, управлению и надёжности комплекса в целом.</w:t>
      </w:r>
    </w:p>
    <w:p w14:paraId="1F336A69" w14:textId="7749CDA3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 xml:space="preserve">Практическая ценность рисунка состоит в том, что он задаёт архитектуру будущей инженерной реализации. Из него непосредственно следует, где могут </w:t>
      </w:r>
      <w:r w:rsidRPr="00BA7334">
        <w:rPr>
          <w:rFonts w:ascii="Times New Roman" w:hAnsi="Times New Roman" w:cs="Times New Roman"/>
          <w:sz w:val="28"/>
          <w:szCs w:val="28"/>
        </w:rPr>
        <w:lastRenderedPageBreak/>
        <w:t>использоваться разработанные далее диагностические и прогностические алгоритмы: в BMS, в контуре ограничения мощности, в логике теплового управления и в системах эксплуатационного мониторинга электротранспорта.</w:t>
      </w:r>
    </w:p>
    <w:p w14:paraId="788E5FDC" w14:textId="5E3C5F30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 xml:space="preserve">Ключевой особенностью тяговых батарей является работа в резко нестационарных нагрузочных режимах. Для стационарного накопителя энергии токовая нагрузка обычно изменяется сравнительно медленно, тогда как тяговая батарея непрерывно проходит через чередование разгона, выбега, торможения с рекуперацией, повторных ускорений, а </w:t>
      </w:r>
      <w:r w:rsidRPr="005C3755">
        <w:rPr>
          <w:rFonts w:ascii="Times New Roman" w:hAnsi="Times New Roman" w:cs="Times New Roman"/>
          <w:sz w:val="28"/>
          <w:szCs w:val="28"/>
          <w:highlight w:val="green"/>
        </w:rPr>
        <w:t xml:space="preserve">также </w:t>
      </w:r>
      <w:r w:rsidR="005C3755" w:rsidRPr="005C3755">
        <w:rPr>
          <w:rFonts w:ascii="Times New Roman" w:hAnsi="Times New Roman" w:cs="Times New Roman"/>
          <w:sz w:val="28"/>
          <w:szCs w:val="28"/>
          <w:highlight w:val="green"/>
        </w:rPr>
        <w:t>мощных импульсов тока</w:t>
      </w:r>
      <w:r w:rsidR="005C3755">
        <w:rPr>
          <w:rFonts w:ascii="Times New Roman" w:hAnsi="Times New Roman" w:cs="Times New Roman"/>
          <w:sz w:val="28"/>
          <w:szCs w:val="28"/>
        </w:rPr>
        <w:t xml:space="preserve"> </w:t>
      </w:r>
      <w:r w:rsidRPr="005C3755">
        <w:rPr>
          <w:rFonts w:ascii="Times New Roman" w:hAnsi="Times New Roman" w:cs="Times New Roman"/>
          <w:sz w:val="28"/>
          <w:szCs w:val="28"/>
          <w:highlight w:val="red"/>
        </w:rPr>
        <w:t>пульсирующим токопотреблением</w:t>
      </w:r>
      <w:r w:rsidRPr="00BA7334">
        <w:rPr>
          <w:rFonts w:ascii="Times New Roman" w:hAnsi="Times New Roman" w:cs="Times New Roman"/>
          <w:sz w:val="28"/>
          <w:szCs w:val="28"/>
        </w:rPr>
        <w:t>. Именно это обстоятельство делает недостаточным использование только стационарных моделей внутреннего сопротивления и требует анализа динамики спектральных характеристик.</w:t>
      </w:r>
    </w:p>
    <w:p w14:paraId="56E38526" w14:textId="0044C609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171">
        <w:rPr>
          <w:rFonts w:ascii="Times New Roman" w:hAnsi="Times New Roman" w:cs="Times New Roman"/>
          <w:sz w:val="28"/>
          <w:szCs w:val="28"/>
        </w:rPr>
        <w:t>Для описания режима тяговой эксплуатации удобно представить ток как суперпозицию базовой и динамической составляющих:</w:t>
      </w:r>
    </w:p>
    <w:p w14:paraId="1CA3F54B" w14:textId="77777777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33288B" w14:textId="12E4B02C" w:rsidR="00034171" w:rsidRPr="00F00EB5" w:rsidRDefault="00F00EB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0EB5">
        <w:rPr>
          <w:rFonts w:ascii="Times New Roman" w:hAnsi="Times New Roman" w:cs="Times New Roman"/>
          <w:position w:val="-14"/>
          <w:sz w:val="28"/>
          <w:szCs w:val="28"/>
        </w:rPr>
        <w:object w:dxaOrig="2079" w:dyaOrig="380" w14:anchorId="073C43AA">
          <v:shape id="_x0000_i1030" type="#_x0000_t75" style="width:103.95pt;height:18.8pt" o:ole="">
            <v:imagedata r:id="rId21" o:title=""/>
          </v:shape>
          <o:OLEObject Type="Embed" ProgID="Equation.DSMT4" ShapeID="_x0000_i1030" DrawAspect="Content" ObjectID="_1841986593" r:id="rId22"/>
        </w:object>
      </w:r>
    </w:p>
    <w:p w14:paraId="56B9266D" w14:textId="55BC64FA" w:rsidR="00034171" w:rsidRDefault="00F00EB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77A9D1F3" w14:textId="1B6AFB59" w:rsidR="00F00EB5" w:rsidRDefault="00384BE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base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отражает квазистационарную тяговую нагрузку;</w:t>
      </w:r>
    </w:p>
    <w:p w14:paraId="3C1C83AC" w14:textId="479B9219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AB199D">
        <w:rPr>
          <w:rFonts w:ascii="Times New Roman" w:hAnsi="Times New Roman" w:cs="Times New Roman"/>
          <w:sz w:val="28"/>
          <w:szCs w:val="28"/>
        </w:rPr>
        <w:t xml:space="preserve"> </w:t>
      </w:r>
      <w:r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отражает быстрые импульсные изменения, связанные с разгонами, переключениями и рекуперацией.</w:t>
      </w:r>
    </w:p>
    <w:p w14:paraId="2BFD3EAF" w14:textId="773587EB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BE1">
        <w:rPr>
          <w:rFonts w:ascii="Times New Roman" w:hAnsi="Times New Roman" w:cs="Times New Roman"/>
          <w:sz w:val="28"/>
          <w:szCs w:val="28"/>
        </w:rPr>
        <w:t>Такая запись следует из принципа декомпозиции нестационарного процесса на медленную и быструю компоненты и будет далее использована в главе 2 при переходе к модели динамического импеданса.</w:t>
      </w:r>
    </w:p>
    <w:p w14:paraId="1A30B8C2" w14:textId="7E8D27E6" w:rsidR="00384BE1" w:rsidRDefault="006317C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7CF">
        <w:rPr>
          <w:rFonts w:ascii="Times New Roman" w:hAnsi="Times New Roman" w:cs="Times New Roman"/>
          <w:sz w:val="28"/>
          <w:szCs w:val="28"/>
        </w:rPr>
        <w:t>Результаты нагрузочного теста, выполненного на городской циклограмме движения, показывают, что даже в пределах одного типового ездового цикла ток батареи многократно меняет знак и амплитуду, а температура модуля непрерывно эволюционирует. Следовательно, электрическое состояние и тепловое состояние тяговой батареи принципиально связаны.</w:t>
      </w:r>
    </w:p>
    <w:p w14:paraId="5C703EBD" w14:textId="77777777" w:rsidR="00E935C6" w:rsidRDefault="00E935C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A03D5E" w14:textId="7905BB45" w:rsidR="00E935C6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36605EC" wp14:editId="06D9475C">
            <wp:extent cx="6119495" cy="3304540"/>
            <wp:effectExtent l="0" t="0" r="0" b="0"/>
            <wp:docPr id="18828720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0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B67EE" w14:textId="68BFA761" w:rsidR="00930775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2"/>
      <w:r w:rsidRPr="00930775">
        <w:rPr>
          <w:rFonts w:ascii="Times New Roman" w:hAnsi="Times New Roman" w:cs="Times New Roman"/>
          <w:sz w:val="28"/>
          <w:szCs w:val="28"/>
        </w:rPr>
        <w:t>Рисунок 1.2 — Нагрузочный профиль тяговой аккумуляторной батареи в городском цикле движения</w:t>
      </w:r>
      <w:commentRangeEnd w:id="2"/>
      <w:r w:rsidR="0060746B">
        <w:rPr>
          <w:rStyle w:val="ad"/>
          <w:rFonts w:ascii="Times New Roman" w:hAnsi="Times New Roman" w:cs="Times New Roman"/>
          <w:sz w:val="28"/>
          <w:szCs w:val="28"/>
        </w:rPr>
        <w:commentReference w:id="2"/>
      </w:r>
    </w:p>
    <w:p w14:paraId="7999FF30" w14:textId="77777777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D6ECD0" w14:textId="32FB3686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1245">
        <w:rPr>
          <w:rFonts w:ascii="Times New Roman" w:hAnsi="Times New Roman" w:cs="Times New Roman"/>
          <w:sz w:val="28"/>
          <w:szCs w:val="28"/>
        </w:rPr>
        <w:t>На рисунке приведены результаты нагрузочного испытания опытного тягового модуля в режиме городского цикла. Положительные значения тока соответствуют тяговому режиму, отрицательные — режиму рекуперативного торможения. Пунктирной линией показана температура батарейного модуля. Видно, что в течение одного цикла наблюдаются повторяющиеся участки разгона, рекуперации и установившегося движения, а температурная кривая не успевает вернуться к исходному уровню между отдельными нагрузочными пиками.</w:t>
      </w:r>
    </w:p>
    <w:p w14:paraId="2E481AD5" w14:textId="1AF3CDC7" w:rsidR="00516B33" w:rsidRPr="00C7589D" w:rsidRDefault="00516B33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6B33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подтверждении того, что исследуемый объект работает в режиме параметрической нестационарности. Это служит прямым обоснованием дальнейшего отказа от чисто стационарной трактовки импеданса и необходимости введения динамических </w:t>
      </w:r>
      <w:r w:rsidR="0060746B" w:rsidRPr="0060746B">
        <w:rPr>
          <w:rFonts w:ascii="Times New Roman" w:hAnsi="Times New Roman" w:cs="Times New Roman"/>
          <w:sz w:val="28"/>
          <w:szCs w:val="28"/>
          <w:highlight w:val="green"/>
        </w:rPr>
        <w:t>«</w:t>
      </w:r>
      <w:r w:rsidRPr="00516B33">
        <w:rPr>
          <w:rFonts w:ascii="Times New Roman" w:hAnsi="Times New Roman" w:cs="Times New Roman"/>
          <w:sz w:val="28"/>
          <w:szCs w:val="28"/>
        </w:rPr>
        <w:t>деградационных</w:t>
      </w:r>
      <w:r w:rsidR="0060746B" w:rsidRPr="0060746B">
        <w:rPr>
          <w:rFonts w:ascii="Times New Roman" w:hAnsi="Times New Roman" w:cs="Times New Roman"/>
          <w:sz w:val="28"/>
          <w:szCs w:val="28"/>
          <w:highlight w:val="green"/>
        </w:rPr>
        <w:t>»</w:t>
      </w:r>
      <w:r w:rsidRPr="00516B33">
        <w:rPr>
          <w:rFonts w:ascii="Times New Roman" w:hAnsi="Times New Roman" w:cs="Times New Roman"/>
          <w:sz w:val="28"/>
          <w:szCs w:val="28"/>
        </w:rPr>
        <w:t xml:space="preserve"> коэффициентов и моделей типа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516B3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r w:rsidRPr="00516B33">
        <w:rPr>
          <w:rFonts w:ascii="Times New Roman" w:hAnsi="Times New Roman" w:cs="Times New Roman"/>
          <w:i/>
          <w:iCs/>
          <w:sz w:val="28"/>
          <w:szCs w:val="28"/>
        </w:rPr>
        <w:t>(ω,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516B33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516B33">
        <w:rPr>
          <w:rFonts w:ascii="Times New Roman" w:hAnsi="Times New Roman" w:cs="Times New Roman"/>
          <w:sz w:val="28"/>
          <w:szCs w:val="28"/>
        </w:rPr>
        <w:t>.</w:t>
      </w:r>
    </w:p>
    <w:p w14:paraId="3B41FACF" w14:textId="359DB3DE" w:rsidR="00516B33" w:rsidRDefault="00801898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898">
        <w:rPr>
          <w:rFonts w:ascii="Times New Roman" w:hAnsi="Times New Roman" w:cs="Times New Roman"/>
          <w:sz w:val="28"/>
          <w:szCs w:val="28"/>
        </w:rPr>
        <w:lastRenderedPageBreak/>
        <w:t xml:space="preserve">Практическая польза рисунка состоит в том, что он задаёт реалистичную основу для построения программ стендовых испытаний, выбора спектров диагностических частот и расчёта тепловой нагрузки. Именно такой тип профиля должен использоваться для проверки пригодности будущих моделей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 xml:space="preserve">SOH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01898">
        <w:rPr>
          <w:rFonts w:ascii="Times New Roman" w:hAnsi="Times New Roman" w:cs="Times New Roman"/>
          <w:sz w:val="28"/>
          <w:szCs w:val="28"/>
        </w:rPr>
        <w:t xml:space="preserve">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801898">
        <w:rPr>
          <w:rFonts w:ascii="Times New Roman" w:hAnsi="Times New Roman" w:cs="Times New Roman"/>
          <w:sz w:val="28"/>
          <w:szCs w:val="28"/>
        </w:rPr>
        <w:t xml:space="preserve"> в реальных транспортных условиях.</w:t>
      </w:r>
    </w:p>
    <w:p w14:paraId="64BA9030" w14:textId="1A21D945" w:rsidR="00801898" w:rsidRDefault="006E30D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0D1">
        <w:rPr>
          <w:rFonts w:ascii="Times New Roman" w:hAnsi="Times New Roman" w:cs="Times New Roman"/>
          <w:sz w:val="28"/>
          <w:szCs w:val="28"/>
        </w:rPr>
        <w:t>Различия между рассматриваемыми химическими системами носят не только количественный, но и качественный характер. Для NMC основным преимуществом является высокая удельная энергия, что делает эту химию особенно привлекательной для электротранспорта с жёсткими требованиями к массогабаритным показателям. LFP отличается меньшей энергоёмкостью, но большей циклической стабильностью и лучшей термической устойчивостью. LTO характеризуется существенно более низким сопротивлением и исключительно высоким ресурсом, однако уступает по удельной энергии. Na-ion системы представляют интерес как с точки зрения сырьевой устойчивости, так и в контексте тяжёлых климатических и стационарно-тяговых применений, но при этом характеризуются более высокими начальными значениями импеданса.</w:t>
      </w:r>
    </w:p>
    <w:p w14:paraId="2EC58A5C" w14:textId="36602BF8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A91">
        <w:rPr>
          <w:rFonts w:ascii="Times New Roman" w:hAnsi="Times New Roman" w:cs="Times New Roman"/>
          <w:sz w:val="28"/>
          <w:szCs w:val="28"/>
        </w:rPr>
        <w:t>Эти различия имеют прямое математическое следствие. Если сопротивление переноса заряда определяется выражением</w:t>
      </w:r>
    </w:p>
    <w:p w14:paraId="368EE463" w14:textId="77777777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3DD893" w14:textId="254BF959" w:rsidR="00395A91" w:rsidRPr="00AC04C1" w:rsidRDefault="00415E9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5E90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474779D0">
          <v:shape id="_x0000_i1031" type="#_x0000_t75" style="width:48.2pt;height:33.8pt" o:ole="">
            <v:imagedata r:id="rId24" o:title=""/>
          </v:shape>
          <o:OLEObject Type="Embed" ProgID="Equation.DSMT4" ShapeID="_x0000_i1031" DrawAspect="Content" ObjectID="_1841986594" r:id="rId25"/>
        </w:object>
      </w:r>
      <w:r w:rsidR="00F468BF">
        <w:rPr>
          <w:rFonts w:ascii="Times New Roman" w:hAnsi="Times New Roman" w:cs="Times New Roman"/>
          <w:sz w:val="28"/>
          <w:szCs w:val="28"/>
        </w:rPr>
        <w:t>,</w:t>
      </w:r>
    </w:p>
    <w:p w14:paraId="62E563EE" w14:textId="77777777" w:rsidR="00395A91" w:rsidRPr="00AC04C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19755D" w14:textId="781089C6" w:rsidR="00415E90" w:rsidRPr="00C7589D" w:rsidRDefault="00415E90" w:rsidP="0042302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15E90">
        <w:rPr>
          <w:rFonts w:ascii="Times New Roman" w:hAnsi="Times New Roman" w:cs="Times New Roman"/>
          <w:sz w:val="28"/>
          <w:szCs w:val="28"/>
        </w:rPr>
        <w:t xml:space="preserve">то изменение </w:t>
      </w:r>
      <w:r w:rsidRPr="00AC04C1">
        <w:rPr>
          <w:rFonts w:ascii="Times New Roman" w:hAnsi="Times New Roman" w:cs="Times New Roman"/>
          <w:sz w:val="28"/>
          <w:szCs w:val="28"/>
          <w:highlight w:val="yellow"/>
        </w:rPr>
        <w:t>обменного</w:t>
      </w:r>
      <w:r w:rsidRPr="00415E90">
        <w:rPr>
          <w:rFonts w:ascii="Times New Roman" w:hAnsi="Times New Roman" w:cs="Times New Roman"/>
          <w:sz w:val="28"/>
          <w:szCs w:val="28"/>
        </w:rPr>
        <w:t xml:space="preserve"> тока </w:t>
      </w:r>
      <w:r w:rsidRPr="00415E9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415E9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415E90">
        <w:rPr>
          <w:rFonts w:ascii="Times New Roman" w:hAnsi="Times New Roman" w:cs="Times New Roman"/>
          <w:sz w:val="28"/>
          <w:szCs w:val="28"/>
        </w:rPr>
        <w:t xml:space="preserve">, зависящего от материала электрода, площади </w:t>
      </w:r>
      <w:r w:rsidRPr="00AC04C1">
        <w:rPr>
          <w:rFonts w:ascii="Times New Roman" w:hAnsi="Times New Roman" w:cs="Times New Roman"/>
          <w:sz w:val="28"/>
          <w:szCs w:val="28"/>
          <w:highlight w:val="red"/>
        </w:rPr>
        <w:t>реакционной</w:t>
      </w:r>
      <w:r w:rsidRPr="00415E90">
        <w:rPr>
          <w:rFonts w:ascii="Times New Roman" w:hAnsi="Times New Roman" w:cs="Times New Roman"/>
          <w:sz w:val="28"/>
          <w:szCs w:val="28"/>
        </w:rPr>
        <w:t xml:space="preserve"> поверхности </w:t>
      </w:r>
      <w:r w:rsidR="00AC04C1" w:rsidRPr="00AC04C1">
        <w:rPr>
          <w:rFonts w:ascii="Times New Roman" w:hAnsi="Times New Roman" w:cs="Times New Roman"/>
          <w:sz w:val="28"/>
          <w:szCs w:val="28"/>
          <w:highlight w:val="green"/>
        </w:rPr>
        <w:t>реакции</w:t>
      </w:r>
      <w:r w:rsidR="00AC04C1">
        <w:rPr>
          <w:rFonts w:ascii="Times New Roman" w:hAnsi="Times New Roman" w:cs="Times New Roman"/>
          <w:sz w:val="28"/>
          <w:szCs w:val="28"/>
        </w:rPr>
        <w:t xml:space="preserve"> </w:t>
      </w:r>
      <w:r w:rsidRPr="00415E90">
        <w:rPr>
          <w:rFonts w:ascii="Times New Roman" w:hAnsi="Times New Roman" w:cs="Times New Roman"/>
          <w:sz w:val="28"/>
          <w:szCs w:val="28"/>
        </w:rPr>
        <w:t xml:space="preserve">и состояния интерфейса, приводит к систематическим различиям между химическими системами уже на начальном этапе их эксплуатации. Именно по этой причине универсальная прогностическая модель не может строиться как простая регрессия по одной батарее одного типа; </w:t>
      </w:r>
      <w:r w:rsidRPr="00415E90">
        <w:rPr>
          <w:rFonts w:ascii="Times New Roman" w:hAnsi="Times New Roman" w:cs="Times New Roman"/>
          <w:sz w:val="28"/>
          <w:szCs w:val="28"/>
        </w:rPr>
        <w:lastRenderedPageBreak/>
        <w:t>она должна учитывать класс химической системы как самостоятельный параметр.</w:t>
      </w:r>
    </w:p>
    <w:p w14:paraId="06C59DAB" w14:textId="41A42341" w:rsidR="00423027" w:rsidRPr="00C7589D" w:rsidRDefault="004230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3027">
        <w:rPr>
          <w:rFonts w:ascii="Times New Roman" w:hAnsi="Times New Roman" w:cs="Times New Roman"/>
          <w:sz w:val="28"/>
          <w:szCs w:val="28"/>
        </w:rPr>
        <w:t>Сопоставление энергетических, мощностных и ресурсных индексов различных химических систем позволяет увидеть, что ни одна из них не является доминирующей одновременно по всем критериям. Это означает, что задачи диагностики и прогноза ресурса должны решаться не для «средней абстрактной батареи», а для батареи определённой химической природы, включённой в конкретный эксплуатационный сценарий.</w:t>
      </w:r>
    </w:p>
    <w:p w14:paraId="3D9DD619" w14:textId="77777777" w:rsidR="00552AA7" w:rsidRPr="00C7589D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87D1E0" w14:textId="1FB0F02E" w:rsidR="00552AA7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65C53A3" wp14:editId="47975432">
            <wp:extent cx="6119495" cy="3527425"/>
            <wp:effectExtent l="0" t="0" r="0" b="0"/>
            <wp:docPr id="18720269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A2BE7" w14:textId="48F34DA0" w:rsidR="00AB1175" w:rsidRPr="00C7589D" w:rsidRDefault="00AB11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175">
        <w:rPr>
          <w:rFonts w:ascii="Times New Roman" w:hAnsi="Times New Roman" w:cs="Times New Roman"/>
          <w:sz w:val="28"/>
          <w:szCs w:val="28"/>
        </w:rPr>
        <w:t>Рисунок 1.3 — Сравнительные эксплуатационные индексы опытных батарей различных химических систем</w:t>
      </w:r>
    </w:p>
    <w:p w14:paraId="754FC30E" w14:textId="77777777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9C7E4B" w14:textId="1B41147D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06AE">
        <w:rPr>
          <w:rFonts w:ascii="Times New Roman" w:hAnsi="Times New Roman" w:cs="Times New Roman"/>
          <w:sz w:val="28"/>
          <w:szCs w:val="28"/>
        </w:rPr>
        <w:t xml:space="preserve">На рисунке в нормированном виде сопоставлены три группы показателей: энергоёмкость, мощностной потенциал и циклический ресурс для NMC, LFP, LTO и Na-ion систем. Нормирование выполнено по максимальному значению </w:t>
      </w:r>
      <w:r w:rsidRPr="000A06AE">
        <w:rPr>
          <w:rFonts w:ascii="Times New Roman" w:hAnsi="Times New Roman" w:cs="Times New Roman"/>
          <w:sz w:val="28"/>
          <w:szCs w:val="28"/>
        </w:rPr>
        <w:lastRenderedPageBreak/>
        <w:t>внутри каждой группы показателей, что позволяет корректно сравнивать системы с различной размерностью исходных величин.</w:t>
      </w:r>
    </w:p>
    <w:p w14:paraId="14371F55" w14:textId="2D14F396" w:rsidR="003070C4" w:rsidRPr="00C7589D" w:rsidRDefault="003070C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C4">
        <w:rPr>
          <w:rFonts w:ascii="Times New Roman" w:hAnsi="Times New Roman" w:cs="Times New Roman"/>
          <w:sz w:val="28"/>
          <w:szCs w:val="28"/>
        </w:rPr>
        <w:t>Из рисунка следует, что NMC обеспечивает наибольшую энергоёмкость, но уступает LTO по мощностному потенциалу и ресурсу; LFP занимает промежуточное положение и демонстрирует оптимальный компромисс между ресурсом и удельной мощностью; LTO резко выделяется по ресурсу и мощностным характеристикам при наименьшей энергоёмкости; Na-ion система уступает NMC по энергоёмкости и LTO по мощности, но сохраняет перспективность как альтернативная тяговая система при умеренных требованиях к плотности энергии.</w:t>
      </w:r>
    </w:p>
    <w:p w14:paraId="54808F0B" w14:textId="6FFF1CF2" w:rsidR="001016FF" w:rsidRPr="00C7589D" w:rsidRDefault="001016F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16FF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формирует основание для многокритериального подхода к диагностике и прогнозированию ресурса. Иначе говоря, ресурсная модель должна быть химически адаптивной, а не химически нейтральной. Практическая польза рисунка заключается в том, что он позволяет обосновать выбор химии под конкретный транспортный сценарий и одновременно показывает, почему единая система диагностики должна включать поправочные коэффициенты, учитывающие класс аккумулятора.</w:t>
      </w:r>
    </w:p>
    <w:p w14:paraId="7805E6C3" w14:textId="2B072565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450">
        <w:rPr>
          <w:rFonts w:ascii="Times New Roman" w:hAnsi="Times New Roman" w:cs="Times New Roman"/>
          <w:sz w:val="28"/>
          <w:szCs w:val="28"/>
        </w:rPr>
        <w:t>Таким образом, тяговая аккумуляторная батарея в составе электротранспортного комплекса является многопараметрическим объектом, для которого энергетические, тепловые, мощностные и деградационные процессы протекают совместно и во взаимном влиянии. Для NMC, LFP, LTO и Na-ion систем эти процессы развиваются по различным траекториям, что требует перехода от узкой химически специфичной диагностики к более общей унифицированной модели. Такой переход имеет принципиальное значение для всей дальнейшей логики диссертации, поскольку позволяет поставить задачу не только диагностики текущего состояния, но и прогноза остаточного ресурса по импедансным параметрам в условиях нестационарной эксплуатации электротранспорта.</w:t>
      </w:r>
    </w:p>
    <w:p w14:paraId="414B3E00" w14:textId="77777777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C2B0FD" w14:textId="042E9E65" w:rsidR="00B70450" w:rsidRPr="00F2275A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275A">
        <w:rPr>
          <w:rFonts w:ascii="Times New Roman" w:hAnsi="Times New Roman" w:cs="Times New Roman"/>
          <w:b/>
          <w:bCs/>
          <w:sz w:val="28"/>
          <w:szCs w:val="28"/>
        </w:rPr>
        <w:lastRenderedPageBreak/>
        <w:t>1.2 Механизмы деградации NMC, LFP, LTO и Na-ion аккумуляторных систем</w:t>
      </w:r>
    </w:p>
    <w:p w14:paraId="2A1A5BF8" w14:textId="77777777" w:rsidR="00F2275A" w:rsidRPr="00C7589D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A50DD6" w14:textId="71E5CEDF" w:rsidR="00AE27B1" w:rsidRDefault="00681EE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EE6">
        <w:rPr>
          <w:rFonts w:ascii="Times New Roman" w:hAnsi="Times New Roman" w:cs="Times New Roman"/>
          <w:sz w:val="28"/>
          <w:szCs w:val="28"/>
        </w:rPr>
        <w:t xml:space="preserve">Деградация тяговых аккумуляторных батарей представляет собой совокупность необратимых процессов, приводящих к снижению доступной ёмкости, росту внутреннего импеданса, падению допустимой мощности и ухудшению тепловой устойчивости. Современные обзоры по старению литий-ионных систем сходятся в том, что основные наблюдаемые эффекты — это потеря </w:t>
      </w:r>
      <w:r w:rsidRPr="00250E7D">
        <w:rPr>
          <w:rFonts w:ascii="Times New Roman" w:hAnsi="Times New Roman" w:cs="Times New Roman"/>
          <w:sz w:val="28"/>
          <w:szCs w:val="28"/>
          <w:highlight w:val="yellow"/>
        </w:rPr>
        <w:t>циклируемого</w:t>
      </w:r>
      <w:r w:rsidRPr="00681EE6">
        <w:rPr>
          <w:rFonts w:ascii="Times New Roman" w:hAnsi="Times New Roman" w:cs="Times New Roman"/>
          <w:sz w:val="28"/>
          <w:szCs w:val="28"/>
        </w:rPr>
        <w:t xml:space="preserve"> лития, потеря активного материала, рост межфазных сопротивлений, ухудшение электролитного транспорта и структурная деградация электродов; при этом итоговыми макропроявлениями являются </w:t>
      </w:r>
      <w:r w:rsidR="00250E7D" w:rsidRPr="00250E7D">
        <w:rPr>
          <w:rFonts w:ascii="Times New Roman" w:hAnsi="Times New Roman" w:cs="Times New Roman"/>
          <w:sz w:val="28"/>
          <w:szCs w:val="28"/>
          <w:highlight w:val="green"/>
        </w:rPr>
        <w:t>снижение ёмкости</w:t>
      </w:r>
      <w:r w:rsidR="00250E7D">
        <w:rPr>
          <w:rFonts w:ascii="Times New Roman" w:hAnsi="Times New Roman" w:cs="Times New Roman"/>
          <w:sz w:val="28"/>
          <w:szCs w:val="28"/>
        </w:rPr>
        <w:t xml:space="preserve"> </w:t>
      </w:r>
      <w:r w:rsidRPr="00250E7D">
        <w:rPr>
          <w:rFonts w:ascii="Times New Roman" w:hAnsi="Times New Roman" w:cs="Times New Roman"/>
          <w:sz w:val="28"/>
          <w:szCs w:val="28"/>
          <w:highlight w:val="red"/>
        </w:rPr>
        <w:t>capacity fade</w:t>
      </w:r>
      <w:r w:rsidRPr="00681EE6">
        <w:rPr>
          <w:rFonts w:ascii="Times New Roman" w:hAnsi="Times New Roman" w:cs="Times New Roman"/>
          <w:sz w:val="28"/>
          <w:szCs w:val="28"/>
        </w:rPr>
        <w:t xml:space="preserve"> и </w:t>
      </w:r>
      <w:r w:rsidR="00250E7D" w:rsidRPr="00250E7D">
        <w:rPr>
          <w:rFonts w:ascii="Times New Roman" w:hAnsi="Times New Roman" w:cs="Times New Roman"/>
          <w:sz w:val="28"/>
          <w:szCs w:val="28"/>
          <w:highlight w:val="green"/>
        </w:rPr>
        <w:t>увеличением импеданса</w:t>
      </w:r>
      <w:r w:rsidR="00250E7D">
        <w:rPr>
          <w:rFonts w:ascii="Times New Roman" w:hAnsi="Times New Roman" w:cs="Times New Roman"/>
          <w:sz w:val="28"/>
          <w:szCs w:val="28"/>
        </w:rPr>
        <w:t xml:space="preserve"> </w:t>
      </w:r>
      <w:r w:rsidRPr="00250E7D">
        <w:rPr>
          <w:rFonts w:ascii="Times New Roman" w:hAnsi="Times New Roman" w:cs="Times New Roman"/>
          <w:sz w:val="28"/>
          <w:szCs w:val="28"/>
          <w:highlight w:val="red"/>
        </w:rPr>
        <w:t>impedance rise</w:t>
      </w:r>
      <w:r w:rsidRPr="00681EE6">
        <w:rPr>
          <w:rFonts w:ascii="Times New Roman" w:hAnsi="Times New Roman" w:cs="Times New Roman"/>
          <w:sz w:val="28"/>
          <w:szCs w:val="28"/>
        </w:rPr>
        <w:t>.</w:t>
      </w:r>
    </w:p>
    <w:p w14:paraId="749AA03B" w14:textId="586E47EC" w:rsidR="00522B5B" w:rsidRDefault="00522B5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B5B">
        <w:rPr>
          <w:rFonts w:ascii="Times New Roman" w:hAnsi="Times New Roman" w:cs="Times New Roman"/>
          <w:sz w:val="28"/>
          <w:szCs w:val="28"/>
        </w:rPr>
        <w:t xml:space="preserve">С физико-математической точки зрения </w:t>
      </w:r>
      <w:r w:rsidRPr="00C365AA">
        <w:rPr>
          <w:rFonts w:ascii="Times New Roman" w:hAnsi="Times New Roman" w:cs="Times New Roman"/>
          <w:sz w:val="28"/>
          <w:szCs w:val="28"/>
          <w:highlight w:val="red"/>
        </w:rPr>
        <w:t>деградационный</w:t>
      </w:r>
      <w:r w:rsidRPr="00522B5B">
        <w:rPr>
          <w:rFonts w:ascii="Times New Roman" w:hAnsi="Times New Roman" w:cs="Times New Roman"/>
          <w:sz w:val="28"/>
          <w:szCs w:val="28"/>
        </w:rPr>
        <w:t xml:space="preserve"> процесс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="00C365AA" w:rsidRPr="00C365AA">
        <w:rPr>
          <w:rFonts w:ascii="Times New Roman" w:hAnsi="Times New Roman" w:cs="Times New Roman"/>
          <w:sz w:val="28"/>
          <w:szCs w:val="28"/>
          <w:highlight w:val="green"/>
        </w:rPr>
        <w:t>деградации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Pr="00522B5B">
        <w:rPr>
          <w:rFonts w:ascii="Times New Roman" w:hAnsi="Times New Roman" w:cs="Times New Roman"/>
          <w:sz w:val="28"/>
          <w:szCs w:val="28"/>
        </w:rPr>
        <w:t xml:space="preserve">удобно рассматривать как эволюцию внутреннего состояния системы под действием электрохимических, диффузионных, тепловых и механических факторов. Пусть   </w:t>
      </w:r>
      <w:r w:rsidRPr="00C365AA">
        <w:rPr>
          <w:rFonts w:ascii="Times New Roman" w:hAnsi="Times New Roman" w:cs="Times New Roman"/>
          <w:i/>
          <w:iCs/>
          <w:sz w:val="28"/>
          <w:szCs w:val="28"/>
        </w:rPr>
        <w:t>D</w:t>
      </w:r>
      <w:r w:rsidRPr="00522B5B">
        <w:rPr>
          <w:rFonts w:ascii="Times New Roman" w:hAnsi="Times New Roman" w:cs="Times New Roman"/>
          <w:sz w:val="28"/>
          <w:szCs w:val="28"/>
        </w:rPr>
        <w:t>(</w:t>
      </w:r>
      <w:r w:rsidRPr="00C365AA">
        <w:rPr>
          <w:rFonts w:ascii="Times New Roman" w:hAnsi="Times New Roman" w:cs="Times New Roman"/>
          <w:i/>
          <w:iCs/>
          <w:sz w:val="28"/>
          <w:szCs w:val="28"/>
        </w:rPr>
        <w:t>t</w:t>
      </w:r>
      <w:r w:rsidRPr="00522B5B">
        <w:rPr>
          <w:rFonts w:ascii="Times New Roman" w:hAnsi="Times New Roman" w:cs="Times New Roman"/>
          <w:sz w:val="28"/>
          <w:szCs w:val="28"/>
        </w:rPr>
        <w:t>) деградации. Тогда в обобщённой форме можно записать</w:t>
      </w:r>
    </w:p>
    <w:p w14:paraId="29275B8A" w14:textId="77777777" w:rsidR="00AE27B1" w:rsidRDefault="00AE27B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28C990" w14:textId="7630A665" w:rsidR="0057524C" w:rsidRPr="00F548B0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48B0">
        <w:rPr>
          <w:rFonts w:ascii="Times New Roman" w:hAnsi="Times New Roman" w:cs="Times New Roman"/>
          <w:position w:val="-24"/>
          <w:sz w:val="28"/>
          <w:szCs w:val="28"/>
        </w:rPr>
        <w:object w:dxaOrig="3379" w:dyaOrig="620" w14:anchorId="438A2006">
          <v:shape id="_x0000_i1032" type="#_x0000_t75" style="width:168.4pt;height:31.3pt" o:ole="">
            <v:imagedata r:id="rId27" o:title=""/>
          </v:shape>
          <o:OLEObject Type="Embed" ProgID="Equation.DSMT4" ShapeID="_x0000_i1032" DrawAspect="Content" ObjectID="_1841986595" r:id="rId28"/>
        </w:object>
      </w:r>
    </w:p>
    <w:p w14:paraId="01F43E17" w14:textId="17589237" w:rsidR="0057524C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5641733" w14:textId="7ED7BF77" w:rsidR="00F548B0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44617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SEI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</w:t>
      </w:r>
      <w:r w:rsidR="0044617A" w:rsidRPr="0044617A">
        <w:rPr>
          <w:rFonts w:ascii="Times New Roman" w:hAnsi="Times New Roman" w:cs="Times New Roman"/>
          <w:sz w:val="28"/>
          <w:szCs w:val="28"/>
        </w:rPr>
        <w:t>характеризует рост межфазного слоя</w:t>
      </w:r>
      <w:r w:rsidR="0044617A">
        <w:rPr>
          <w:rFonts w:ascii="Times New Roman" w:hAnsi="Times New Roman" w:cs="Times New Roman"/>
          <w:sz w:val="28"/>
          <w:szCs w:val="28"/>
        </w:rPr>
        <w:t>;</w:t>
      </w:r>
    </w:p>
    <w:p w14:paraId="51612183" w14:textId="3DAAAB9E" w:rsidR="0044617A" w:rsidRPr="00341ACE" w:rsidRDefault="0044617A" w:rsidP="0044617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LLI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потерю циклируемого лития или натрия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1F68303" w14:textId="5A98A2F9" w:rsidR="00341ACE" w:rsidRPr="00341ACE" w:rsidRDefault="00341ACE" w:rsidP="00341AC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LAM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341ACE">
        <w:rPr>
          <w:rFonts w:ascii="Times New Roman" w:hAnsi="Times New Roman" w:cs="Times New Roman"/>
          <w:sz w:val="28"/>
          <w:szCs w:val="28"/>
        </w:rPr>
        <w:t>потерю активного материала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50C285C" w14:textId="0B308F91" w:rsidR="0006550F" w:rsidRPr="00341ACE" w:rsidRDefault="0006550F" w:rsidP="0006550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06550F">
        <w:rPr>
          <w:rFonts w:ascii="Times New Roman" w:hAnsi="Times New Roman" w:cs="Times New Roman"/>
          <w:sz w:val="28"/>
          <w:szCs w:val="28"/>
        </w:rPr>
        <w:t>вклад температуры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29CB4A8" w14:textId="10005990" w:rsidR="008D4C53" w:rsidRPr="00F564B9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mech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8D4C53">
        <w:rPr>
          <w:rFonts w:ascii="Times New Roman" w:hAnsi="Times New Roman" w:cs="Times New Roman"/>
          <w:sz w:val="28"/>
          <w:szCs w:val="28"/>
        </w:rPr>
        <w:t>механодеструкцию частиц и контактов.</w:t>
      </w:r>
    </w:p>
    <w:p w14:paraId="46B37C97" w14:textId="77777777" w:rsidR="008D4C53" w:rsidRPr="00F564B9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EFD32E" w14:textId="68F6D3EA" w:rsidR="0044617A" w:rsidRDefault="00F564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4B9">
        <w:rPr>
          <w:rFonts w:ascii="Times New Roman" w:hAnsi="Times New Roman" w:cs="Times New Roman"/>
          <w:sz w:val="28"/>
          <w:szCs w:val="28"/>
        </w:rPr>
        <w:lastRenderedPageBreak/>
        <w:t>Наиболее универсальным следствием старения является рост сопротивления переноса заряда. Это следует из линеаризованного уравнения Батлера–Фольмера:</w:t>
      </w:r>
    </w:p>
    <w:p w14:paraId="453664FE" w14:textId="77777777" w:rsidR="00F564B9" w:rsidRDefault="00F564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AF2661" w14:textId="7B8014E3" w:rsidR="00F564B9" w:rsidRDefault="004D0B2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D0B2B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960" w:dyaOrig="680" w14:anchorId="4A0E180C">
          <v:shape id="_x0000_i1033" type="#_x0000_t75" style="width:47.6pt;height:33.8pt" o:ole="">
            <v:imagedata r:id="rId29" o:title=""/>
          </v:shape>
          <o:OLEObject Type="Embed" ProgID="Equation.DSMT4" ShapeID="_x0000_i1033" DrawAspect="Content" ObjectID="_1841986596" r:id="rId30"/>
        </w:object>
      </w:r>
    </w:p>
    <w:p w14:paraId="5544E993" w14:textId="1098940E" w:rsidR="00F564B9" w:rsidRDefault="004D0B2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C1F875F" w14:textId="39158485" w:rsidR="004D0B2B" w:rsidRDefault="002E572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572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2E572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2E572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обменный ток реакции.</w:t>
      </w:r>
    </w:p>
    <w:p w14:paraId="0112FE17" w14:textId="256F6DFF" w:rsidR="002E5720" w:rsidRDefault="00904F4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4F4D">
        <w:rPr>
          <w:rFonts w:ascii="Times New Roman" w:hAnsi="Times New Roman" w:cs="Times New Roman"/>
          <w:sz w:val="28"/>
          <w:szCs w:val="28"/>
        </w:rPr>
        <w:t>Если в процессе старения уменьшается эффективная активная площадь, снижается доступность реакционных центров или ухудшается межфазная кинетика, обменный ток уменьшается,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04F4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04F4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04F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возрастает. 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Именно поэтому параметр 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 рассматривается в работе как один из ключевых диагностических и прогностических признаков.</w:t>
      </w:r>
      <w:r w:rsidR="004D0025">
        <w:rPr>
          <w:rFonts w:ascii="Times New Roman" w:hAnsi="Times New Roman" w:cs="Times New Roman"/>
          <w:sz w:val="28"/>
          <w:szCs w:val="28"/>
        </w:rPr>
        <w:t xml:space="preserve"> </w:t>
      </w:r>
      <w:r w:rsidR="005F331D" w:rsidRPr="005F331D">
        <w:rPr>
          <w:rFonts w:ascii="Times New Roman" w:hAnsi="Times New Roman" w:cs="Times New Roman"/>
          <w:sz w:val="28"/>
          <w:szCs w:val="28"/>
        </w:rPr>
        <w:t>Такой выбор согласуется и с современными исследованиями по EIS-диагностике, и с логикой уже сформированного каркаса диссертации.</w:t>
      </w:r>
    </w:p>
    <w:p w14:paraId="447C810E" w14:textId="0F527CC7" w:rsidR="005F331D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1AA1">
        <w:rPr>
          <w:rFonts w:ascii="Times New Roman" w:hAnsi="Times New Roman" w:cs="Times New Roman"/>
          <w:sz w:val="28"/>
          <w:szCs w:val="28"/>
        </w:rPr>
        <w:t>Не менее важен процесс роста межфазного слоя на отрицательном электроде. В первом приближении его можно связать с диффузионно-ограниченным режимом. Если толщина межфазного слоя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i/>
          <w:iCs/>
          <w:sz w:val="28"/>
          <w:szCs w:val="28"/>
        </w:rPr>
        <w:t>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sz w:val="28"/>
          <w:szCs w:val="28"/>
        </w:rPr>
        <w:t xml:space="preserve">определяется </w:t>
      </w:r>
      <w:r w:rsidRPr="00C365AA">
        <w:rPr>
          <w:rFonts w:ascii="Times New Roman" w:hAnsi="Times New Roman" w:cs="Times New Roman"/>
          <w:sz w:val="28"/>
          <w:szCs w:val="28"/>
          <w:highlight w:val="red"/>
        </w:rPr>
        <w:t>транспортом</w:t>
      </w:r>
      <w:r w:rsidRPr="00381AA1">
        <w:rPr>
          <w:rFonts w:ascii="Times New Roman" w:hAnsi="Times New Roman" w:cs="Times New Roman"/>
          <w:sz w:val="28"/>
          <w:szCs w:val="28"/>
        </w:rPr>
        <w:t xml:space="preserve"> </w:t>
      </w:r>
      <w:r w:rsidR="00C365AA" w:rsidRPr="00C365AA">
        <w:rPr>
          <w:rFonts w:ascii="Times New Roman" w:hAnsi="Times New Roman" w:cs="Times New Roman"/>
          <w:sz w:val="28"/>
          <w:szCs w:val="28"/>
          <w:highlight w:val="green"/>
        </w:rPr>
        <w:t>переносом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sz w:val="28"/>
          <w:szCs w:val="28"/>
        </w:rPr>
        <w:t>реагентов через уже сформировавшийся слой, то на основе второго закона Фика</w:t>
      </w:r>
    </w:p>
    <w:p w14:paraId="128767FE" w14:textId="77777777" w:rsid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48867E" w14:textId="67B8AB32" w:rsidR="00381AA1" w:rsidRP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1AA1">
        <w:rPr>
          <w:rFonts w:ascii="Times New Roman" w:hAnsi="Times New Roman" w:cs="Times New Roman"/>
          <w:position w:val="-24"/>
          <w:sz w:val="28"/>
          <w:szCs w:val="28"/>
        </w:rPr>
        <w:object w:dxaOrig="1280" w:dyaOrig="660" w14:anchorId="5867754B">
          <v:shape id="_x0000_i1034" type="#_x0000_t75" style="width:63.85pt;height:31.95pt" o:ole="">
            <v:imagedata r:id="rId31" o:title=""/>
          </v:shape>
          <o:OLEObject Type="Embed" ProgID="Equation.DSMT4" ShapeID="_x0000_i1034" DrawAspect="Content" ObjectID="_1841986597" r:id="rId32"/>
        </w:object>
      </w:r>
    </w:p>
    <w:p w14:paraId="3A125241" w14:textId="6560001D" w:rsid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1AA1">
        <w:rPr>
          <w:rFonts w:ascii="Times New Roman" w:hAnsi="Times New Roman" w:cs="Times New Roman"/>
          <w:sz w:val="28"/>
          <w:szCs w:val="28"/>
        </w:rPr>
        <w:t xml:space="preserve">получается </w:t>
      </w:r>
      <w:r w:rsidRPr="00381AA1">
        <w:rPr>
          <w:rFonts w:ascii="Times New Roman" w:hAnsi="Times New Roman" w:cs="Times New Roman"/>
          <w:sz w:val="28"/>
          <w:szCs w:val="28"/>
          <w:highlight w:val="yellow"/>
        </w:rPr>
        <w:t>корневой</w:t>
      </w:r>
      <w:r w:rsidRPr="00381AA1">
        <w:rPr>
          <w:rFonts w:ascii="Times New Roman" w:hAnsi="Times New Roman" w:cs="Times New Roman"/>
          <w:sz w:val="28"/>
          <w:szCs w:val="28"/>
        </w:rPr>
        <w:t xml:space="preserve"> закон роста</w:t>
      </w:r>
    </w:p>
    <w:p w14:paraId="16374A4B" w14:textId="16D6BF70" w:rsidR="00381AA1" w:rsidRDefault="00F9603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96030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040" w:dyaOrig="420" w14:anchorId="3514237A">
          <v:shape id="_x0000_i1035" type="#_x0000_t75" style="width:51.35pt;height:21.3pt" o:ole="">
            <v:imagedata r:id="rId33" o:title=""/>
          </v:shape>
          <o:OLEObject Type="Embed" ProgID="Equation.DSMT4" ShapeID="_x0000_i1035" DrawAspect="Content" ObjectID="_1841986598" r:id="rId34"/>
        </w:object>
      </w:r>
    </w:p>
    <w:p w14:paraId="4EF5A9C2" w14:textId="04E912EB" w:rsidR="00F96030" w:rsidRPr="00A07748" w:rsidRDefault="00F9603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30">
        <w:rPr>
          <w:rFonts w:ascii="Times New Roman" w:hAnsi="Times New Roman" w:cs="Times New Roman"/>
          <w:sz w:val="28"/>
          <w:szCs w:val="28"/>
        </w:rPr>
        <w:t>Отсюда следует и корневой закон роста межфазного сопротивления:</w:t>
      </w:r>
    </w:p>
    <w:p w14:paraId="6CB04624" w14:textId="5714D378" w:rsidR="00F96030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E1575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240" w:dyaOrig="400" w14:anchorId="61CEF41B">
          <v:shape id="_x0000_i1036" type="#_x0000_t75" style="width:62.6pt;height:20.65pt" o:ole="">
            <v:imagedata r:id="rId35" o:title=""/>
          </v:shape>
          <o:OLEObject Type="Embed" ProgID="Equation.DSMT4" ShapeID="_x0000_i1036" DrawAspect="Content" ObjectID="_1841986599" r:id="rId36"/>
        </w:object>
      </w:r>
    </w:p>
    <w:p w14:paraId="34578846" w14:textId="7C8EB4D6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>Эта зависимость особенно важна для объяснения ранней стадии старения, когда снижение ёмкости ещё умеренно, а рост сопротивления уже становится заметным. В дальнейшем, по мере вовлечения механических и структурных механизмов, зависимость может стать близкой к линейной или даже сверхлинейной.</w:t>
      </w:r>
    </w:p>
    <w:p w14:paraId="2496D034" w14:textId="4D2B51DF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>Температурная составляющая старения подчиняется закону Аррениуса:</w:t>
      </w:r>
    </w:p>
    <w:p w14:paraId="35BC6A69" w14:textId="77777777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BB8E95" w14:textId="2CE4140A" w:rsidR="00F35630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C7EA1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2079" w:dyaOrig="680" w14:anchorId="525A4C2A">
          <v:shape id="_x0000_i1037" type="#_x0000_t75" style="width:103.95pt;height:33.8pt" o:ole="">
            <v:imagedata r:id="rId37" o:title=""/>
          </v:shape>
          <o:OLEObject Type="Embed" ProgID="Equation.DSMT4" ShapeID="_x0000_i1037" DrawAspect="Content" ObjectID="_1841986600" r:id="rId38"/>
        </w:object>
      </w:r>
    </w:p>
    <w:p w14:paraId="7BCDAFA9" w14:textId="47407904" w:rsidR="00F35630" w:rsidRP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6C7EA1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6C7EA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</w:t>
      </w:r>
      <w:r w:rsidRPr="006C7EA1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6C7EA1">
        <w:rPr>
          <w:rFonts w:ascii="Times New Roman" w:hAnsi="Times New Roman" w:cs="Times New Roman"/>
          <w:sz w:val="28"/>
          <w:szCs w:val="28"/>
        </w:rPr>
        <w:t>– энергия активации деградационного процесса.</w:t>
      </w:r>
    </w:p>
    <w:p w14:paraId="419344D0" w14:textId="7150AC78" w:rsid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EA1">
        <w:rPr>
          <w:rFonts w:ascii="Times New Roman" w:hAnsi="Times New Roman" w:cs="Times New Roman"/>
          <w:sz w:val="28"/>
          <w:szCs w:val="28"/>
        </w:rPr>
        <w:t xml:space="preserve">Применение этой формулы в данной работе обосновано тем, что межфазные реакции, разложение электролита, растворение переходных металлов, газообразование и многие формы структурной релаксации являются термоактивируемыми. Следовательно, даже одинаковая химическая система при разных тепловых режимах будет демонстрировать различную траекторию деградации. Современные обзоры по NMC, LFP и LTO системам подтверждают критическую роль температуры и </w:t>
      </w:r>
      <w:r w:rsidRPr="00C365AA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SOC</w:t>
      </w:r>
      <w:r w:rsidRPr="00C365AA">
        <w:rPr>
          <w:rFonts w:ascii="Times New Roman" w:hAnsi="Times New Roman" w:cs="Times New Roman"/>
          <w:sz w:val="28"/>
          <w:szCs w:val="28"/>
          <w:highlight w:val="yellow"/>
        </w:rPr>
        <w:t>-окна</w:t>
      </w:r>
      <w:r w:rsidRPr="006C7EA1">
        <w:rPr>
          <w:rFonts w:ascii="Times New Roman" w:hAnsi="Times New Roman" w:cs="Times New Roman"/>
          <w:sz w:val="28"/>
          <w:szCs w:val="28"/>
        </w:rPr>
        <w:t xml:space="preserve"> в старении аккумуляторов.</w:t>
      </w:r>
    </w:p>
    <w:p w14:paraId="711F7B32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691347" w14:textId="0501B371" w:rsidR="008E688D" w:rsidRP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E688D">
        <w:rPr>
          <w:rFonts w:ascii="Times New Roman" w:hAnsi="Times New Roman" w:cs="Times New Roman"/>
          <w:b/>
          <w:bCs/>
          <w:sz w:val="28"/>
          <w:szCs w:val="28"/>
        </w:rPr>
        <w:t>1.2.1 Деградация аккумуляторов типа NMC</w:t>
      </w:r>
    </w:p>
    <w:p w14:paraId="2E8E8358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4B82EC" w14:textId="6703216D" w:rsidR="008E688D" w:rsidRDefault="0050726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7266">
        <w:rPr>
          <w:rFonts w:ascii="Times New Roman" w:hAnsi="Times New Roman" w:cs="Times New Roman"/>
          <w:sz w:val="28"/>
          <w:szCs w:val="28"/>
        </w:rPr>
        <w:t xml:space="preserve">Для аккумуляторов на основе никель-марганец-кобальтовых оксидов характерно сочетание высокой удельной энергии с повышенной чувствительностью к структурной и межфазной деградации. Современные обзоры показывают, что для NMC-систем наиболее типичны </w:t>
      </w:r>
      <w:r w:rsidRPr="00245DDD">
        <w:rPr>
          <w:rFonts w:ascii="Times New Roman" w:hAnsi="Times New Roman" w:cs="Times New Roman"/>
          <w:sz w:val="28"/>
          <w:szCs w:val="28"/>
          <w:highlight w:val="red"/>
        </w:rPr>
        <w:t>микротрещинообразование</w:t>
      </w:r>
      <w:r w:rsidR="00245DDD">
        <w:rPr>
          <w:rFonts w:ascii="Times New Roman" w:hAnsi="Times New Roman" w:cs="Times New Roman"/>
          <w:sz w:val="28"/>
          <w:szCs w:val="28"/>
        </w:rPr>
        <w:t xml:space="preserve"> </w:t>
      </w:r>
      <w:r w:rsidR="00245DDD" w:rsidRPr="00245DDD">
        <w:rPr>
          <w:rFonts w:ascii="Times New Roman" w:hAnsi="Times New Roman" w:cs="Times New Roman"/>
          <w:sz w:val="28"/>
          <w:szCs w:val="28"/>
          <w:highlight w:val="green"/>
        </w:rPr>
        <w:t>образование микротрещим</w:t>
      </w:r>
      <w:r w:rsidRPr="00507266">
        <w:rPr>
          <w:rFonts w:ascii="Times New Roman" w:hAnsi="Times New Roman" w:cs="Times New Roman"/>
          <w:sz w:val="28"/>
          <w:szCs w:val="28"/>
        </w:rPr>
        <w:t xml:space="preserve"> вторичных частиц, деградация поверхности катода, растворение переходных металлов, катионное </w:t>
      </w:r>
      <w:r w:rsidRPr="00507266">
        <w:rPr>
          <w:rFonts w:ascii="Times New Roman" w:hAnsi="Times New Roman" w:cs="Times New Roman"/>
          <w:sz w:val="28"/>
          <w:szCs w:val="28"/>
        </w:rPr>
        <w:lastRenderedPageBreak/>
        <w:t xml:space="preserve">смешение, кислородная нестабильность при высоких степенях делитирования и ускоренное взаимодействие катода с электролитом, особенно у </w:t>
      </w:r>
      <w:r w:rsidRPr="00376127">
        <w:rPr>
          <w:rFonts w:ascii="Times New Roman" w:hAnsi="Times New Roman" w:cs="Times New Roman"/>
          <w:sz w:val="28"/>
          <w:szCs w:val="28"/>
          <w:highlight w:val="yellow"/>
        </w:rPr>
        <w:t>Ni</w:t>
      </w:r>
      <w:r w:rsidR="00376127" w:rsidRPr="00376127">
        <w:rPr>
          <w:rFonts w:ascii="Times New Roman" w:hAnsi="Times New Roman" w:cs="Times New Roman"/>
          <w:sz w:val="28"/>
          <w:szCs w:val="28"/>
          <w:highlight w:val="yellow"/>
        </w:rPr>
        <w:t>-</w:t>
      </w:r>
      <w:r w:rsidRPr="00376127">
        <w:rPr>
          <w:rFonts w:ascii="Times New Roman" w:hAnsi="Times New Roman" w:cs="Times New Roman"/>
          <w:sz w:val="28"/>
          <w:szCs w:val="28"/>
          <w:highlight w:val="yellow"/>
        </w:rPr>
        <w:t>rich</w:t>
      </w:r>
      <w:r w:rsidR="00245DDD">
        <w:rPr>
          <w:rFonts w:ascii="Times New Roman" w:hAnsi="Times New Roman" w:cs="Times New Roman"/>
          <w:sz w:val="28"/>
          <w:szCs w:val="28"/>
        </w:rPr>
        <w:t>(</w:t>
      </w:r>
      <w:r w:rsidR="00245DDD" w:rsidRPr="00245DDD">
        <w:rPr>
          <w:rFonts w:ascii="Times New Roman" w:hAnsi="Times New Roman" w:cs="Times New Roman"/>
          <w:sz w:val="28"/>
          <w:szCs w:val="28"/>
          <w:highlight w:val="green"/>
        </w:rPr>
        <w:t>богатых литием</w:t>
      </w:r>
      <w:r w:rsidR="00245DDD">
        <w:rPr>
          <w:rFonts w:ascii="Times New Roman" w:hAnsi="Times New Roman" w:cs="Times New Roman"/>
          <w:sz w:val="28"/>
          <w:szCs w:val="28"/>
        </w:rPr>
        <w:t>)</w:t>
      </w:r>
      <w:r w:rsidRPr="00507266">
        <w:rPr>
          <w:rFonts w:ascii="Times New Roman" w:hAnsi="Times New Roman" w:cs="Times New Roman"/>
          <w:sz w:val="28"/>
          <w:szCs w:val="28"/>
        </w:rPr>
        <w:t xml:space="preserve"> композиций.</w:t>
      </w:r>
    </w:p>
    <w:p w14:paraId="4196AE20" w14:textId="19A2E604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t>С точки зрения кинетики старения это означает, что деградация NMC идёт одновременно по двум связанным контурам. Первый контур — катодный: структурная перестройка кристаллической решётки, накопление механических дефектов, потеря электрического контакта между частицами и рост межфазной реакционной активности. Второй контур — анодный и межсистемный: осаждение продуктов побочных реакций, изменение состава SEI, перенос растворившихся переходных металлов к аноду и ускорение потери циклируемого лития. В спектре импеданса это, как правило, проявляется сравнительно быстрым ростом полукруга переноса заряда и последующим усилением низкочастотной диффузионной компоненты.</w:t>
      </w:r>
    </w:p>
    <w:p w14:paraId="5CB1984D" w14:textId="295EF8AC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t>В математической форме деградацию NMC-элемента удобно описывать как сумму структурной и межфазной составляющих:</w:t>
      </w:r>
    </w:p>
    <w:p w14:paraId="1D447F22" w14:textId="77777777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05500C" w14:textId="67C3E144" w:rsidR="00376127" w:rsidRPr="009726DE" w:rsidRDefault="009726D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726DE">
        <w:rPr>
          <w:rFonts w:ascii="Times New Roman" w:hAnsi="Times New Roman" w:cs="Times New Roman"/>
          <w:position w:val="-12"/>
          <w:sz w:val="28"/>
          <w:szCs w:val="28"/>
        </w:rPr>
        <w:object w:dxaOrig="3760" w:dyaOrig="400" w14:anchorId="1D68E6E1">
          <v:shape id="_x0000_i1038" type="#_x0000_t75" style="width:188.45pt;height:20.65pt" o:ole="">
            <v:imagedata r:id="rId39" o:title=""/>
          </v:shape>
          <o:OLEObject Type="Embed" ProgID="Equation.DSMT4" ShapeID="_x0000_i1038" DrawAspect="Content" ObjectID="_1841986601" r:id="rId40"/>
        </w:object>
      </w:r>
    </w:p>
    <w:p w14:paraId="32C46078" w14:textId="77777777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F556D7" w14:textId="606938D6" w:rsidR="009726DE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772">
        <w:rPr>
          <w:rFonts w:ascii="Times New Roman" w:hAnsi="Times New Roman" w:cs="Times New Roman"/>
          <w:sz w:val="28"/>
          <w:szCs w:val="28"/>
        </w:rPr>
        <w:t xml:space="preserve">Первое слагаемое отражает раннюю диффузионно-контролируемую стадию роста межфазного сопротивления, второе — квазилинейную стадию накопления потерь активного лития и активного материала, третье — позднюю стадию ускоренной деградации, когда механические нарушения катода начинают резко усиливать рост внутреннего импеданса. Такая форма модели особенно хорошо согласуется с наблюдаемой для </w:t>
      </w:r>
      <w:r w:rsidRPr="00363772">
        <w:rPr>
          <w:rFonts w:ascii="Times New Roman" w:hAnsi="Times New Roman" w:cs="Times New Roman"/>
          <w:sz w:val="28"/>
          <w:szCs w:val="28"/>
          <w:highlight w:val="yellow"/>
        </w:rPr>
        <w:t>Ni-rich</w:t>
      </w:r>
      <w:r w:rsidRPr="00363772">
        <w:rPr>
          <w:rFonts w:ascii="Times New Roman" w:hAnsi="Times New Roman" w:cs="Times New Roman"/>
          <w:sz w:val="28"/>
          <w:szCs w:val="28"/>
        </w:rPr>
        <w:t xml:space="preserve"> NMC переходной динамикой от плавного старта к ускоренному </w:t>
      </w:r>
      <w:r w:rsidRPr="00363772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r w:rsidR="000D55DB">
        <w:rPr>
          <w:rFonts w:ascii="Times New Roman" w:hAnsi="Times New Roman" w:cs="Times New Roman"/>
          <w:sz w:val="28"/>
          <w:szCs w:val="28"/>
        </w:rPr>
        <w:t xml:space="preserve"> (</w:t>
      </w:r>
      <w:r w:rsidR="000D55DB" w:rsidRPr="006721FE">
        <w:rPr>
          <w:rFonts w:ascii="Times New Roman" w:hAnsi="Times New Roman" w:cs="Times New Roman"/>
          <w:sz w:val="28"/>
          <w:szCs w:val="28"/>
          <w:highlight w:val="green"/>
        </w:rPr>
        <w:t>снижение способности батареи передавать или поглощать энергию с определённой скоростью</w:t>
      </w:r>
      <w:r w:rsidR="000D55DB">
        <w:rPr>
          <w:rFonts w:ascii="Times New Roman" w:hAnsi="Times New Roman" w:cs="Times New Roman"/>
          <w:sz w:val="28"/>
          <w:szCs w:val="28"/>
        </w:rPr>
        <w:t>)</w:t>
      </w:r>
      <w:r w:rsidRPr="00363772">
        <w:rPr>
          <w:rFonts w:ascii="Times New Roman" w:hAnsi="Times New Roman" w:cs="Times New Roman"/>
          <w:sz w:val="28"/>
          <w:szCs w:val="28"/>
        </w:rPr>
        <w:t>.</w:t>
      </w:r>
    </w:p>
    <w:p w14:paraId="0B322843" w14:textId="77777777" w:rsidR="00363772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5ADD99" w14:textId="239FC8A2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1B3E">
        <w:rPr>
          <w:rFonts w:ascii="Times New Roman" w:hAnsi="Times New Roman" w:cs="Times New Roman"/>
          <w:b/>
          <w:bCs/>
          <w:sz w:val="28"/>
          <w:szCs w:val="28"/>
        </w:rPr>
        <w:lastRenderedPageBreak/>
        <w:t>1.2.2 Деградация аккумуляторов типа LFP</w:t>
      </w:r>
    </w:p>
    <w:p w14:paraId="15463BF4" w14:textId="77777777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A2B8FE" w14:textId="2DF29F8B" w:rsidR="00AD1B3E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>Литий-железо-фосфатные аккумуляторы характеризуются более высокой термической стабильностью, развитой эксплуатационной безопасностью и, как правило, большим циклическим ресурсом по сравнению с NMC. Эти свойства связаны с оливиновой структурой LiFePO, которая термодинамически более устойчива и менее склонна к кислородной нестабильности, однако имеет меньшую собственную электронную проводимость и одномерные каналы диффузии лития. Современные обзоры LFP подчёркивают именно эту двойственность: высокая структурная устойчивость сочетается с более жёсткими требованиями к проводящим покрытиям, размеру частиц и межфазной архитектуре.</w:t>
      </w:r>
    </w:p>
    <w:p w14:paraId="4862550E" w14:textId="51D5D344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 xml:space="preserve">Для LFP-систем ранняя деградация часто определяется не столько разрушением катода, сколько потерей циклируемого лития, деградацией графитового анода и постепенным ростом импеданса на фоне сокращения эффективной реакционной площади. Обзор </w:t>
      </w:r>
      <w:r w:rsidRPr="003F74CD">
        <w:rPr>
          <w:rFonts w:ascii="Times New Roman" w:hAnsi="Times New Roman" w:cs="Times New Roman"/>
          <w:sz w:val="28"/>
          <w:szCs w:val="28"/>
          <w:highlight w:val="yellow"/>
        </w:rPr>
        <w:t>Wang и соавт.</w:t>
      </w:r>
      <w:r w:rsidRPr="0051321D">
        <w:rPr>
          <w:rFonts w:ascii="Times New Roman" w:hAnsi="Times New Roman" w:cs="Times New Roman"/>
          <w:sz w:val="28"/>
          <w:szCs w:val="28"/>
        </w:rPr>
        <w:t xml:space="preserve"> указывает, что на ранней стадии главным механизмом является </w:t>
      </w:r>
      <w:r w:rsidRPr="003F74CD">
        <w:rPr>
          <w:rFonts w:ascii="Times New Roman" w:hAnsi="Times New Roman" w:cs="Times New Roman"/>
          <w:sz w:val="28"/>
          <w:szCs w:val="28"/>
          <w:highlight w:val="yellow"/>
        </w:rPr>
        <w:t>LLI</w:t>
      </w:r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 xml:space="preserve"> (leading to irreversible capacity degradation</w:t>
      </w:r>
      <w:r w:rsidR="00A37019" w:rsidRPr="00BB19A8">
        <w:rPr>
          <w:rFonts w:ascii="Times New Roman" w:hAnsi="Times New Roman" w:cs="Times New Roman"/>
          <w:sz w:val="28"/>
          <w:szCs w:val="28"/>
          <w:highlight w:val="yellow"/>
        </w:rPr>
        <w:t xml:space="preserve"> - </w:t>
      </w:r>
      <w:r w:rsidR="00A37019" w:rsidRPr="00A37019">
        <w:rPr>
          <w:rFonts w:ascii="Times New Roman" w:hAnsi="Times New Roman" w:cs="Times New Roman"/>
          <w:sz w:val="28"/>
          <w:szCs w:val="28"/>
          <w:highlight w:val="yellow"/>
        </w:rPr>
        <w:t>Необратимая потеря ёмкости в литий-ионных аккумуляторах</w:t>
      </w:r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51321D">
        <w:rPr>
          <w:rFonts w:ascii="Times New Roman" w:hAnsi="Times New Roman" w:cs="Times New Roman"/>
          <w:sz w:val="28"/>
          <w:szCs w:val="28"/>
        </w:rPr>
        <w:t>, а затем всё большую роль начинают играть уменьшение активной площади и рост импеданса. Это особенно важно для диссертации, поскольку показывает: даже у сравнительно стабильной химии ключевой прогностический параметр должен быть связан не только с ёмкостью, но и с сопротивлением переноса заряда.</w:t>
      </w:r>
    </w:p>
    <w:p w14:paraId="707891A8" w14:textId="22465C47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 xml:space="preserve">Физически деградация LFP-системы связана с двухфазным механизмом </w:t>
      </w:r>
      <w:commentRangeStart w:id="3"/>
      <w:r w:rsidRPr="00BB19A8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commentRangeEnd w:id="3"/>
      <w:r w:rsidR="00BB19A8" w:rsidRPr="00BB19A8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3"/>
      </w:r>
      <w:r w:rsidRPr="00BB19A8">
        <w:rPr>
          <w:rFonts w:ascii="Times New Roman" w:hAnsi="Times New Roman" w:cs="Times New Roman"/>
          <w:sz w:val="28"/>
          <w:szCs w:val="28"/>
          <w:highlight w:val="yellow"/>
        </w:rPr>
        <w:t>/деинтеркаляции</w:t>
      </w:r>
      <w:r w:rsidRPr="0051321D">
        <w:rPr>
          <w:rFonts w:ascii="Times New Roman" w:hAnsi="Times New Roman" w:cs="Times New Roman"/>
          <w:sz w:val="28"/>
          <w:szCs w:val="28"/>
        </w:rPr>
        <w:t xml:space="preserve"> в системе FePO/LiFePO. В простейшей одномерной постановке диффузия лития в частице описывается вторым законом Фика, а движение фазовой границы подчиняется условию </w:t>
      </w:r>
      <w:r w:rsidRPr="0051321D">
        <w:rPr>
          <w:rFonts w:ascii="Times New Roman" w:hAnsi="Times New Roman" w:cs="Times New Roman"/>
          <w:sz w:val="28"/>
          <w:szCs w:val="28"/>
          <w:highlight w:val="yellow"/>
        </w:rPr>
        <w:t>потока на интерфейсе</w:t>
      </w:r>
      <w:r w:rsidRPr="0051321D">
        <w:rPr>
          <w:rFonts w:ascii="Times New Roman" w:hAnsi="Times New Roman" w:cs="Times New Roman"/>
          <w:sz w:val="28"/>
          <w:szCs w:val="28"/>
        </w:rPr>
        <w:t xml:space="preserve">. В инженерной аппроксимации это приводит к тому, что параметр </w:t>
      </w:r>
      <w:r w:rsidRPr="0051321D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1321D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Pr="0051321D">
        <w:rPr>
          <w:rFonts w:ascii="Times New Roman" w:hAnsi="Times New Roman" w:cs="Times New Roman"/>
          <w:sz w:val="28"/>
          <w:szCs w:val="28"/>
        </w:rPr>
        <w:t xml:space="preserve"> возрастает медленнее, чем у NMC, но роль диффузионной составляющей остаётся выраженной, особенно при низких температурах и высоких токах.</w:t>
      </w:r>
    </w:p>
    <w:p w14:paraId="6CBC50A9" w14:textId="14ADF4D4" w:rsidR="0051321D" w:rsidRPr="00A07748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1EB4">
        <w:rPr>
          <w:rFonts w:ascii="Times New Roman" w:hAnsi="Times New Roman" w:cs="Times New Roman"/>
          <w:sz w:val="28"/>
          <w:szCs w:val="28"/>
        </w:rPr>
        <w:lastRenderedPageBreak/>
        <w:t>Для LFP в диссертационной постановке целесообразно использовать зависимость</w:t>
      </w:r>
    </w:p>
    <w:p w14:paraId="55D8F883" w14:textId="77777777" w:rsidR="00561EB4" w:rsidRPr="00A07748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E91A40" w14:textId="6F17183F" w:rsidR="00561EB4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3A31">
        <w:rPr>
          <w:rFonts w:ascii="Times New Roman" w:hAnsi="Times New Roman" w:cs="Times New Roman"/>
          <w:position w:val="-16"/>
          <w:sz w:val="28"/>
          <w:szCs w:val="28"/>
          <w:lang w:val="en-US"/>
        </w:rPr>
        <w:object w:dxaOrig="3320" w:dyaOrig="440" w14:anchorId="55016605">
          <v:shape id="_x0000_i1039" type="#_x0000_t75" style="width:165.9pt;height:21.9pt" o:ole="">
            <v:imagedata r:id="rId41" o:title=""/>
          </v:shape>
          <o:OLEObject Type="Embed" ProgID="Equation.DSMT4" ShapeID="_x0000_i1039" DrawAspect="Content" ObjectID="_1841986602" r:id="rId42"/>
        </w:object>
      </w:r>
    </w:p>
    <w:p w14:paraId="24A7B5DB" w14:textId="77777777" w:rsidR="00561EB4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FA2A01" w14:textId="4C13F483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495CA341" w14:textId="3800C8D4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отвечает за раннюю межфазную деградацию;</w:t>
      </w:r>
    </w:p>
    <w:p w14:paraId="5CF11EAE" w14:textId="49E083EF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за постепенное нарастание кинетических ограничений.</w:t>
      </w:r>
    </w:p>
    <w:p w14:paraId="34EB3E79" w14:textId="00787EE2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sz w:val="28"/>
          <w:szCs w:val="28"/>
        </w:rPr>
        <w:t>Такая форма позволяет описывать наблюдаемую в ресурсных тестах ситуацию, когда ёмкость уменьшается относительно плавно, но внутренний импеданс устойчиво растёт и начинает ограничивать прежде всего мощностные характеристики батареи.</w:t>
      </w:r>
    </w:p>
    <w:p w14:paraId="484DB3BC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95AE6E" w14:textId="56A0E18D" w:rsidR="00863A31" w:rsidRPr="008B66C9" w:rsidRDefault="008B66C9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E108D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1.2.3 Деградация аккумуляторов типа LTO</w:t>
      </w:r>
    </w:p>
    <w:p w14:paraId="47729D60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92D56F" w14:textId="39F565FB" w:rsidR="008B66C9" w:rsidRPr="00A07748" w:rsidRDefault="00962A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2AB9">
        <w:rPr>
          <w:rFonts w:ascii="Times New Roman" w:hAnsi="Times New Roman" w:cs="Times New Roman"/>
          <w:sz w:val="28"/>
          <w:szCs w:val="28"/>
        </w:rPr>
        <w:t xml:space="preserve">Литий-титанатные системы принципиально отличаются от </w:t>
      </w:r>
      <w:r w:rsidRPr="001A49AA">
        <w:rPr>
          <w:rFonts w:ascii="Times New Roman" w:hAnsi="Times New Roman" w:cs="Times New Roman"/>
          <w:sz w:val="28"/>
          <w:szCs w:val="28"/>
          <w:highlight w:val="yellow"/>
        </w:rPr>
        <w:t>графитовых</w:t>
      </w:r>
      <w:r w:rsidRPr="00962AB9">
        <w:rPr>
          <w:rFonts w:ascii="Times New Roman" w:hAnsi="Times New Roman" w:cs="Times New Roman"/>
          <w:sz w:val="28"/>
          <w:szCs w:val="28"/>
        </w:rPr>
        <w:t xml:space="preserve"> литий-ионных батарей </w:t>
      </w:r>
      <w:r w:rsidRPr="006A79FB">
        <w:rPr>
          <w:rFonts w:ascii="Times New Roman" w:hAnsi="Times New Roman" w:cs="Times New Roman"/>
          <w:sz w:val="28"/>
          <w:szCs w:val="28"/>
          <w:highlight w:val="yellow"/>
        </w:rPr>
        <w:t>за счёт использования анода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Li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4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Ti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5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O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12</w:t>
      </w:r>
      <w:r w:rsidRPr="00962AB9">
        <w:rPr>
          <w:rFonts w:ascii="Times New Roman" w:hAnsi="Times New Roman" w:cs="Times New Roman"/>
          <w:sz w:val="28"/>
          <w:szCs w:val="28"/>
        </w:rPr>
        <w:t xml:space="preserve">. 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Для LTO-анода характерно так называемое </w:t>
      </w:r>
      <w:r w:rsidR="001A49AA" w:rsidRPr="001A49AA">
        <w:rPr>
          <w:rFonts w:ascii="Times New Roman" w:hAnsi="Times New Roman" w:cs="Times New Roman"/>
          <w:sz w:val="28"/>
          <w:szCs w:val="28"/>
          <w:highlight w:val="yellow"/>
        </w:rPr>
        <w:t>zero-strain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поведение, то есть минимальное изменение объёма при </w:t>
      </w:r>
      <w:r w:rsidR="001A49AA" w:rsidRPr="006A79FB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и </w:t>
      </w:r>
      <w:r w:rsidR="001A49AA" w:rsidRPr="006A79FB">
        <w:rPr>
          <w:rFonts w:ascii="Times New Roman" w:hAnsi="Times New Roman" w:cs="Times New Roman"/>
          <w:sz w:val="28"/>
          <w:szCs w:val="28"/>
          <w:highlight w:val="yellow"/>
        </w:rPr>
        <w:t>деинтеркаляции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лития. Именно это обстоятельство обеспечивает исключительно высокую циклическую стабильность, малую склонность к литиевому осаждению и хорошие высокомощностные свойства. Современные обзоры прямо связывают высокую долговечность LTO с </w:t>
      </w:r>
      <w:r w:rsidR="001A49AA" w:rsidRPr="000B5788">
        <w:rPr>
          <w:rFonts w:ascii="Times New Roman" w:hAnsi="Times New Roman" w:cs="Times New Roman"/>
          <w:sz w:val="28"/>
          <w:szCs w:val="28"/>
          <w:highlight w:val="yellow"/>
        </w:rPr>
        <w:t>near-zero strain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характером анода.</w:t>
      </w:r>
    </w:p>
    <w:p w14:paraId="46EF66D8" w14:textId="336F7FFA" w:rsidR="00996796" w:rsidRPr="007649B5" w:rsidRDefault="007649B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49B5">
        <w:rPr>
          <w:rFonts w:ascii="Times New Roman" w:hAnsi="Times New Roman" w:cs="Times New Roman"/>
          <w:sz w:val="28"/>
          <w:szCs w:val="28"/>
        </w:rPr>
        <w:t xml:space="preserve">Однако у LTO имеются и принципиальные ограничения. Во-первых, такие системы уступают NMC и LFP по удельной энергии. Во-вторых, для LTO типичны сравнительно низкие электронная и ионная проводимости самого </w:t>
      </w:r>
      <w:r w:rsidRPr="007649B5">
        <w:rPr>
          <w:rFonts w:ascii="Times New Roman" w:hAnsi="Times New Roman" w:cs="Times New Roman"/>
          <w:sz w:val="28"/>
          <w:szCs w:val="28"/>
        </w:rPr>
        <w:lastRenderedPageBreak/>
        <w:t xml:space="preserve">анодного материала, из-за чего для реальных высокомощностных ячеек существенную роль играют архитектура электрода, проводящие добавки и межфазное сопротивление. Современные публикации также указывают на SOC-зависимое и температурно-ускоряемое старение, газообразование и образование поверхностных слоёв, особенно при жёстких режимах </w:t>
      </w:r>
      <w:r>
        <w:rPr>
          <w:rFonts w:ascii="Times New Roman" w:hAnsi="Times New Roman" w:cs="Times New Roman"/>
          <w:sz w:val="28"/>
          <w:szCs w:val="28"/>
        </w:rPr>
        <w:t xml:space="preserve">работы </w:t>
      </w:r>
      <w:r w:rsidRPr="007649B5">
        <w:rPr>
          <w:rFonts w:ascii="Times New Roman" w:hAnsi="Times New Roman" w:cs="Times New Roman"/>
          <w:sz w:val="28"/>
          <w:szCs w:val="28"/>
        </w:rPr>
        <w:t>и высоких температурах.</w:t>
      </w:r>
    </w:p>
    <w:p w14:paraId="635F8921" w14:textId="224ABCF1" w:rsidR="007649B5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 xml:space="preserve">С импедансной точки зрения LTO-системы особенно интересны тем, что собственная деградация анода существенно подавлена, а рост сопротивления во многих конфигурациях определяется в большей степени катодной частью и межфазным сопротивлением, чем </w:t>
      </w:r>
      <w:r w:rsidRPr="000B5788">
        <w:rPr>
          <w:rFonts w:ascii="Times New Roman" w:hAnsi="Times New Roman" w:cs="Times New Roman"/>
          <w:sz w:val="28"/>
          <w:szCs w:val="28"/>
          <w:highlight w:val="yellow"/>
        </w:rPr>
        <w:t>разрушением LTO-анода</w:t>
      </w:r>
      <w:r w:rsidRPr="007D40EA">
        <w:rPr>
          <w:rFonts w:ascii="Times New Roman" w:hAnsi="Times New Roman" w:cs="Times New Roman"/>
          <w:sz w:val="28"/>
          <w:szCs w:val="28"/>
        </w:rPr>
        <w:t xml:space="preserve"> как такового. Это подтверждается и специализированным EIS-исследованием для Li-ion батарей с LTO-анодом, где было показано, что уменьшение ёмкости при циклировании главным образом связано с ростом межфазного сопротивления и деградацией катодной стороны.</w:t>
      </w:r>
    </w:p>
    <w:p w14:paraId="6ADAC690" w14:textId="6DEAFC0B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 xml:space="preserve">Для целей диссертации это важно по двум причинам. Во-первых, LTO служит эталонной </w:t>
      </w:r>
      <w:commentRangeStart w:id="4"/>
      <w:r w:rsidRPr="007D40EA">
        <w:rPr>
          <w:rFonts w:ascii="Times New Roman" w:hAnsi="Times New Roman" w:cs="Times New Roman"/>
          <w:sz w:val="28"/>
          <w:szCs w:val="28"/>
        </w:rPr>
        <w:t xml:space="preserve">высокоресурсной </w:t>
      </w:r>
      <w:commentRangeEnd w:id="4"/>
      <w:r w:rsidR="000B5788" w:rsidRPr="007D40EA">
        <w:rPr>
          <w:rStyle w:val="ad"/>
          <w:rFonts w:ascii="Times New Roman" w:hAnsi="Times New Roman" w:cs="Times New Roman"/>
          <w:sz w:val="28"/>
          <w:szCs w:val="28"/>
        </w:rPr>
        <w:commentReference w:id="4"/>
      </w:r>
      <w:r w:rsidRPr="007D40EA">
        <w:rPr>
          <w:rFonts w:ascii="Times New Roman" w:hAnsi="Times New Roman" w:cs="Times New Roman"/>
          <w:sz w:val="28"/>
          <w:szCs w:val="28"/>
        </w:rPr>
        <w:t>системой, на которой удобно проверять чувствительность импедансных критериев к медленным деградационным процессам. Во-вторых, поведение LTO показывает, что одна и та же диагностическая переменная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D40E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7D40E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7D40EA">
        <w:rPr>
          <w:rFonts w:ascii="Times New Roman" w:hAnsi="Times New Roman" w:cs="Times New Roman"/>
          <w:sz w:val="28"/>
          <w:szCs w:val="28"/>
        </w:rPr>
        <w:t xml:space="preserve"> может иметь различную физическую интерпретацию в зависимости от химической системы: в одном случае она отражает преимущественно анодную деградацию, в другом — катодную, в третьем — их совместный вклад.</w:t>
      </w:r>
    </w:p>
    <w:p w14:paraId="67159D09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1C1141" w14:textId="081619E4" w:rsidR="007D40EA" w:rsidRPr="00903768" w:rsidRDefault="0090376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03768">
        <w:rPr>
          <w:rFonts w:ascii="Times New Roman" w:hAnsi="Times New Roman" w:cs="Times New Roman"/>
          <w:b/>
          <w:bCs/>
          <w:sz w:val="28"/>
          <w:szCs w:val="28"/>
        </w:rPr>
        <w:t>1.2.4 Деградация натрий-ионных аккумуляторов</w:t>
      </w:r>
    </w:p>
    <w:p w14:paraId="1C8DEA4A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52667F" w14:textId="4CBEEF24" w:rsidR="00903768" w:rsidRDefault="008B2348" w:rsidP="00B240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>Натрий-ионные аккумуляторы</w:t>
      </w:r>
      <w:r w:rsidR="00B240AD">
        <w:rPr>
          <w:rFonts w:ascii="Times New Roman" w:hAnsi="Times New Roman" w:cs="Times New Roman"/>
          <w:sz w:val="28"/>
          <w:szCs w:val="28"/>
        </w:rPr>
        <w:t xml:space="preserve"> 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  <w:lang w:val="en-US"/>
        </w:rPr>
        <w:t>SIB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 xml:space="preserve"> – 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>Sodium-Ion Batteries)</w:t>
      </w:r>
      <w:r w:rsidRPr="008B2348">
        <w:rPr>
          <w:rFonts w:ascii="Times New Roman" w:hAnsi="Times New Roman" w:cs="Times New Roman"/>
          <w:sz w:val="28"/>
          <w:szCs w:val="28"/>
        </w:rPr>
        <w:t xml:space="preserve"> в последние годы активно рассматриваются как альтернатива литий-ионным системам, особенно в приложениях, где критичны стоимость, сырьевая доступность и </w:t>
      </w:r>
      <w:r w:rsidRPr="008B2348">
        <w:rPr>
          <w:rFonts w:ascii="Times New Roman" w:hAnsi="Times New Roman" w:cs="Times New Roman"/>
          <w:sz w:val="28"/>
          <w:szCs w:val="28"/>
        </w:rPr>
        <w:lastRenderedPageBreak/>
        <w:t xml:space="preserve">независимость от лития. Однако современные исследования показывают, что натрий-ионные системы в целом характеризуются более медленной кинетикой поляризационных процессов и, как следствие, более выраженными </w:t>
      </w:r>
      <w:commentRangeStart w:id="5"/>
      <w:r w:rsidRPr="000B5788">
        <w:rPr>
          <w:rFonts w:ascii="Times New Roman" w:hAnsi="Times New Roman" w:cs="Times New Roman"/>
          <w:sz w:val="28"/>
          <w:szCs w:val="28"/>
          <w:highlight w:val="yellow"/>
        </w:rPr>
        <w:t>импедансными полукругами</w:t>
      </w:r>
      <w:commentRangeEnd w:id="5"/>
      <w:r w:rsidR="000B5788" w:rsidRPr="008B2348">
        <w:rPr>
          <w:rStyle w:val="ad"/>
          <w:rFonts w:ascii="Times New Roman" w:hAnsi="Times New Roman" w:cs="Times New Roman"/>
          <w:sz w:val="28"/>
          <w:szCs w:val="28"/>
        </w:rPr>
        <w:commentReference w:id="5"/>
      </w:r>
      <w:r w:rsidRPr="008B2348">
        <w:rPr>
          <w:rFonts w:ascii="Times New Roman" w:hAnsi="Times New Roman" w:cs="Times New Roman"/>
          <w:sz w:val="28"/>
          <w:szCs w:val="28"/>
        </w:rPr>
        <w:t>, что прямо связано с меньшей подвижностью ионов натрия и более медленным межфазным транспортом.</w:t>
      </w:r>
    </w:p>
    <w:p w14:paraId="1759A9FB" w14:textId="3B580C41" w:rsidR="008B2348" w:rsidRDefault="008B23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>Физическая причина такого поведения заключается в большем ионном радиусе Na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B2348">
        <w:rPr>
          <w:rFonts w:ascii="Times New Roman" w:hAnsi="Times New Roman" w:cs="Times New Roman"/>
          <w:sz w:val="28"/>
          <w:szCs w:val="28"/>
        </w:rPr>
        <w:t>по сравнению с Li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 w:rsidRPr="008B2348">
        <w:rPr>
          <w:rFonts w:ascii="Times New Roman" w:hAnsi="Times New Roman" w:cs="Times New Roman"/>
          <w:sz w:val="28"/>
          <w:szCs w:val="28"/>
        </w:rPr>
        <w:t xml:space="preserve">, что повышает энергетический барьер </w:t>
      </w:r>
      <w:r w:rsidRPr="000B5788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r w:rsidRPr="008B2348">
        <w:rPr>
          <w:rFonts w:ascii="Times New Roman" w:hAnsi="Times New Roman" w:cs="Times New Roman"/>
          <w:sz w:val="28"/>
          <w:szCs w:val="28"/>
        </w:rPr>
        <w:t xml:space="preserve"> и усиливает чувствительность к геометрии каналов диффузии и к качеству межфазного контакта. В результате у Na</w:t>
      </w:r>
      <w:r w:rsidR="00D4400F">
        <w:rPr>
          <w:rFonts w:ascii="Times New Roman" w:hAnsi="Times New Roman" w:cs="Times New Roman"/>
          <w:sz w:val="28"/>
          <w:szCs w:val="28"/>
        </w:rPr>
        <w:t>-</w:t>
      </w:r>
      <w:r w:rsidRPr="008B2348">
        <w:rPr>
          <w:rFonts w:ascii="Times New Roman" w:hAnsi="Times New Roman" w:cs="Times New Roman"/>
          <w:sz w:val="28"/>
          <w:szCs w:val="28"/>
        </w:rPr>
        <w:t xml:space="preserve">ion аккумуляторов чаще наблюдаются более высокие значения как омической, так и зарядопереносной составляющей импеданса. Современные обзоры механизмов деградации </w:t>
      </w:r>
      <w:r w:rsidRPr="00D4400F">
        <w:rPr>
          <w:rFonts w:ascii="Times New Roman" w:hAnsi="Times New Roman" w:cs="Times New Roman"/>
          <w:sz w:val="28"/>
          <w:szCs w:val="28"/>
          <w:highlight w:val="yellow"/>
        </w:rPr>
        <w:t>SIB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>Sodium-Ion Batteries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Pr="008B2348">
        <w:rPr>
          <w:rFonts w:ascii="Times New Roman" w:hAnsi="Times New Roman" w:cs="Times New Roman"/>
          <w:sz w:val="28"/>
          <w:szCs w:val="28"/>
        </w:rPr>
        <w:t xml:space="preserve"> подчёркивают также важную роль нестабильности межфазного слоя, структурных превращений катодов и неоднородностей производства коммерческих элементов.</w:t>
      </w:r>
    </w:p>
    <w:p w14:paraId="5A352AC9" w14:textId="41B20294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6018">
        <w:rPr>
          <w:rFonts w:ascii="Times New Roman" w:hAnsi="Times New Roman" w:cs="Times New Roman"/>
          <w:sz w:val="28"/>
          <w:szCs w:val="28"/>
        </w:rPr>
        <w:t>В инженерном представлении деградацию натрий-ионной системы можно записать как</w:t>
      </w:r>
    </w:p>
    <w:p w14:paraId="133C25A3" w14:textId="77777777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C238E0" w14:textId="53E9192F" w:rsidR="00EE6018" w:rsidRPr="00B240AD" w:rsidRDefault="0044540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5407">
        <w:rPr>
          <w:rFonts w:ascii="Times New Roman" w:hAnsi="Times New Roman" w:cs="Times New Roman"/>
          <w:position w:val="-12"/>
          <w:sz w:val="28"/>
          <w:szCs w:val="28"/>
        </w:rPr>
        <w:object w:dxaOrig="3420" w:dyaOrig="400" w14:anchorId="387CB7D6">
          <v:shape id="_x0000_i1040" type="#_x0000_t75" style="width:170.9pt;height:20.65pt" o:ole="">
            <v:imagedata r:id="rId43" o:title=""/>
          </v:shape>
          <o:OLEObject Type="Embed" ProgID="Equation.DSMT4" ShapeID="_x0000_i1040" DrawAspect="Content" ObjectID="_1841986603" r:id="rId44"/>
        </w:object>
      </w:r>
      <w:r w:rsidR="00B240AD" w:rsidRPr="00B240AD">
        <w:rPr>
          <w:rFonts w:ascii="Times New Roman" w:hAnsi="Times New Roman" w:cs="Times New Roman"/>
          <w:sz w:val="28"/>
          <w:szCs w:val="28"/>
        </w:rPr>
        <w:t>,</w:t>
      </w:r>
    </w:p>
    <w:p w14:paraId="08F83134" w14:textId="77777777" w:rsidR="00EE6018" w:rsidRPr="00B240AD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B3057C" w14:textId="08113CC9" w:rsidR="00445407" w:rsidRPr="00A07748" w:rsidRDefault="0044540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445407">
        <w:rPr>
          <w:rFonts w:ascii="Times New Roman" w:hAnsi="Times New Roman" w:cs="Times New Roman"/>
          <w:sz w:val="28"/>
          <w:szCs w:val="28"/>
        </w:rPr>
        <w:t>последнее слагаемое отражает вклад структурных перестроек и объёмных деформаций.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>В отличие от LTO, где деградация распределена более мягко, и от LFP, где ведущую роль может долго играть потеря циклируемого лития, у Na-ion систем часто раньше и сильнее проявляется именно рост поляризационных потерь.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>Поэтому в EIS-постановке такие системы особенно показательны для анализа связки «рост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4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445407">
        <w:rPr>
          <w:rFonts w:ascii="Times New Roman" w:hAnsi="Times New Roman" w:cs="Times New Roman"/>
          <w:sz w:val="28"/>
          <w:szCs w:val="28"/>
        </w:rPr>
        <w:t xml:space="preserve"> рост общего импеданса — снижение мощности».</w:t>
      </w:r>
    </w:p>
    <w:p w14:paraId="6FB4CF5A" w14:textId="10E714AE" w:rsidR="00445407" w:rsidRPr="00A07748" w:rsidRDefault="00204A1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4A17">
        <w:rPr>
          <w:rFonts w:ascii="Times New Roman" w:hAnsi="Times New Roman" w:cs="Times New Roman"/>
          <w:sz w:val="28"/>
          <w:szCs w:val="28"/>
        </w:rPr>
        <w:lastRenderedPageBreak/>
        <w:t>Для диссертационной логики введение Na-ion систем важно ещё и потому, что они позволяют проверить универсальность диагностико</w:t>
      </w:r>
      <w:r w:rsidR="00443C43" w:rsidRPr="00443C43">
        <w:rPr>
          <w:rFonts w:ascii="Times New Roman" w:hAnsi="Times New Roman" w:cs="Times New Roman"/>
          <w:sz w:val="28"/>
          <w:szCs w:val="28"/>
        </w:rPr>
        <w:t>-</w:t>
      </w:r>
      <w:r w:rsidRPr="00204A17">
        <w:rPr>
          <w:rFonts w:ascii="Times New Roman" w:hAnsi="Times New Roman" w:cs="Times New Roman"/>
          <w:sz w:val="28"/>
          <w:szCs w:val="28"/>
        </w:rPr>
        <w:t>прогностического аппарата на химии, существенно отличающейся от классических литиевых батарей. Если модель, построенная на параметрах комплексного импеданса, сохраняет прогностическую состоятельность и для Na-ion, это резко усиливает её обобщающую ценность.</w:t>
      </w:r>
    </w:p>
    <w:p w14:paraId="07A27348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7243BB" w14:textId="59FBC81D" w:rsidR="00443C43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C43">
        <w:rPr>
          <w:rFonts w:ascii="Times New Roman" w:hAnsi="Times New Roman" w:cs="Times New Roman"/>
          <w:sz w:val="28"/>
          <w:szCs w:val="28"/>
        </w:rPr>
        <w:t xml:space="preserve">Таблица 1.2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43C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Доминирующие </w:t>
      </w:r>
      <w:r w:rsidRPr="00443C43">
        <w:rPr>
          <w:rFonts w:ascii="Times New Roman" w:hAnsi="Times New Roman" w:cs="Times New Roman"/>
          <w:sz w:val="28"/>
          <w:szCs w:val="28"/>
        </w:rPr>
        <w:t>механизмы старения исследуемых аккумуляторных систем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72"/>
        <w:gridCol w:w="2399"/>
        <w:gridCol w:w="2396"/>
        <w:gridCol w:w="2460"/>
      </w:tblGrid>
      <w:tr w:rsidR="00140008" w14:paraId="49A89F90" w14:textId="77777777" w:rsidTr="00140008">
        <w:tc>
          <w:tcPr>
            <w:tcW w:w="2406" w:type="dxa"/>
          </w:tcPr>
          <w:p w14:paraId="05A6D033" w14:textId="079A7E19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Химическая система</w:t>
            </w:r>
          </w:p>
        </w:tc>
        <w:tc>
          <w:tcPr>
            <w:tcW w:w="2407" w:type="dxa"/>
          </w:tcPr>
          <w:p w14:paraId="6B8DD7D1" w14:textId="148CC97D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Доминирующие механизмы деградации</w:t>
            </w:r>
          </w:p>
        </w:tc>
        <w:tc>
          <w:tcPr>
            <w:tcW w:w="2407" w:type="dxa"/>
          </w:tcPr>
          <w:p w14:paraId="3B9D5BF8" w14:textId="4E3EA763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Наиболее чувствительные импедансные признаки</w:t>
            </w:r>
          </w:p>
        </w:tc>
        <w:tc>
          <w:tcPr>
            <w:tcW w:w="2407" w:type="dxa"/>
          </w:tcPr>
          <w:p w14:paraId="1EDE1A6E" w14:textId="304CDBC0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Наиболее уязвимый эксплуатационный фактор</w:t>
            </w:r>
          </w:p>
        </w:tc>
      </w:tr>
      <w:tr w:rsidR="00140008" w14:paraId="7D2B2107" w14:textId="77777777" w:rsidTr="00140008">
        <w:tc>
          <w:tcPr>
            <w:tcW w:w="2406" w:type="dxa"/>
          </w:tcPr>
          <w:p w14:paraId="64FE3A97" w14:textId="6751F74F" w:rsidR="00140008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5745">
              <w:rPr>
                <w:rFonts w:ascii="Times New Roman" w:hAnsi="Times New Roman" w:cs="Times New Roman"/>
                <w:sz w:val="28"/>
                <w:szCs w:val="28"/>
              </w:rPr>
              <w:t>NMC</w:t>
            </w:r>
          </w:p>
        </w:tc>
        <w:tc>
          <w:tcPr>
            <w:tcW w:w="2407" w:type="dxa"/>
          </w:tcPr>
          <w:p w14:paraId="081AA68C" w14:textId="711EFCAF" w:rsidR="00140008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5745">
              <w:rPr>
                <w:rFonts w:ascii="Times New Roman" w:hAnsi="Times New Roman" w:cs="Times New Roman"/>
                <w:sz w:val="28"/>
                <w:szCs w:val="28"/>
              </w:rPr>
              <w:t>рост межфазных сопротивлений, микротрещины катода, растворение переходных металлов, потеря активного лития</w:t>
            </w:r>
          </w:p>
        </w:tc>
        <w:tc>
          <w:tcPr>
            <w:tcW w:w="2407" w:type="dxa"/>
          </w:tcPr>
          <w:p w14:paraId="01740DB9" w14:textId="485E5703" w:rsidR="00140008" w:rsidRDefault="0048460B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 xml:space="preserve">быстрый рост </w:t>
            </w:r>
            <w:r w:rsidRPr="0048460B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Rct</w:t>
            </w: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 xml:space="preserve">, расширение полукруга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графика </w:t>
            </w: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>Найквиста, усиление низкочастотного хвоста</w:t>
            </w:r>
          </w:p>
        </w:tc>
        <w:tc>
          <w:tcPr>
            <w:tcW w:w="2407" w:type="dxa"/>
          </w:tcPr>
          <w:p w14:paraId="5C3F22E9" w14:textId="29AD4642" w:rsidR="00140008" w:rsidRDefault="00E2245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22459">
              <w:rPr>
                <w:rFonts w:ascii="Times New Roman" w:hAnsi="Times New Roman" w:cs="Times New Roman"/>
                <w:sz w:val="28"/>
                <w:szCs w:val="28"/>
              </w:rPr>
              <w:t>высокий SOC, высокая температура, высокое верхнее напряжение</w:t>
            </w:r>
          </w:p>
        </w:tc>
      </w:tr>
      <w:tr w:rsidR="00140008" w14:paraId="223A922C" w14:textId="77777777" w:rsidTr="00140008">
        <w:tc>
          <w:tcPr>
            <w:tcW w:w="2406" w:type="dxa"/>
          </w:tcPr>
          <w:p w14:paraId="7A9F13C8" w14:textId="6C26E457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LFP</w:t>
            </w:r>
          </w:p>
        </w:tc>
        <w:tc>
          <w:tcPr>
            <w:tcW w:w="2407" w:type="dxa"/>
          </w:tcPr>
          <w:p w14:paraId="43C6E4CE" w14:textId="191BA1E4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 xml:space="preserve">потеря циклируемого лития, снижение активной площади, рост межфазного сопротивления анода, </w:t>
            </w:r>
            <w:r w:rsidRPr="003C4AE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диффузионные ограничения</w:t>
            </w:r>
          </w:p>
        </w:tc>
        <w:tc>
          <w:tcPr>
            <w:tcW w:w="2407" w:type="dxa"/>
          </w:tcPr>
          <w:p w14:paraId="40448422" w14:textId="5B4915F9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умеренный рост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C4AE3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3C4AE3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выраженная диффузионная область</w:t>
            </w:r>
          </w:p>
        </w:tc>
        <w:tc>
          <w:tcPr>
            <w:tcW w:w="2407" w:type="dxa"/>
          </w:tcPr>
          <w:p w14:paraId="1F8DE944" w14:textId="02479D38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низкие температуры, длительное хранение при высоком SOC, высокий ток</w:t>
            </w:r>
          </w:p>
        </w:tc>
      </w:tr>
      <w:tr w:rsidR="00140008" w14:paraId="657E195D" w14:textId="77777777" w:rsidTr="00140008">
        <w:tc>
          <w:tcPr>
            <w:tcW w:w="2406" w:type="dxa"/>
          </w:tcPr>
          <w:p w14:paraId="3C066BDD" w14:textId="4DB39087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LTO</w:t>
            </w:r>
          </w:p>
        </w:tc>
        <w:tc>
          <w:tcPr>
            <w:tcW w:w="2407" w:type="dxa"/>
          </w:tcPr>
          <w:p w14:paraId="5D64DADE" w14:textId="5E4C0DAD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межфазное сопротивление, газообразование, катодная деградация, температурно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ускоренное старение</w:t>
            </w:r>
          </w:p>
        </w:tc>
        <w:tc>
          <w:tcPr>
            <w:tcW w:w="2407" w:type="dxa"/>
          </w:tcPr>
          <w:p w14:paraId="012D71D6" w14:textId="220A40BC" w:rsidR="00140008" w:rsidRDefault="002D579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D5799">
              <w:rPr>
                <w:rFonts w:ascii="Times New Roman" w:hAnsi="Times New Roman" w:cs="Times New Roman"/>
                <w:sz w:val="28"/>
                <w:szCs w:val="28"/>
              </w:rPr>
              <w:t xml:space="preserve">медленный рост </w:t>
            </w:r>
            <w:r w:rsidRPr="002D579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Rct</w:t>
            </w:r>
            <w:r w:rsidRPr="002D5799">
              <w:rPr>
                <w:rFonts w:ascii="Times New Roman" w:hAnsi="Times New Roman" w:cs="Times New Roman"/>
                <w:sz w:val="28"/>
                <w:szCs w:val="28"/>
              </w:rPr>
              <w:t>, слабый рост общего импеданса на ранней стадии</w:t>
            </w:r>
          </w:p>
        </w:tc>
        <w:tc>
          <w:tcPr>
            <w:tcW w:w="2407" w:type="dxa"/>
          </w:tcPr>
          <w:p w14:paraId="4774C388" w14:textId="0405A1D0" w:rsidR="00140008" w:rsidRPr="0056443E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высокие температуры, неблагоприятное SOC-окно, экстремальный power cycling</w:t>
            </w:r>
          </w:p>
        </w:tc>
      </w:tr>
      <w:tr w:rsidR="00140008" w14:paraId="225EA8F9" w14:textId="77777777" w:rsidTr="00140008">
        <w:tc>
          <w:tcPr>
            <w:tcW w:w="2406" w:type="dxa"/>
          </w:tcPr>
          <w:p w14:paraId="319FEBBD" w14:textId="15EEFBAF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Na-ion</w:t>
            </w:r>
          </w:p>
        </w:tc>
        <w:tc>
          <w:tcPr>
            <w:tcW w:w="2407" w:type="dxa"/>
          </w:tcPr>
          <w:p w14:paraId="5F237B2A" w14:textId="4AE9EE06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нестабильность интерфейса, структурные превращения катода, замедленный транспорт Na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+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, рост поляризации</w:t>
            </w:r>
          </w:p>
        </w:tc>
        <w:tc>
          <w:tcPr>
            <w:tcW w:w="2407" w:type="dxa"/>
          </w:tcPr>
          <w:p w14:paraId="6F38DB5D" w14:textId="27E5F309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высокий начальный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56443E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56443E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2B43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крупные полукруги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, сильный рост импеданса при старении</w:t>
            </w:r>
          </w:p>
        </w:tc>
        <w:tc>
          <w:tcPr>
            <w:tcW w:w="2407" w:type="dxa"/>
          </w:tcPr>
          <w:p w14:paraId="73446835" w14:textId="0CD19718" w:rsidR="00140008" w:rsidRDefault="007154BD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54BD">
              <w:rPr>
                <w:rFonts w:ascii="Times New Roman" w:hAnsi="Times New Roman" w:cs="Times New Roman"/>
                <w:sz w:val="28"/>
                <w:szCs w:val="28"/>
              </w:rPr>
              <w:t>температурные возмущения, высокие токи, неоднородность материала</w:t>
            </w:r>
          </w:p>
        </w:tc>
      </w:tr>
    </w:tbl>
    <w:p w14:paraId="42AD9D8D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073C1C" w14:textId="75CA3FA3" w:rsidR="00283988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Таблица фиксирует, что одинаковая наблюдаемая макровеличина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>например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 xml:space="preserve">может иметь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различную причинную природу</w:t>
      </w:r>
      <w:r w:rsidRPr="00216404">
        <w:rPr>
          <w:rFonts w:ascii="Times New Roman" w:hAnsi="Times New Roman" w:cs="Times New Roman"/>
          <w:sz w:val="28"/>
          <w:szCs w:val="28"/>
        </w:rPr>
        <w:t>. Следовательно, в дальнейших разделах диссертации параметрическая идентификация должна сопровождаться химически-специфичной интерпретацией спектра.</w:t>
      </w:r>
    </w:p>
    <w:p w14:paraId="525494A6" w14:textId="51A69974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Механистические различия между химическими системами удобно представить не только в словесной, но и в сравнительно аналитической форме.</w:t>
      </w:r>
    </w:p>
    <w:p w14:paraId="1CAD35ED" w14:textId="1D94E8D5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 xml:space="preserve">Результаты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  <w:r w:rsidRPr="00216404">
        <w:rPr>
          <w:rFonts w:ascii="Times New Roman" w:hAnsi="Times New Roman" w:cs="Times New Roman"/>
          <w:sz w:val="28"/>
          <w:szCs w:val="28"/>
        </w:rPr>
        <w:t xml:space="preserve"> показывают, что каждая химическая система обладает собственным профилем доминирующих деградационных механизмов. Это означает, что универсальная диагностика возможна только при сохранении </w:t>
      </w:r>
      <w:r w:rsidRPr="00216404">
        <w:rPr>
          <w:rFonts w:ascii="Times New Roman" w:hAnsi="Times New Roman" w:cs="Times New Roman"/>
          <w:sz w:val="28"/>
          <w:szCs w:val="28"/>
        </w:rPr>
        <w:lastRenderedPageBreak/>
        <w:t>единого математического ядра и одновременном введении химически-специфичных коэффициентов интерпретации.</w:t>
      </w:r>
    </w:p>
    <w:p w14:paraId="3CF7DE4B" w14:textId="69670347" w:rsidR="00216404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7E798C6" wp14:editId="3197B26A">
            <wp:extent cx="6119495" cy="3190240"/>
            <wp:effectExtent l="0" t="0" r="0" b="0"/>
            <wp:docPr id="167936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19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6DABD" w14:textId="0A8B821D" w:rsidR="00D400C8" w:rsidRDefault="00824D2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4D26">
        <w:rPr>
          <w:rFonts w:ascii="Times New Roman" w:hAnsi="Times New Roman" w:cs="Times New Roman"/>
          <w:sz w:val="28"/>
          <w:szCs w:val="28"/>
        </w:rPr>
        <w:t xml:space="preserve">Рисунок 1.4 — Доминирующие механизмы деградации по результатам </w:t>
      </w:r>
      <w:r w:rsidRPr="00824D26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</w:p>
    <w:p w14:paraId="63D9B23D" w14:textId="77777777" w:rsidR="00D400C8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BFF949" w14:textId="38FB3BBE" w:rsidR="00824D26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На рисунке представлена сравнительная карта основных механизмов старения для NMC, LFP, LTO и Na-ion систем. Числовые индексы отражают относительный вклад межфазного роста, потери циклируемого лития или натрия, структурной деградации, роста зарядопереносного сопротивления и диффузионных ограничений в суммарную деградационную картину исследуемых батарей.</w:t>
      </w:r>
    </w:p>
    <w:p w14:paraId="187963D2" w14:textId="61DD8DBD" w:rsidR="00BB7242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Из рисунка следует, что для NMC наиболее существенны структурная деградация и рост межфазных сопротивлений, для LFP — зарядопереносная и диффузионная составляющие, для LTO вклад механизмов распределён более мягко и равномерно, а для Na-ion наиболее резко проявляются зарядопереносные и диффузионные ограничения. Такая картина согласуется с современными обзорами по соответствующим химическим системам.</w:t>
      </w:r>
    </w:p>
    <w:p w14:paraId="3313B55E" w14:textId="1BDF451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lastRenderedPageBreak/>
        <w:t xml:space="preserve">Научная ценность рисунка состоит в том, что он переводит механизм старения из качественного описания в сравнительную матрицу, пригодную для дальнейшей математической параметризации. Практическая ценность состоит в возможности заранее определить, какой набор импедансных признаков должен быть приоритетным для конкретной химической системы: для NMC — ранний мониторинг </w:t>
      </w:r>
      <w:r w:rsidRPr="00BB724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B724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B7242">
        <w:rPr>
          <w:rFonts w:ascii="Times New Roman" w:hAnsi="Times New Roman" w:cs="Times New Roman"/>
          <w:sz w:val="28"/>
          <w:szCs w:val="28"/>
        </w:rPr>
        <w:t>структурно-индуцированной поляризации, для LFP — диффузионных изменений, для LTO — долгосрочного дрейфа межфазных параметров, для Na-ion — совокупной поляризационной динамики.</w:t>
      </w:r>
    </w:p>
    <w:p w14:paraId="72BE98C9" w14:textId="5253DB4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Следующее фундаментальное различие между системами проявляется в скорости потери ёмкости при циклическом старении.</w:t>
      </w:r>
    </w:p>
    <w:p w14:paraId="5D8B08D4" w14:textId="0FF79037" w:rsidR="00BB7242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7725">
        <w:rPr>
          <w:rFonts w:ascii="Times New Roman" w:hAnsi="Times New Roman" w:cs="Times New Roman"/>
          <w:sz w:val="28"/>
          <w:szCs w:val="28"/>
        </w:rPr>
        <w:t xml:space="preserve">Кривые деградации относительной ёмкости, полученные в опытной серии циклических испытаний, позволяют проследить различие не только в общем ресурсе батарей, но и в </w:t>
      </w:r>
      <w:r w:rsidRPr="00B240AD">
        <w:rPr>
          <w:rFonts w:ascii="Times New Roman" w:hAnsi="Times New Roman" w:cs="Times New Roman"/>
          <w:sz w:val="28"/>
          <w:szCs w:val="28"/>
          <w:highlight w:val="yellow"/>
        </w:rPr>
        <w:t>форме деградационной траектории</w:t>
      </w:r>
      <w:r w:rsidRPr="003A7725">
        <w:rPr>
          <w:rFonts w:ascii="Times New Roman" w:hAnsi="Times New Roman" w:cs="Times New Roman"/>
          <w:sz w:val="28"/>
          <w:szCs w:val="28"/>
        </w:rPr>
        <w:t>. Именно форма траектории, а не только точка достижения 80% ёмкости, играет решающую роль при построении прогностической модели.</w:t>
      </w:r>
    </w:p>
    <w:p w14:paraId="0842A7E6" w14:textId="77777777" w:rsidR="003A7725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04C4A6" w14:textId="1EEF3B4F" w:rsidR="003A7725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61FE863" wp14:editId="078E888B">
            <wp:extent cx="6119495" cy="3638550"/>
            <wp:effectExtent l="0" t="0" r="0" b="0"/>
            <wp:docPr id="103081197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6C64B" w14:textId="70751801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453A">
        <w:rPr>
          <w:rFonts w:ascii="Times New Roman" w:hAnsi="Times New Roman" w:cs="Times New Roman"/>
          <w:sz w:val="28"/>
          <w:szCs w:val="28"/>
        </w:rPr>
        <w:lastRenderedPageBreak/>
        <w:t>Рисунок 1.5 — Деградация относительной ёмкости в опытной серии циклических испытаний</w:t>
      </w:r>
    </w:p>
    <w:p w14:paraId="4882A8B6" w14:textId="77777777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E83D90" w14:textId="2C2C1886" w:rsidR="0000453A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>На рисунке представлены зависимости C/C</w:t>
      </w:r>
      <w:r w:rsidRPr="00795D96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795D96">
        <w:rPr>
          <w:rFonts w:ascii="Times New Roman" w:hAnsi="Times New Roman" w:cs="Times New Roman"/>
          <w:sz w:val="28"/>
          <w:szCs w:val="28"/>
        </w:rPr>
        <w:t xml:space="preserve"> от числа циклов для NMC, LFP, LTO и Na-ion батарей. Горизонтальная линия соответствует принятому пороговому критерию конца ресурса по ёмкости, равному 80% от исходного значения. Кривая NMC демонстрирует наиболее ранний переход к ускоренному снижению ёмкости; LFP убывает медленнее и более плавно; LTO сохраняет наивысшую стабильность во всём диапазоне циклирования; Na-ion занимает промежуточное положение, однако характеризуется более выраженным ускорением деградации на поздних стадиях</w:t>
      </w:r>
    </w:p>
    <w:p w14:paraId="7BC544E0" w14:textId="4931796C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подчёркивает различие </w:t>
      </w:r>
      <w:r w:rsidRPr="000A5FBD">
        <w:rPr>
          <w:rFonts w:ascii="Times New Roman" w:hAnsi="Times New Roman" w:cs="Times New Roman"/>
          <w:sz w:val="28"/>
          <w:szCs w:val="28"/>
          <w:highlight w:val="yellow"/>
        </w:rPr>
        <w:t>деградационных законов</w:t>
      </w:r>
      <w:r w:rsidRPr="00795D96">
        <w:rPr>
          <w:rFonts w:ascii="Times New Roman" w:hAnsi="Times New Roman" w:cs="Times New Roman"/>
          <w:sz w:val="28"/>
          <w:szCs w:val="28"/>
        </w:rPr>
        <w:t xml:space="preserve"> для разных химических систем. Для NMC и Na-ion существенно выражена нелинейная ускоряющаяся стадия старения, тогда как для LFP и особенно LTO траектория дольше сохраняет квазилинейный характер. Это означает, что прогностическая модель </w:t>
      </w:r>
      <w:r w:rsidRPr="000A5FBD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RUL</w:t>
      </w:r>
      <w:r w:rsidRPr="00795D96">
        <w:rPr>
          <w:rFonts w:ascii="Times New Roman" w:hAnsi="Times New Roman" w:cs="Times New Roman"/>
          <w:sz w:val="28"/>
          <w:szCs w:val="28"/>
        </w:rPr>
        <w:t xml:space="preserve"> линейной аппроксимации для всех химий.</w:t>
      </w:r>
    </w:p>
    <w:p w14:paraId="0BAE5317" w14:textId="50AE28A0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Практическая польза рисунка заключается в возможности формирования химически-адаптивных эксплуатационных регламентов. Для NMC важен более ранний переход к режимам щадящей эксплуатации при росте импеданса, для LFP — контроль длительного </w:t>
      </w:r>
      <w:r w:rsidRPr="00795D96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r w:rsidRPr="00795D96">
        <w:rPr>
          <w:rFonts w:ascii="Times New Roman" w:hAnsi="Times New Roman" w:cs="Times New Roman"/>
          <w:sz w:val="28"/>
          <w:szCs w:val="28"/>
        </w:rPr>
        <w:t>, для LTO — мониторинг сверхдолгосрочного ресурса, для Na-ion — предупреждение ускоренной поляризационной деградации.</w:t>
      </w:r>
    </w:p>
    <w:p w14:paraId="38F6DB1F" w14:textId="5B1DB699" w:rsidR="00795D96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>Однако с точки зрения импедансной диагностики ещё более показательным параметром является не сама ёмкость, а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B689CC5" w14:textId="2187D9CE" w:rsidR="00574A9B" w:rsidRDefault="00574A9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4A9B">
        <w:rPr>
          <w:rFonts w:ascii="Times New Roman" w:hAnsi="Times New Roman" w:cs="Times New Roman"/>
          <w:sz w:val="28"/>
          <w:szCs w:val="28"/>
        </w:rPr>
        <w:t xml:space="preserve">Даже в тех случаях, когда потеря ёмкости остаётся умеренной, сопротивление переноса заряда может возрастать существенно быстрее. Это </w:t>
      </w:r>
      <w:r w:rsidRPr="00574A9B">
        <w:rPr>
          <w:rFonts w:ascii="Times New Roman" w:hAnsi="Times New Roman" w:cs="Times New Roman"/>
          <w:sz w:val="28"/>
          <w:szCs w:val="28"/>
        </w:rPr>
        <w:lastRenderedPageBreak/>
        <w:t xml:space="preserve">особенно важно для тягового применения, поскольку именно </w:t>
      </w:r>
      <w:r w:rsidRPr="00574A9B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74A9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Pr="00574A9B">
        <w:rPr>
          <w:rFonts w:ascii="Times New Roman" w:hAnsi="Times New Roman" w:cs="Times New Roman"/>
          <w:sz w:val="28"/>
          <w:szCs w:val="28"/>
        </w:rPr>
        <w:t xml:space="preserve"> потерями и точностью прогноза остаточного ресурса.</w:t>
      </w:r>
    </w:p>
    <w:p w14:paraId="23DED1A8" w14:textId="77777777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367C54" w14:textId="49A83929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7CA056E" wp14:editId="05861BDC">
            <wp:extent cx="6119495" cy="3638550"/>
            <wp:effectExtent l="0" t="0" r="0" b="0"/>
            <wp:docPr id="122375644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4A3CA" w14:textId="09AE5B3A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4021">
        <w:rPr>
          <w:rFonts w:ascii="Times New Roman" w:hAnsi="Times New Roman" w:cs="Times New Roman"/>
          <w:sz w:val="28"/>
          <w:szCs w:val="28"/>
        </w:rPr>
        <w:t>Рисунок 1.6 — Рост сопротивления переноса заряда в процессе старения</w:t>
      </w:r>
    </w:p>
    <w:p w14:paraId="2C5B7C38" w14:textId="7EEA0AC6" w:rsidR="002A4021" w:rsidRPr="00A07748" w:rsidRDefault="00026C0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6C0E">
        <w:rPr>
          <w:rFonts w:ascii="Times New Roman" w:hAnsi="Times New Roman" w:cs="Times New Roman"/>
          <w:sz w:val="28"/>
          <w:szCs w:val="28"/>
        </w:rPr>
        <w:t xml:space="preserve">На рисунке представлены экспериментальные зависимости 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026C0E">
        <w:rPr>
          <w:rFonts w:ascii="Times New Roman" w:hAnsi="Times New Roman" w:cs="Times New Roman"/>
          <w:sz w:val="28"/>
          <w:szCs w:val="28"/>
        </w:rPr>
        <w:t xml:space="preserve"> для NMC, LFP, LTO и Na-ion батарей. Видно, что Na-ion элементы уже на начальной стадии имеют наибольшие значения 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26C0E">
        <w:rPr>
          <w:rFonts w:ascii="Times New Roman" w:hAnsi="Times New Roman" w:cs="Times New Roman"/>
          <w:sz w:val="28"/>
          <w:szCs w:val="28"/>
        </w:rPr>
        <w:t>а затем демонстрируют наиболее резкий рост.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NMC характеризуется умеренным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начальным значением, но заметным ускорением старения после 2000 циклов.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LFP показывает более плавный рост, а LTO — наиболее медленный дрейф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026C0E">
        <w:rPr>
          <w:rFonts w:ascii="Times New Roman" w:hAnsi="Times New Roman" w:cs="Times New Roman"/>
          <w:sz w:val="28"/>
          <w:szCs w:val="28"/>
        </w:rPr>
        <w:t xml:space="preserve"> во всём исследованном диапазоне.</w:t>
      </w:r>
    </w:p>
    <w:p w14:paraId="33D10504" w14:textId="2F86B410" w:rsidR="00026C0E" w:rsidRDefault="001B30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024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прямом подтверждении того, что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1B302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1B3024">
        <w:rPr>
          <w:rFonts w:ascii="Times New Roman" w:hAnsi="Times New Roman" w:cs="Times New Roman"/>
          <w:sz w:val="28"/>
          <w:szCs w:val="28"/>
        </w:rPr>
        <w:t xml:space="preserve"> является химически универсальным, но количественно различным индикатором деградации. Это делает его естественным кандидатом на роль базовой диагностической переменной в будущей модел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EB5BB7" w:rsidRPr="00EB5BB7">
        <w:rPr>
          <w:rFonts w:ascii="Times New Roman" w:hAnsi="Times New Roman" w:cs="Times New Roman"/>
          <w:sz w:val="28"/>
          <w:szCs w:val="28"/>
        </w:rPr>
        <w:t xml:space="preserve">Практическая ценность рисунка состоит в том, что он позволяет заранее оценивать потерю </w:t>
      </w:r>
      <w:r w:rsidR="00EB5BB7" w:rsidRPr="00EB5BB7">
        <w:rPr>
          <w:rFonts w:ascii="Times New Roman" w:hAnsi="Times New Roman" w:cs="Times New Roman"/>
          <w:sz w:val="28"/>
          <w:szCs w:val="28"/>
        </w:rPr>
        <w:lastRenderedPageBreak/>
        <w:t>доступной мощности батарейного модуля ещё до достижения формального порога конца ресурса по ёмкости.</w:t>
      </w:r>
    </w:p>
    <w:p w14:paraId="3F8F136C" w14:textId="6D335DAA" w:rsidR="00EB5BB7" w:rsidRDefault="00EB5BB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5BB7">
        <w:rPr>
          <w:rFonts w:ascii="Times New Roman" w:hAnsi="Times New Roman" w:cs="Times New Roman"/>
          <w:sz w:val="28"/>
          <w:szCs w:val="28"/>
        </w:rPr>
        <w:t>Наконец, для всех рассматриваемых химий существенным остаётся температурный фактор.</w:t>
      </w:r>
    </w:p>
    <w:p w14:paraId="23454843" w14:textId="189CA6C3" w:rsidR="00EB5BB7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87A">
        <w:rPr>
          <w:rFonts w:ascii="Times New Roman" w:hAnsi="Times New Roman" w:cs="Times New Roman"/>
          <w:sz w:val="28"/>
          <w:szCs w:val="28"/>
          <w:highlight w:val="yellow"/>
        </w:rPr>
        <w:t>Термочувствительность</w:t>
      </w:r>
      <w:r w:rsidRPr="00E5587A">
        <w:rPr>
          <w:rFonts w:ascii="Times New Roman" w:hAnsi="Times New Roman" w:cs="Times New Roman"/>
          <w:sz w:val="28"/>
          <w:szCs w:val="28"/>
        </w:rPr>
        <w:t xml:space="preserve"> деградации определяет необходимость включения температурной переменной в любую ресурсную модель. Результаты термоциклической серии показывают, что ускорение старения имеет выраженный экспоненциальный характер, но коэф</w:t>
      </w:r>
      <w:r w:rsidRPr="000A5FBD">
        <w:rPr>
          <w:rFonts w:ascii="Times New Roman" w:hAnsi="Times New Roman" w:cs="Times New Roman"/>
          <w:sz w:val="28"/>
          <w:szCs w:val="28"/>
        </w:rPr>
        <w:t>фициенты температурного ускорения</w:t>
      </w:r>
      <w:r w:rsidRPr="00E5587A">
        <w:rPr>
          <w:rFonts w:ascii="Times New Roman" w:hAnsi="Times New Roman" w:cs="Times New Roman"/>
          <w:sz w:val="28"/>
          <w:szCs w:val="28"/>
        </w:rPr>
        <w:t xml:space="preserve"> </w:t>
      </w:r>
      <w:r w:rsidR="000A5FBD" w:rsidRPr="000A5FBD">
        <w:rPr>
          <w:rFonts w:ascii="Times New Roman" w:hAnsi="Times New Roman" w:cs="Times New Roman"/>
          <w:sz w:val="28"/>
          <w:szCs w:val="28"/>
          <w:highlight w:val="green"/>
        </w:rPr>
        <w:t>деградации</w:t>
      </w:r>
      <w:r w:rsidR="000A5FBD" w:rsidRPr="00E5587A">
        <w:rPr>
          <w:rFonts w:ascii="Times New Roman" w:hAnsi="Times New Roman" w:cs="Times New Roman"/>
          <w:sz w:val="28"/>
          <w:szCs w:val="28"/>
        </w:rPr>
        <w:t xml:space="preserve"> </w:t>
      </w:r>
      <w:r w:rsidRPr="00E5587A">
        <w:rPr>
          <w:rFonts w:ascii="Times New Roman" w:hAnsi="Times New Roman" w:cs="Times New Roman"/>
          <w:sz w:val="28"/>
          <w:szCs w:val="28"/>
        </w:rPr>
        <w:t>зависят от типа батареи</w:t>
      </w:r>
    </w:p>
    <w:p w14:paraId="2D3F4F66" w14:textId="77777777" w:rsidR="00E5587A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D72DAB" w14:textId="3202FE94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128A387" wp14:editId="7BB8E1AF">
            <wp:extent cx="6119495" cy="3638550"/>
            <wp:effectExtent l="0" t="0" r="0" b="0"/>
            <wp:docPr id="80233942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27EDB" w14:textId="39CF017F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46DD">
        <w:rPr>
          <w:rFonts w:ascii="Times New Roman" w:hAnsi="Times New Roman" w:cs="Times New Roman"/>
          <w:sz w:val="28"/>
          <w:szCs w:val="28"/>
        </w:rPr>
        <w:t>Рисунок 1.7 — Температурное ускорение деградации по результатам термоциклических испытаний</w:t>
      </w:r>
    </w:p>
    <w:p w14:paraId="28F5DD09" w14:textId="77777777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0B11DC" w14:textId="0F196002" w:rsidR="007846DD" w:rsidRDefault="00956A4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6A45">
        <w:rPr>
          <w:rFonts w:ascii="Times New Roman" w:hAnsi="Times New Roman" w:cs="Times New Roman"/>
          <w:sz w:val="28"/>
          <w:szCs w:val="28"/>
        </w:rPr>
        <w:t xml:space="preserve">На рисунке приведены относительные коэффициенты ускорения деградации </w:t>
      </w:r>
      <w:r w:rsidRPr="00956A45">
        <w:rPr>
          <w:rFonts w:ascii="Times New Roman" w:hAnsi="Times New Roman" w:cs="Times New Roman"/>
          <w:i/>
          <w:iCs/>
          <w:sz w:val="28"/>
          <w:szCs w:val="28"/>
        </w:rPr>
        <w:t>k/k</w:t>
      </w:r>
      <w:r w:rsidRPr="00956A4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20</w:t>
      </w:r>
      <w:r w:rsidRPr="00956A45">
        <w:rPr>
          <w:rFonts w:ascii="Times New Roman" w:hAnsi="Times New Roman" w:cs="Times New Roman"/>
          <w:sz w:val="28"/>
          <w:szCs w:val="28"/>
        </w:rPr>
        <w:t xml:space="preserve"> для NMC, LFP, LTO и Na-ion систем при повышении температуры. Все кривые имеют нелинейный возрастающий характер, </w:t>
      </w:r>
      <w:r w:rsidRPr="00956A45">
        <w:rPr>
          <w:rFonts w:ascii="Times New Roman" w:hAnsi="Times New Roman" w:cs="Times New Roman"/>
          <w:sz w:val="28"/>
          <w:szCs w:val="28"/>
        </w:rPr>
        <w:lastRenderedPageBreak/>
        <w:t xml:space="preserve">согласующийся с </w:t>
      </w:r>
      <w:r w:rsidRPr="00956A45">
        <w:rPr>
          <w:rFonts w:ascii="Times New Roman" w:hAnsi="Times New Roman" w:cs="Times New Roman"/>
          <w:sz w:val="28"/>
          <w:szCs w:val="28"/>
          <w:highlight w:val="yellow"/>
        </w:rPr>
        <w:t>аррениусовской природой деградации</w:t>
      </w:r>
      <w:r w:rsidRPr="00956A45">
        <w:rPr>
          <w:rFonts w:ascii="Times New Roman" w:hAnsi="Times New Roman" w:cs="Times New Roman"/>
          <w:sz w:val="28"/>
          <w:szCs w:val="28"/>
        </w:rPr>
        <w:t>. Наиболее чувствительными оказываются NMC и Na-ion системы, тогда как LTO демонстрирует наименьшее относительное ускорение старения.</w:t>
      </w:r>
    </w:p>
    <w:p w14:paraId="51FE36F5" w14:textId="0C372371" w:rsidR="00956A45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подтверждении необходимости явного температурного параметра в модели деградации. Практическая польза состоит в возможности корректировки прогноза остаточного ресурса в зависимости от реального теплового режима эксплуатации, а также в выборе приоритетных мер теплового управления для конкретной химии.</w:t>
      </w:r>
    </w:p>
    <w:p w14:paraId="199B692F" w14:textId="0CA6ED1E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t>В итоге можно сделать следующий вывод. Деградация NMC, LFP, LTO и Na-ion батарей имеет общие физические основания — межфазные реакции, потерю активных носителей, рост внутренних сопротивлений и влияние температуры, но реализуется через различающиеся доминирующие механизмы и разные темпы накопления повреждений. Поэтому дальнейшая теория диагностики и прогнозирования должна строиться как унифицированная по математическому аппарату, но химически-адаптивная по параметрам интерпретации. Именно такой подход позволяет перейти от частных моделей отдельных батарей к общей системе оценки технического состояния и остаточного ресурса тяговых аккумуляторных батарей различных электрохимических систем.</w:t>
      </w:r>
    </w:p>
    <w:p w14:paraId="7FDD505E" w14:textId="77777777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FB50C0" w14:textId="7DA3FAE2" w:rsidR="00234A24" w:rsidRPr="00A07748" w:rsidRDefault="00A077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5B75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1.3 Показатели технического состояния аккумуляторных батарей: SOC, SOH, SOF и RUL</w:t>
      </w:r>
    </w:p>
    <w:p w14:paraId="1D04881E" w14:textId="77777777" w:rsidR="00234A24" w:rsidRDefault="00234A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7B710D" w14:textId="015F5DE3" w:rsidR="00A07748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 xml:space="preserve">Оценка технического состояния тяговой аккумуляторной батареи требует использования системы взаимосвязанных диагностических параметров, поскольку ни один отдельный показатель не способен одновременно описать запас энергии, степень деградации, доступную мощность и ожидаемый остаточный срок службы. В инженерной и научной практике для этих целей </w:t>
      </w:r>
      <w:r w:rsidRPr="00C2560F">
        <w:rPr>
          <w:rFonts w:ascii="Times New Roman" w:hAnsi="Times New Roman" w:cs="Times New Roman"/>
          <w:sz w:val="28"/>
          <w:szCs w:val="28"/>
        </w:rPr>
        <w:lastRenderedPageBreak/>
        <w:t xml:space="preserve">применяются четыре базовых индикатора: состояние заряда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SOC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 xml:space="preserve">состояние здоровья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, состояние мощности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C2560F">
        <w:rPr>
          <w:rFonts w:ascii="Times New Roman" w:hAnsi="Times New Roman" w:cs="Times New Roman"/>
          <w:sz w:val="28"/>
          <w:szCs w:val="28"/>
        </w:rPr>
        <w:t xml:space="preserve"> и остаточный ресурс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C2560F">
        <w:rPr>
          <w:rFonts w:ascii="Times New Roman" w:hAnsi="Times New Roman" w:cs="Times New Roman"/>
          <w:sz w:val="28"/>
          <w:szCs w:val="28"/>
        </w:rPr>
        <w:t>. В рамках настоящего исследования данные показатели рассматриваются не как независимые эмпирические величины, а как параметры единой диагностико-прогностической системы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>которая в дальнейшем связывается с характеристиками комплексного импеданса тяговой батареи.</w:t>
      </w:r>
    </w:p>
    <w:p w14:paraId="4B2F05EF" w14:textId="16B271E9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>Между указанными показателями существует естественная иерархия.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C2560F">
        <w:rPr>
          <w:rFonts w:ascii="Times New Roman" w:hAnsi="Times New Roman" w:cs="Times New Roman"/>
          <w:sz w:val="28"/>
          <w:szCs w:val="28"/>
        </w:rPr>
        <w:t xml:space="preserve"> описывает текущее количество накопленного заряда и отражает краткосрочное состояние батареи.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 характеризует накопленную деградацию и определяет, насколько текущие свойства батареи отличаются от исходных. Параметр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отражает способность батареи обеспечить требуемую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мощность в текущем состоянии и тем самым связывает энергетическое и силовое состояние системы. Наконец, параметр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 даёт прогностическую оценку числа циклов или времени до достижения предельного состояния. В логике диссертационной работы переход от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733DF">
        <w:rPr>
          <w:rFonts w:ascii="Times New Roman" w:hAnsi="Times New Roman" w:cs="Times New Roman"/>
          <w:sz w:val="28"/>
          <w:szCs w:val="28"/>
        </w:rPr>
        <w:t xml:space="preserve">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8733DF">
        <w:rPr>
          <w:rFonts w:ascii="Times New Roman" w:hAnsi="Times New Roman" w:cs="Times New Roman"/>
          <w:sz w:val="28"/>
          <w:szCs w:val="28"/>
        </w:rPr>
        <w:t xml:space="preserve">, затем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="008733DF">
        <w:rPr>
          <w:rFonts w:ascii="Times New Roman" w:hAnsi="Times New Roman" w:cs="Times New Roman"/>
          <w:sz w:val="28"/>
          <w:szCs w:val="28"/>
        </w:rPr>
        <w:t xml:space="preserve"> и далее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>представляет собой переход от мгновенного мониторинга к физически обоснованному прогнозу ресурса.</w:t>
      </w:r>
    </w:p>
    <w:p w14:paraId="6B563DC6" w14:textId="77777777" w:rsidR="008733DF" w:rsidRDefault="008733D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2D29E1" w14:textId="166D83DB" w:rsidR="008733DF" w:rsidRPr="00E02636" w:rsidRDefault="00E02636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2636">
        <w:rPr>
          <w:rFonts w:ascii="Times New Roman" w:hAnsi="Times New Roman" w:cs="Times New Roman"/>
          <w:b/>
          <w:bCs/>
          <w:sz w:val="28"/>
          <w:szCs w:val="28"/>
        </w:rPr>
        <w:t>1.3.1 Состояние заряда батареи</w:t>
      </w:r>
    </w:p>
    <w:p w14:paraId="3BB9990C" w14:textId="77777777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7E31A3" w14:textId="570B9180" w:rsidR="00E02636" w:rsidRPr="00764CBB" w:rsidRDefault="00B778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83E">
        <w:rPr>
          <w:rFonts w:ascii="Times New Roman" w:hAnsi="Times New Roman" w:cs="Times New Roman"/>
          <w:sz w:val="28"/>
          <w:szCs w:val="28"/>
        </w:rPr>
        <w:t>Состояние заряда SO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7783E">
        <w:rPr>
          <w:rFonts w:ascii="Times New Roman" w:hAnsi="Times New Roman" w:cs="Times New Roman"/>
          <w:sz w:val="28"/>
          <w:szCs w:val="28"/>
        </w:rPr>
        <w:t xml:space="preserve"> определяется как отношение текущего заряда батареи к её номинальной или доступной ёмкости:</w:t>
      </w:r>
    </w:p>
    <w:p w14:paraId="589BB0F8" w14:textId="77777777" w:rsidR="00C40F1C" w:rsidRPr="00764CBB" w:rsidRDefault="00C40F1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FD9DDB" w14:textId="5FD59492" w:rsidR="00C40F1C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DA0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140" w:dyaOrig="680" w14:anchorId="6DB257FF">
          <v:shape id="_x0000_i1041" type="#_x0000_t75" style="width:107.05pt;height:33.8pt" o:ole="">
            <v:imagedata r:id="rId49" o:title=""/>
          </v:shape>
          <o:OLEObject Type="Embed" ProgID="Equation.DSMT4" ShapeID="_x0000_i1041" DrawAspect="Content" ObjectID="_1841986604" r:id="rId50"/>
        </w:object>
      </w:r>
    </w:p>
    <w:p w14:paraId="06F5E985" w14:textId="77777777" w:rsidR="00C40F1C" w:rsidRDefault="00C40F1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23D1FE" w14:textId="58AC9FE4" w:rsidR="00C26DA0" w:rsidRPr="00764CBB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6DA0">
        <w:rPr>
          <w:rFonts w:ascii="Times New Roman" w:hAnsi="Times New Roman" w:cs="Times New Roman"/>
          <w:sz w:val="28"/>
          <w:szCs w:val="28"/>
        </w:rPr>
        <w:lastRenderedPageBreak/>
        <w:t>Если заряд оценивается через ток нагрузки, то из закона сохранения заряда следует выражение</w:t>
      </w:r>
    </w:p>
    <w:p w14:paraId="02B14E32" w14:textId="77777777" w:rsidR="00C26DA0" w:rsidRPr="00764CBB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B0713C" w14:textId="64E8F752" w:rsidR="00C26DA0" w:rsidRDefault="007A32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32DC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3159" w:dyaOrig="680" w14:anchorId="63295281">
          <v:shape id="_x0000_i1042" type="#_x0000_t75" style="width:157.75pt;height:33.8pt" o:ole="">
            <v:imagedata r:id="rId51" o:title=""/>
          </v:shape>
          <o:OLEObject Type="Embed" ProgID="Equation.DSMT4" ShapeID="_x0000_i1042" DrawAspect="Content" ObjectID="_1841986605" r:id="rId52"/>
        </w:object>
      </w:r>
    </w:p>
    <w:p w14:paraId="42179665" w14:textId="77777777" w:rsidR="00C26DA0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16A1067" w14:textId="5BDE6A9F" w:rsidR="007A32DC" w:rsidRPr="00764CBB" w:rsidRDefault="003E7F8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F8F">
        <w:rPr>
          <w:rFonts w:ascii="Times New Roman" w:hAnsi="Times New Roman" w:cs="Times New Roman"/>
          <w:sz w:val="28"/>
          <w:szCs w:val="28"/>
        </w:rPr>
        <w:t>Происхождение данной формулы связано с интегральной формой уравнения непрерывности заряда. При отсутствии утечек и паразитических токов изменение количества заряда в батарее равно интегралу проходящего тока. Именно поэтому кулоновский счёт остаётся базовой процедурой BMS. Однако для тяговых батарей этот метод имеет два принципиальных ограничения.</w:t>
      </w:r>
    </w:p>
    <w:p w14:paraId="0F29DE87" w14:textId="6E89A137" w:rsidR="003E7F8F" w:rsidRPr="00764CBB" w:rsidRDefault="00D1756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56A">
        <w:rPr>
          <w:rFonts w:ascii="Times New Roman" w:hAnsi="Times New Roman" w:cs="Times New Roman"/>
          <w:sz w:val="28"/>
          <w:szCs w:val="28"/>
        </w:rPr>
        <w:t xml:space="preserve">Первое ограничение связано с погрешностью измерения тока. Даже малая систематическая ошибка датчика или нулевая дрейфовая составляющая приводит к интегральному накоплению ошибки. Второе ограничение является более фундаментальным: в формуле используется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D175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D1756A">
        <w:rPr>
          <w:rFonts w:ascii="Times New Roman" w:hAnsi="Times New Roman" w:cs="Times New Roman"/>
          <w:sz w:val="28"/>
          <w:szCs w:val="28"/>
        </w:rPr>
        <w:t>тогда как реальная доступная ёмкость деградирующей батареи уменьшается со временем.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Следовательно,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кулоновский счёт без адаптации к текущему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D1756A">
        <w:rPr>
          <w:rFonts w:ascii="Times New Roman" w:hAnsi="Times New Roman" w:cs="Times New Roman"/>
          <w:sz w:val="28"/>
          <w:szCs w:val="28"/>
        </w:rPr>
        <w:t xml:space="preserve"> неизбежно утрачивает точность при длительной эксплуатации. Именно поэтому в задачах прогноза ресурса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D1756A">
        <w:rPr>
          <w:rFonts w:ascii="Times New Roman" w:hAnsi="Times New Roman" w:cs="Times New Roman"/>
          <w:sz w:val="28"/>
          <w:szCs w:val="28"/>
        </w:rPr>
        <w:t xml:space="preserve"> следует рассматривать как необходимый, но недостаточный показатель.</w:t>
      </w:r>
    </w:p>
    <w:p w14:paraId="1F713733" w14:textId="22E61C44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31B">
        <w:rPr>
          <w:rFonts w:ascii="Times New Roman" w:hAnsi="Times New Roman" w:cs="Times New Roman"/>
          <w:sz w:val="28"/>
          <w:szCs w:val="28"/>
        </w:rPr>
        <w:t xml:space="preserve">Для тяговых аккумуляторных батарей характерно и то обстоятельство, что погрешность оценки </w:t>
      </w:r>
      <w:r w:rsidRPr="00E3731B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3731B">
        <w:rPr>
          <w:rFonts w:ascii="Times New Roman" w:hAnsi="Times New Roman" w:cs="Times New Roman"/>
          <w:sz w:val="28"/>
          <w:szCs w:val="28"/>
        </w:rPr>
        <w:t xml:space="preserve"> особенно заметна в режиме частичных циклов, частой рекуперации и изменяющихся токовых профилей. В этих условиях ошибка не только возрастает, но и теряет монотонный характер, поскольку реальные токовые траектории содержат чередование положительных и отрицательных участков различной длительности.</w:t>
      </w:r>
    </w:p>
    <w:p w14:paraId="69ADA5B6" w14:textId="45731FE7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31B">
        <w:rPr>
          <w:rFonts w:ascii="Times New Roman" w:hAnsi="Times New Roman" w:cs="Times New Roman"/>
          <w:sz w:val="28"/>
          <w:szCs w:val="28"/>
        </w:rPr>
        <w:t xml:space="preserve">В опытной серии нагрузочных испытаний была выполнена оценка состояния заряда батарейного модуля по методу кулоновского счёта и </w:t>
      </w:r>
      <w:r w:rsidRPr="00E3731B">
        <w:rPr>
          <w:rFonts w:ascii="Times New Roman" w:hAnsi="Times New Roman" w:cs="Times New Roman"/>
          <w:sz w:val="28"/>
          <w:szCs w:val="28"/>
        </w:rPr>
        <w:lastRenderedPageBreak/>
        <w:t>сопоставлена с эталонным значением, полученным по совмещённой токо-</w:t>
      </w:r>
      <w:r w:rsidRPr="00E3731B">
        <w:rPr>
          <w:rFonts w:ascii="Times New Roman" w:hAnsi="Times New Roman" w:cs="Times New Roman"/>
          <w:sz w:val="28"/>
          <w:szCs w:val="28"/>
          <w:highlight w:val="yellow"/>
        </w:rPr>
        <w:t>напряженческой процедуре</w:t>
      </w:r>
      <w:r w:rsidRPr="00E3731B">
        <w:rPr>
          <w:rFonts w:ascii="Times New Roman" w:hAnsi="Times New Roman" w:cs="Times New Roman"/>
          <w:sz w:val="28"/>
          <w:szCs w:val="28"/>
        </w:rPr>
        <w:t xml:space="preserve"> коррекции. Это позволило количественно продемонстрировать накопление ошибки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Pr="00074F0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="00074F0F" w:rsidRPr="00074F0F">
        <w:rPr>
          <w:rFonts w:ascii="Times New Roman" w:hAnsi="Times New Roman" w:cs="Times New Roman"/>
          <w:sz w:val="28"/>
          <w:szCs w:val="28"/>
        </w:rPr>
        <w:t>в реальном нестационарном режиме.</w:t>
      </w:r>
    </w:p>
    <w:p w14:paraId="08A3F543" w14:textId="77777777" w:rsidR="00074F0F" w:rsidRPr="00764CBB" w:rsidRDefault="00074F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BFE218" w14:textId="01444B75" w:rsidR="00074F0F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DB5F583" wp14:editId="1D64130D">
            <wp:extent cx="6119495" cy="3522980"/>
            <wp:effectExtent l="0" t="0" r="0" b="1270"/>
            <wp:docPr id="335996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11A10" w14:textId="4863D0FB" w:rsidR="00486F2C" w:rsidRPr="00486F2C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6F2C">
        <w:rPr>
          <w:rFonts w:ascii="Times New Roman" w:hAnsi="Times New Roman" w:cs="Times New Roman"/>
          <w:sz w:val="28"/>
          <w:szCs w:val="28"/>
        </w:rPr>
        <w:t>Рисунок 1.8 — Накопление ошибки оценки состояния заряда при длительном движении</w:t>
      </w:r>
    </w:p>
    <w:p w14:paraId="4AE1065C" w14:textId="77777777" w:rsidR="00486F2C" w:rsidRPr="00764CBB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3CD92B" w14:textId="45D0D3D1" w:rsidR="00486F2C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80B">
        <w:rPr>
          <w:rFonts w:ascii="Times New Roman" w:hAnsi="Times New Roman" w:cs="Times New Roman"/>
          <w:sz w:val="28"/>
          <w:szCs w:val="28"/>
        </w:rPr>
        <w:t>На рисунке показаны две кривые: истинное значение состояния заряда и оценка, полученная методом кулоновского счёта. Видно, что по мере роста времени движения и накопления интегральной нагрузки оценка начинает систематически отклоняться от истинной траектории. При этом ошибка не является чисто случайной; она формируется вследствие дрейфа измерения тока, неучтённых потерь и, что особенно важно, изменения фактической доступной ёмкости батареи.</w:t>
      </w:r>
    </w:p>
    <w:p w14:paraId="27144E3F" w14:textId="79489AAF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80B">
        <w:rPr>
          <w:rFonts w:ascii="Times New Roman" w:hAnsi="Times New Roman" w:cs="Times New Roman"/>
          <w:sz w:val="28"/>
          <w:szCs w:val="28"/>
        </w:rPr>
        <w:lastRenderedPageBreak/>
        <w:t xml:space="preserve">Научная ценность рисунка заключается в демонстрации методологического ограничения классического кулоновского счёта. Это подтверждает, что параметр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 xml:space="preserve"> сам по себе не может служить базой для надёжной оценки ресурса. Практическая ценность рисунка состоит в обосновании необходимости совместного использования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>-оценки с деградационными и импедансными индикаторами, особенно в системах управления тяговыми батареями электротранспорта.</w:t>
      </w:r>
    </w:p>
    <w:p w14:paraId="046824E9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DFBB51" w14:textId="1FC03AA7" w:rsidR="00AA580B" w:rsidRPr="00764CBB" w:rsidRDefault="00394F03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94F03">
        <w:rPr>
          <w:rFonts w:ascii="Times New Roman" w:hAnsi="Times New Roman" w:cs="Times New Roman"/>
          <w:b/>
          <w:bCs/>
          <w:sz w:val="28"/>
          <w:szCs w:val="28"/>
        </w:rPr>
        <w:t>1.3.2 Состояние здоровья батареи</w:t>
      </w:r>
    </w:p>
    <w:p w14:paraId="37E204D8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2501F7" w14:textId="01451356" w:rsidR="00394F03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5501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0F5501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0F5501">
        <w:rPr>
          <w:rFonts w:ascii="Times New Roman" w:hAnsi="Times New Roman" w:cs="Times New Roman"/>
          <w:sz w:val="28"/>
          <w:szCs w:val="28"/>
        </w:rPr>
        <w:t xml:space="preserve"> предназначен для количественного описания накопленной деградации аккумуляторной системы. В классической постановке он определяется по ёмкости:</w:t>
      </w:r>
    </w:p>
    <w:p w14:paraId="68FB2489" w14:textId="77777777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FC67851" w14:textId="6B053927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5501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1939" w:dyaOrig="680" w14:anchorId="3F3E6903">
          <v:shape id="_x0000_i1043" type="#_x0000_t75" style="width:96.4pt;height:33.8pt" o:ole="">
            <v:imagedata r:id="rId54" o:title=""/>
          </v:shape>
          <o:OLEObject Type="Embed" ProgID="Equation.DSMT4" ShapeID="_x0000_i1043" DrawAspect="Content" ObjectID="_1841986606" r:id="rId55"/>
        </w:object>
      </w:r>
    </w:p>
    <w:p w14:paraId="277BE207" w14:textId="26A6C25B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121498A2" w14:textId="082B6E56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act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текущая доступная ёскость;</w:t>
      </w:r>
    </w:p>
    <w:p w14:paraId="4E4626A6" w14:textId="1CB6D09D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0F5501">
        <w:rPr>
          <w:rFonts w:ascii="Times New Roman" w:hAnsi="Times New Roman" w:cs="Times New Roman"/>
          <w:sz w:val="28"/>
          <w:szCs w:val="28"/>
        </w:rPr>
        <w:t xml:space="preserve"> – начальная ёмкость новой батареи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B3C19C" w14:textId="243D9539" w:rsidR="000F5501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Однако такая трактовка охватывает лишь один аспект старения — потерю способности накапливать заряд.</w:t>
      </w:r>
    </w:p>
    <w:p w14:paraId="7116D5B0" w14:textId="1AA14A9A" w:rsidR="00883ADC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С практической точки зрения столь же важным является рост внутреннего сопротивления, особенно сопротивления переноса заряда и общего импеданса, поскольку именно они ограничивают мощность, усиливают тепловыделение и ухудшают работу батареи в режиме разгона и рекуперации. Поэтому в расширенной инженерной постановке следует использовать также импедансную интерпретацию состояния здоровья:</w:t>
      </w:r>
    </w:p>
    <w:p w14:paraId="472FAEF6" w14:textId="77777777" w:rsidR="00883ADC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C8FE2E" w14:textId="41408E29" w:rsidR="00883ADC" w:rsidRPr="008353D2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353D2">
        <w:rPr>
          <w:rFonts w:ascii="Times New Roman" w:hAnsi="Times New Roman" w:cs="Times New Roman"/>
          <w:position w:val="-30"/>
          <w:sz w:val="28"/>
          <w:szCs w:val="28"/>
        </w:rPr>
        <w:object w:dxaOrig="1960" w:dyaOrig="680" w14:anchorId="30A09688">
          <v:shape id="_x0000_i1044" type="#_x0000_t75" style="width:97.05pt;height:33.8pt" o:ole="">
            <v:imagedata r:id="rId56" o:title=""/>
          </v:shape>
          <o:OLEObject Type="Embed" ProgID="Equation.DSMT4" ShapeID="_x0000_i1044" DrawAspect="Content" ObjectID="_1841986607" r:id="rId57"/>
        </w:object>
      </w:r>
    </w:p>
    <w:p w14:paraId="35755446" w14:textId="2F9D64B8" w:rsidR="00883ADC" w:rsidRPr="008353D2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53D2">
        <w:rPr>
          <w:rFonts w:ascii="Times New Roman" w:hAnsi="Times New Roman" w:cs="Times New Roman"/>
          <w:sz w:val="28"/>
          <w:szCs w:val="28"/>
        </w:rPr>
        <w:t>или, в более специализированной форме,</w:t>
      </w:r>
    </w:p>
    <w:p w14:paraId="1734F9E6" w14:textId="51810987" w:rsidR="008353D2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353D2">
        <w:rPr>
          <w:rFonts w:ascii="Times New Roman" w:hAnsi="Times New Roman" w:cs="Times New Roman"/>
          <w:position w:val="-12"/>
          <w:sz w:val="28"/>
          <w:szCs w:val="28"/>
        </w:rPr>
        <w:object w:dxaOrig="1560" w:dyaOrig="360" w14:anchorId="47C6B96B">
          <v:shape id="_x0000_i1045" type="#_x0000_t75" style="width:77.65pt;height:17.55pt" o:ole="">
            <v:imagedata r:id="rId58" o:title=""/>
          </v:shape>
          <o:OLEObject Type="Embed" ProgID="Equation.DSMT4" ShapeID="_x0000_i1045" DrawAspect="Content" ObjectID="_1841986608" r:id="rId59"/>
        </w:object>
      </w:r>
    </w:p>
    <w:p w14:paraId="2C248A42" w14:textId="4FF39D83" w:rsidR="008353D2" w:rsidRDefault="008353D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8353D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химически специфическая функция перехода от сопротивления переноса заряда к показателю состояния.</w:t>
      </w:r>
    </w:p>
    <w:p w14:paraId="6762AF80" w14:textId="76EC1B5C" w:rsidR="008353D2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102D">
        <w:rPr>
          <w:rFonts w:ascii="Times New Roman" w:hAnsi="Times New Roman" w:cs="Times New Roman"/>
          <w:sz w:val="28"/>
          <w:szCs w:val="28"/>
        </w:rPr>
        <w:t>Такой подход имеет прямое физическое основание. Если</w:t>
      </w:r>
    </w:p>
    <w:p w14:paraId="0C1C48B0" w14:textId="77777777" w:rsidR="00A1102D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C4D46F" w14:textId="190AADE7" w:rsidR="00A1102D" w:rsidRPr="00A1102D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02D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3FADD88C">
          <v:shape id="_x0000_i1046" type="#_x0000_t75" style="width:47.6pt;height:33.8pt" o:ole="">
            <v:imagedata r:id="rId60" o:title=""/>
          </v:shape>
          <o:OLEObject Type="Embed" ProgID="Equation.DSMT4" ShapeID="_x0000_i1046" DrawAspect="Content" ObjectID="_1841986609" r:id="rId61"/>
        </w:object>
      </w:r>
    </w:p>
    <w:p w14:paraId="1983EBCA" w14:textId="5A574E4E" w:rsidR="00A1102D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0659">
        <w:rPr>
          <w:rFonts w:ascii="Times New Roman" w:hAnsi="Times New Roman" w:cs="Times New Roman"/>
          <w:sz w:val="28"/>
          <w:szCs w:val="28"/>
        </w:rPr>
        <w:t xml:space="preserve">то рост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390659">
        <w:rPr>
          <w:rFonts w:ascii="Times New Roman" w:hAnsi="Times New Roman" w:cs="Times New Roman"/>
          <w:sz w:val="28"/>
          <w:szCs w:val="28"/>
        </w:rPr>
        <w:t xml:space="preserve"> означает уменьшение обменного тока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390659">
        <w:rPr>
          <w:rFonts w:ascii="Times New Roman" w:hAnsi="Times New Roman" w:cs="Times New Roman"/>
          <w:sz w:val="28"/>
          <w:szCs w:val="28"/>
        </w:rPr>
        <w:t xml:space="preserve">, а следовательно, ухудшение кинетики электрохимической реакции, уменьшение активной поверхности и усиление межфазных ограничений. Следовательно,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, выраженный через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390659">
        <w:rPr>
          <w:rFonts w:ascii="Times New Roman" w:hAnsi="Times New Roman" w:cs="Times New Roman"/>
          <w:sz w:val="28"/>
          <w:szCs w:val="28"/>
        </w:rPr>
        <w:t>, оказывается чувствителен не только к уже накопленной потере ёмкости, но и к ранним стадиям деградации, когда мощностные характеристики начинают ухудшаться раньше, чем ёмкость достигает предельного уровня.</w:t>
      </w:r>
    </w:p>
    <w:p w14:paraId="2F2592CB" w14:textId="167079D5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0659">
        <w:rPr>
          <w:rFonts w:ascii="Times New Roman" w:hAnsi="Times New Roman" w:cs="Times New Roman"/>
          <w:sz w:val="28"/>
          <w:szCs w:val="28"/>
        </w:rPr>
        <w:t xml:space="preserve">В диссертационной логике это обстоятельство особенно важно. Если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определяется только через ёмкость, то диагностика становится «запаздывающей»: значительные внутренние нарушения могут ещё не привести к критическому </w:t>
      </w:r>
      <w:r w:rsidRPr="00390659">
        <w:rPr>
          <w:rFonts w:ascii="Times New Roman" w:hAnsi="Times New Roman" w:cs="Times New Roman"/>
          <w:sz w:val="28"/>
          <w:szCs w:val="28"/>
          <w:highlight w:val="yellow"/>
        </w:rPr>
        <w:t>capacity fade</w:t>
      </w:r>
      <w:r w:rsidRPr="00390659">
        <w:rPr>
          <w:rFonts w:ascii="Times New Roman" w:hAnsi="Times New Roman" w:cs="Times New Roman"/>
          <w:sz w:val="28"/>
          <w:szCs w:val="28"/>
        </w:rPr>
        <w:t xml:space="preserve">. Если же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учитывает и импедансные параметры, то диагностическая система становится значительно более чувствительной к ранней деградации.</w:t>
      </w:r>
    </w:p>
    <w:p w14:paraId="0C29DFD1" w14:textId="77777777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F6B920" w14:textId="0F7A23C0" w:rsidR="00390659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DD5">
        <w:rPr>
          <w:rFonts w:ascii="Times New Roman" w:hAnsi="Times New Roman" w:cs="Times New Roman"/>
          <w:sz w:val="28"/>
          <w:szCs w:val="28"/>
        </w:rPr>
        <w:t>Таблица 1.3 – Основные формы представления состояния здоровья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90"/>
        <w:gridCol w:w="2672"/>
        <w:gridCol w:w="2197"/>
        <w:gridCol w:w="2368"/>
      </w:tblGrid>
      <w:tr w:rsidR="00B509A7" w14:paraId="7DCA3289" w14:textId="77777777" w:rsidTr="00B509A7">
        <w:tc>
          <w:tcPr>
            <w:tcW w:w="2406" w:type="dxa"/>
          </w:tcPr>
          <w:p w14:paraId="7DEED8CD" w14:textId="40CFC229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Форма показателя</w:t>
            </w:r>
          </w:p>
        </w:tc>
        <w:tc>
          <w:tcPr>
            <w:tcW w:w="2407" w:type="dxa"/>
          </w:tcPr>
          <w:p w14:paraId="4F0034F2" w14:textId="08E07D7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Формула</w:t>
            </w:r>
          </w:p>
        </w:tc>
        <w:tc>
          <w:tcPr>
            <w:tcW w:w="2407" w:type="dxa"/>
          </w:tcPr>
          <w:p w14:paraId="55FC0726" w14:textId="2EBCB42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2407" w:type="dxa"/>
          </w:tcPr>
          <w:p w14:paraId="40AB1179" w14:textId="535C6E13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B509A7" w:rsidRPr="00B509A7" w14:paraId="120F83B4" w14:textId="77777777" w:rsidTr="00B509A7">
        <w:tc>
          <w:tcPr>
            <w:tcW w:w="2406" w:type="dxa"/>
          </w:tcPr>
          <w:p w14:paraId="51019AF8" w14:textId="13A854D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Ёмкостная</w:t>
            </w:r>
          </w:p>
        </w:tc>
        <w:tc>
          <w:tcPr>
            <w:tcW w:w="2407" w:type="dxa"/>
          </w:tcPr>
          <w:p w14:paraId="45A2F6D5" w14:textId="203252FD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640" w:dyaOrig="360" w14:anchorId="1EE898F0">
                <v:shape id="_x0000_i1047" type="#_x0000_t75" style="width:81.4pt;height:17.55pt" o:ole="">
                  <v:imagedata r:id="rId62" o:title=""/>
                </v:shape>
                <o:OLEObject Type="Embed" ProgID="Equation.DSMT4" ShapeID="_x0000_i1047" DrawAspect="Content" ObjectID="_1841986610" r:id="rId63"/>
              </w:object>
            </w:r>
          </w:p>
        </w:tc>
        <w:tc>
          <w:tcPr>
            <w:tcW w:w="2407" w:type="dxa"/>
          </w:tcPr>
          <w:p w14:paraId="17E421F2" w14:textId="0AF1A876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Потеря способности накапливать заряд</w:t>
            </w:r>
          </w:p>
        </w:tc>
        <w:tc>
          <w:tcPr>
            <w:tcW w:w="2407" w:type="dxa"/>
          </w:tcPr>
          <w:p w14:paraId="25F70F37" w14:textId="4A87C8DE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 xml:space="preserve">Слабая чувствительность к раннему </w:t>
            </w:r>
            <w:r w:rsidRPr="00B509A7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power fade</w:t>
            </w:r>
          </w:p>
        </w:tc>
      </w:tr>
      <w:tr w:rsidR="00B509A7" w:rsidRPr="00B509A7" w14:paraId="2B07B117" w14:textId="77777777" w:rsidTr="00B509A7">
        <w:tc>
          <w:tcPr>
            <w:tcW w:w="2406" w:type="dxa"/>
          </w:tcPr>
          <w:p w14:paraId="783C583E" w14:textId="18A0203E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Резистивная</w:t>
            </w:r>
          </w:p>
        </w:tc>
        <w:tc>
          <w:tcPr>
            <w:tcW w:w="2407" w:type="dxa"/>
          </w:tcPr>
          <w:p w14:paraId="3E124A25" w14:textId="681E41AD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620" w:dyaOrig="360" w14:anchorId="19708454">
                <v:shape id="_x0000_i1048" type="#_x0000_t75" style="width:80.75pt;height:17.55pt" o:ole="">
                  <v:imagedata r:id="rId64" o:title=""/>
                </v:shape>
                <o:OLEObject Type="Embed" ProgID="Equation.DSMT4" ShapeID="_x0000_i1048" DrawAspect="Content" ObjectID="_1841986611" r:id="rId65"/>
              </w:object>
            </w:r>
          </w:p>
        </w:tc>
        <w:tc>
          <w:tcPr>
            <w:tcW w:w="2407" w:type="dxa"/>
          </w:tcPr>
          <w:p w14:paraId="5EB33E96" w14:textId="1918E60B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Рост внутренних потерь и снижение мощности</w:t>
            </w:r>
          </w:p>
        </w:tc>
        <w:tc>
          <w:tcPr>
            <w:tcW w:w="2407" w:type="dxa"/>
          </w:tcPr>
          <w:p w14:paraId="1D74F5D5" w14:textId="2C4BF578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Интегральная трактовка, без разделения механизмов</w:t>
            </w:r>
          </w:p>
        </w:tc>
      </w:tr>
      <w:tr w:rsidR="00B509A7" w:rsidRPr="00B509A7" w14:paraId="1A89E33C" w14:textId="77777777" w:rsidTr="00B509A7">
        <w:tc>
          <w:tcPr>
            <w:tcW w:w="2406" w:type="dxa"/>
          </w:tcPr>
          <w:p w14:paraId="6121887C" w14:textId="10C4295F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Импедансная</w:t>
            </w:r>
          </w:p>
        </w:tc>
        <w:tc>
          <w:tcPr>
            <w:tcW w:w="2407" w:type="dxa"/>
          </w:tcPr>
          <w:p w14:paraId="5E7DE1AD" w14:textId="54F3EC6C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position w:val="-16"/>
                <w:sz w:val="28"/>
                <w:szCs w:val="28"/>
              </w:rPr>
              <w:object w:dxaOrig="2460" w:dyaOrig="440" w14:anchorId="65B0F920">
                <v:shape id="_x0000_i1049" type="#_x0000_t75" style="width:122.7pt;height:21.9pt" o:ole="">
                  <v:imagedata r:id="rId66" o:title=""/>
                </v:shape>
                <o:OLEObject Type="Embed" ProgID="Equation.DSMT4" ShapeID="_x0000_i1049" DrawAspect="Content" ObjectID="_1841986612" r:id="rId67"/>
              </w:object>
            </w:r>
          </w:p>
        </w:tc>
        <w:tc>
          <w:tcPr>
            <w:tcW w:w="2407" w:type="dxa"/>
          </w:tcPr>
          <w:p w14:paraId="1E478184" w14:textId="131D1D5D" w:rsidR="00B509A7" w:rsidRPr="00B509A7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B61E6">
              <w:rPr>
                <w:rFonts w:ascii="Times New Roman" w:hAnsi="Times New Roman" w:cs="Times New Roman"/>
                <w:sz w:val="28"/>
                <w:szCs w:val="28"/>
              </w:rPr>
              <w:t>Отражает межфазную и диффузионную деградацию</w:t>
            </w:r>
          </w:p>
        </w:tc>
        <w:tc>
          <w:tcPr>
            <w:tcW w:w="2407" w:type="dxa"/>
          </w:tcPr>
          <w:p w14:paraId="38406C5C" w14:textId="6AC6CE82" w:rsidR="00B509A7" w:rsidRPr="00B509A7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B61E6">
              <w:rPr>
                <w:rFonts w:ascii="Times New Roman" w:hAnsi="Times New Roman" w:cs="Times New Roman"/>
                <w:sz w:val="28"/>
                <w:szCs w:val="28"/>
              </w:rPr>
              <w:t>Требует параметрической идентификации спектра</w:t>
            </w:r>
          </w:p>
        </w:tc>
      </w:tr>
      <w:tr w:rsidR="00B509A7" w:rsidRPr="00B509A7" w14:paraId="6EAAB412" w14:textId="77777777" w:rsidTr="00B509A7">
        <w:tc>
          <w:tcPr>
            <w:tcW w:w="2406" w:type="dxa"/>
          </w:tcPr>
          <w:p w14:paraId="36DF3829" w14:textId="20DE4B8A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Комбинированная</w:t>
            </w:r>
          </w:p>
        </w:tc>
        <w:tc>
          <w:tcPr>
            <w:tcW w:w="2407" w:type="dxa"/>
          </w:tcPr>
          <w:p w14:paraId="2C7A3BB0" w14:textId="170BEC92" w:rsidR="00B509A7" w:rsidRPr="00B509A7" w:rsidRDefault="007C256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C2566">
              <w:rPr>
                <w:rFonts w:ascii="Times New Roman" w:hAnsi="Times New Roman" w:cs="Times New Roman"/>
                <w:position w:val="-16"/>
                <w:sz w:val="28"/>
                <w:szCs w:val="28"/>
              </w:rPr>
              <w:object w:dxaOrig="2420" w:dyaOrig="440" w14:anchorId="5A5FABEE">
                <v:shape id="_x0000_i1050" type="#_x0000_t75" style="width:120.85pt;height:21.9pt" o:ole="">
                  <v:imagedata r:id="rId68" o:title=""/>
                </v:shape>
                <o:OLEObject Type="Embed" ProgID="Equation.DSMT4" ShapeID="_x0000_i1050" DrawAspect="Content" ObjectID="_1841986613" r:id="rId69"/>
              </w:object>
            </w:r>
          </w:p>
        </w:tc>
        <w:tc>
          <w:tcPr>
            <w:tcW w:w="2407" w:type="dxa"/>
          </w:tcPr>
          <w:p w14:paraId="68508AA7" w14:textId="5DF57945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Совместно учитывает ёмкость и внутреннюю деградацию</w:t>
            </w:r>
          </w:p>
        </w:tc>
        <w:tc>
          <w:tcPr>
            <w:tcW w:w="2407" w:type="dxa"/>
          </w:tcPr>
          <w:p w14:paraId="74E41FF3" w14:textId="1BD53FEA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Более сложна для реализации, но наиболее содержательна</w:t>
            </w:r>
          </w:p>
        </w:tc>
      </w:tr>
    </w:tbl>
    <w:p w14:paraId="3A5C776C" w14:textId="77777777" w:rsidR="00371DD5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639726" w14:textId="5D3828EB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6228">
        <w:rPr>
          <w:rFonts w:ascii="Times New Roman" w:hAnsi="Times New Roman" w:cs="Times New Roman"/>
          <w:sz w:val="28"/>
          <w:szCs w:val="28"/>
        </w:rPr>
        <w:t xml:space="preserve">Из таблицы следует, что наиболее перспективной для целей диссертации является именно комбинированная и импедансная интерпретация </w:t>
      </w:r>
      <w:r w:rsidRPr="00AC622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AC6228">
        <w:rPr>
          <w:rFonts w:ascii="Times New Roman" w:hAnsi="Times New Roman" w:cs="Times New Roman"/>
          <w:sz w:val="28"/>
          <w:szCs w:val="28"/>
        </w:rPr>
        <w:t>, так как она обеспечивает более ранний и физически более содержательный контроль состояния батареи.</w:t>
      </w:r>
    </w:p>
    <w:p w14:paraId="2187668D" w14:textId="2E69D79E" w:rsidR="00AC6228" w:rsidRPr="00764CBB" w:rsidRDefault="00C4417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4176">
        <w:rPr>
          <w:rFonts w:ascii="Times New Roman" w:hAnsi="Times New Roman" w:cs="Times New Roman"/>
          <w:sz w:val="28"/>
          <w:szCs w:val="28"/>
        </w:rPr>
        <w:t xml:space="preserve">В опытной серии ресурсных испытаний была построена зависимость состояния здоровья батарей 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различных химических систем от сопротивления переноса заряда. Это позволило проверить гипотезу о том, что </w:t>
      </w:r>
      <w:r w:rsidR="00352611" w:rsidRPr="0035261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352611" w:rsidRPr="0035261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может </w:t>
      </w:r>
      <w:r w:rsidR="00352611" w:rsidRPr="00352611">
        <w:rPr>
          <w:rFonts w:ascii="Times New Roman" w:hAnsi="Times New Roman" w:cs="Times New Roman"/>
          <w:sz w:val="28"/>
          <w:szCs w:val="28"/>
        </w:rPr>
        <w:lastRenderedPageBreak/>
        <w:t xml:space="preserve">использоваться как универсальный, но </w:t>
      </w:r>
      <w:r w:rsidR="00352611" w:rsidRPr="00414374">
        <w:rPr>
          <w:rFonts w:ascii="Times New Roman" w:hAnsi="Times New Roman" w:cs="Times New Roman"/>
          <w:sz w:val="28"/>
          <w:szCs w:val="28"/>
          <w:highlight w:val="yellow"/>
        </w:rPr>
        <w:t>химически различно калибруемый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индикатор деградации</w:t>
      </w:r>
      <w:r w:rsidR="00352611">
        <w:rPr>
          <w:rFonts w:ascii="Times New Roman" w:hAnsi="Times New Roman" w:cs="Times New Roman"/>
          <w:sz w:val="28"/>
          <w:szCs w:val="28"/>
        </w:rPr>
        <w:t>.</w:t>
      </w:r>
    </w:p>
    <w:p w14:paraId="637D710C" w14:textId="77777777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89D65" w14:textId="459AFEAA" w:rsidR="00414374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1FDB78A" wp14:editId="438C9F8A">
            <wp:extent cx="6119495" cy="3520440"/>
            <wp:effectExtent l="0" t="0" r="0" b="3810"/>
            <wp:docPr id="9204559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A88E1" w14:textId="49D68F9A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9F1">
        <w:rPr>
          <w:rFonts w:ascii="Times New Roman" w:hAnsi="Times New Roman" w:cs="Times New Roman"/>
          <w:sz w:val="28"/>
          <w:szCs w:val="28"/>
        </w:rPr>
        <w:t>Рисунок 1.9 — Связь состояния здоровья батареи и сопротивления переноса заряда</w:t>
      </w:r>
    </w:p>
    <w:p w14:paraId="3F949D22" w14:textId="77777777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53CA81" w14:textId="555349E6" w:rsidR="00F109F1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 xml:space="preserve">На рисунке представлены зависимости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Pr="00FC253A">
        <w:rPr>
          <w:rFonts w:ascii="Times New Roman" w:hAnsi="Times New Roman" w:cs="Times New Roman"/>
          <w:sz w:val="28"/>
          <w:szCs w:val="28"/>
        </w:rPr>
        <w:t>NMC, LFP, LTO и Na-ion систем.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всех химий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наблюдается монотонное снижение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ростом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однако характер наклона кривых различен.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 xml:space="preserve">Это означает, что сам показатель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sz w:val="28"/>
          <w:szCs w:val="28"/>
        </w:rPr>
        <w:t xml:space="preserve"> действительно универсален с точки зрения физического смысла, но его количественная интерпретация должна зависеть от химической системы.</w:t>
      </w:r>
    </w:p>
    <w:p w14:paraId="19849A56" w14:textId="6E4299A9" w:rsidR="00FC253A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 xml:space="preserve">Для NMC и Na-ion характерен более резкий спад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 росте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что соответствует высокой чувствительности этих систем к межфазным и поляризационным ограничениям.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LFP зависимость более пологая, что согласуется с большей структурной стабильностью.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 xml:space="preserve">Для LTO наблюдается </w:t>
      </w:r>
      <w:r w:rsidRPr="00FC253A">
        <w:rPr>
          <w:rFonts w:ascii="Times New Roman" w:hAnsi="Times New Roman" w:cs="Times New Roman"/>
          <w:sz w:val="28"/>
          <w:szCs w:val="28"/>
        </w:rPr>
        <w:lastRenderedPageBreak/>
        <w:t>наименьшая крутизна, что отражает высокий ресурс и сравнительно медленное накопление деградации.</w:t>
      </w:r>
    </w:p>
    <w:p w14:paraId="5B8B46A1" w14:textId="4A457561" w:rsidR="00FC253A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установлении количественной связи между импедансным параметром и состоянием здоровья батареи. Это создаёт основу для последующего перехода к модели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=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F54D08" w:rsidRPr="00F54D08">
        <w:rPr>
          <w:rFonts w:ascii="Times New Roman" w:hAnsi="Times New Roman" w:cs="Times New Roman"/>
          <w:sz w:val="28"/>
          <w:szCs w:val="28"/>
        </w:rPr>
        <w:t>Практическая польза рисунка состоит в том, что он позволяет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r w:rsidR="00F54D08" w:rsidRPr="00F54D08">
        <w:rPr>
          <w:rFonts w:ascii="Times New Roman" w:hAnsi="Times New Roman" w:cs="Times New Roman"/>
          <w:sz w:val="28"/>
          <w:szCs w:val="28"/>
        </w:rPr>
        <w:t>использовать измерение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r w:rsidR="00F54D08" w:rsidRPr="00F54D0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F54D08" w:rsidRPr="00F54D0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F54D08" w:rsidRPr="00F54D08">
        <w:rPr>
          <w:rFonts w:ascii="Times New Roman" w:hAnsi="Times New Roman" w:cs="Times New Roman"/>
          <w:sz w:val="28"/>
          <w:szCs w:val="28"/>
        </w:rPr>
        <w:t xml:space="preserve"> как оперативную процедуру оценки состояния батареи без выполнения полного ресурсного разряда.</w:t>
      </w:r>
    </w:p>
    <w:p w14:paraId="64C374C4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1A1C75" w14:textId="193F13F1" w:rsidR="00F54D08" w:rsidRPr="00764CBB" w:rsidRDefault="00126864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26864">
        <w:rPr>
          <w:rFonts w:ascii="Times New Roman" w:hAnsi="Times New Roman" w:cs="Times New Roman"/>
          <w:b/>
          <w:bCs/>
          <w:sz w:val="28"/>
          <w:szCs w:val="28"/>
        </w:rPr>
        <w:t>1.3.3 Состояние мощности батареи</w:t>
      </w:r>
    </w:p>
    <w:p w14:paraId="65575D96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CCFCAE" w14:textId="0574B436" w:rsidR="00126864" w:rsidRPr="00764CBB" w:rsidRDefault="00604DB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4DBC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04DBC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04DBC">
        <w:rPr>
          <w:rFonts w:ascii="Times New Roman" w:hAnsi="Times New Roman" w:cs="Times New Roman"/>
          <w:sz w:val="28"/>
          <w:szCs w:val="28"/>
        </w:rPr>
        <w:t xml:space="preserve"> отражает способность батареи обеспечить требуемую мощность в текущих условиях эксплуатации. С физической точки зрения этот показатель определяется не только запасом энергии, но и внутренним сопротивлением, поляризацией, температурой и допустимым диапазоном напряжения. В наиболее простом электротехническом приближении максимальная мощность на нагрузке определяется теоремой согласования:</w:t>
      </w:r>
    </w:p>
    <w:p w14:paraId="4223C3CF" w14:textId="77777777" w:rsidR="00604DBC" w:rsidRPr="00764CBB" w:rsidRDefault="00604DB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7F6B2A" w14:textId="51BADA93" w:rsidR="00604DBC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3D88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1180" w:dyaOrig="720" w14:anchorId="446C191F">
          <v:shape id="_x0000_i1051" type="#_x0000_t75" style="width:58.85pt;height:36.3pt" o:ole="">
            <v:imagedata r:id="rId71" o:title=""/>
          </v:shape>
          <o:OLEObject Type="Embed" ProgID="Equation.DSMT4" ShapeID="_x0000_i1051" DrawAspect="Content" ObjectID="_1841986614" r:id="rId72"/>
        </w:object>
      </w:r>
    </w:p>
    <w:p w14:paraId="1DBD6007" w14:textId="73BABD40" w:rsidR="00604DBC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08F60A23" w14:textId="15F5B29B" w:rsidR="00683D88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напряжение источника,</w:t>
      </w:r>
    </w:p>
    <w:p w14:paraId="407040E3" w14:textId="3355D9FE" w:rsidR="00683D88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83D8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внутреннее сопротивление батареи.</w:t>
      </w:r>
    </w:p>
    <w:p w14:paraId="1DB2A935" w14:textId="70BA45C1" w:rsidR="00683D88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t>Это выражение выводится из классической задачи о передаче мощности от источника с внутренним сопротивлением к внешней нагрузке и используется здесь как первое приближение для связи между импедансным состоянием батареи и её мощностным потенциалом.</w:t>
      </w:r>
    </w:p>
    <w:p w14:paraId="2B826223" w14:textId="66FF88AE" w:rsidR="004541DF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lastRenderedPageBreak/>
        <w:t>Однако для электрохимической системы этого недостаточно. В реальной батарее ограничение мощности связано также с допустимой глубиной поляризации, тепловыми лимитами и скоростью массопереноса. Поэтому в более содержательной форме</w:t>
      </w:r>
    </w:p>
    <w:p w14:paraId="48E48771" w14:textId="77777777" w:rsidR="004541DF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45126F" w14:textId="4567F2EC" w:rsidR="004541DF" w:rsidRPr="001D7450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7450">
        <w:rPr>
          <w:rFonts w:ascii="Times New Roman" w:hAnsi="Times New Roman" w:cs="Times New Roman"/>
          <w:position w:val="-16"/>
          <w:sz w:val="28"/>
          <w:szCs w:val="28"/>
        </w:rPr>
        <w:object w:dxaOrig="3820" w:dyaOrig="440" w14:anchorId="7AE252E7">
          <v:shape id="_x0000_i1052" type="#_x0000_t75" style="width:190.95pt;height:21.9pt" o:ole="">
            <v:imagedata r:id="rId73" o:title=""/>
          </v:shape>
          <o:OLEObject Type="Embed" ProgID="Equation.DSMT4" ShapeID="_x0000_i1052" DrawAspect="Content" ObjectID="_1841986615" r:id="rId74"/>
        </w:object>
      </w:r>
    </w:p>
    <w:p w14:paraId="6EDCF0D2" w14:textId="711D18CB" w:rsidR="004541DF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1D7450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1D745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lim</w:t>
      </w:r>
      <w:r w:rsidRPr="001D745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предельно допустимое </w:t>
      </w:r>
      <w:r w:rsidRPr="001D7450">
        <w:rPr>
          <w:rFonts w:ascii="Times New Roman" w:hAnsi="Times New Roman" w:cs="Times New Roman"/>
          <w:sz w:val="28"/>
          <w:szCs w:val="28"/>
          <w:highlight w:val="yellow"/>
        </w:rPr>
        <w:t>напряжение границы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D54FF71" w14:textId="25A943C8" w:rsidR="001D7450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450">
        <w:rPr>
          <w:rFonts w:ascii="Times New Roman" w:hAnsi="Times New Roman" w:cs="Times New Roman"/>
          <w:sz w:val="28"/>
          <w:szCs w:val="28"/>
        </w:rPr>
        <w:t>Эта запись отражает тот факт, что мощностное состояние батареи является интегральным следствием как текущего заряда, так и внутренней деградации.</w:t>
      </w:r>
    </w:p>
    <w:p w14:paraId="66BAFCAA" w14:textId="4CDAF410" w:rsidR="001D7450" w:rsidRDefault="006B48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4872">
        <w:rPr>
          <w:rFonts w:ascii="Times New Roman" w:hAnsi="Times New Roman" w:cs="Times New Roman"/>
          <w:sz w:val="28"/>
          <w:szCs w:val="28"/>
        </w:rPr>
        <w:t xml:space="preserve">Для тягового электротранспорта параметр </w:t>
      </w:r>
      <w:r w:rsidRPr="006B4872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особенно важен, поскольку именно он ограничивает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способность транспортного средства к ускорению,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поддержанию высокой тяговой мощности и эффективной рекуперации.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В ряде случаев батарея может сохранять приемлемый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из-за роста </w:t>
      </w:r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B487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общего импеданса.</w:t>
      </w:r>
      <w:r w:rsidR="00FC19D7">
        <w:rPr>
          <w:rFonts w:ascii="Times New Roman" w:hAnsi="Times New Roman" w:cs="Times New Roman"/>
          <w:sz w:val="28"/>
          <w:szCs w:val="28"/>
        </w:rPr>
        <w:t xml:space="preserve"> </w:t>
      </w:r>
      <w:r w:rsidR="00FC19D7" w:rsidRPr="00FC19D7">
        <w:rPr>
          <w:rFonts w:ascii="Times New Roman" w:hAnsi="Times New Roman" w:cs="Times New Roman"/>
          <w:sz w:val="28"/>
          <w:szCs w:val="28"/>
        </w:rPr>
        <w:t>Это является ещё одним аргументом в пользу импедансной диагностики как основы прогноза ресурса.</w:t>
      </w:r>
    </w:p>
    <w:p w14:paraId="4E0404B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8059A9" w14:textId="0B79A86F" w:rsidR="00FC19D7" w:rsidRP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C19D7">
        <w:rPr>
          <w:rFonts w:ascii="Times New Roman" w:hAnsi="Times New Roman" w:cs="Times New Roman"/>
          <w:b/>
          <w:bCs/>
          <w:sz w:val="28"/>
          <w:szCs w:val="28"/>
        </w:rPr>
        <w:t>1.3.4 Остаточный ресурс батареи</w:t>
      </w:r>
    </w:p>
    <w:p w14:paraId="4A8AF29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E728AA" w14:textId="12A6F67D" w:rsidR="00FC19D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3C57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B0D7C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593C57">
        <w:rPr>
          <w:rFonts w:ascii="Times New Roman" w:hAnsi="Times New Roman" w:cs="Times New Roman"/>
          <w:sz w:val="28"/>
          <w:szCs w:val="28"/>
        </w:rPr>
        <w:t xml:space="preserve"> представляет собой оценку времени или числа циклов до достижения предельного состояния аккумуляторной системы. </w:t>
      </w:r>
      <w:r>
        <w:rPr>
          <w:rFonts w:ascii="Times New Roman" w:hAnsi="Times New Roman" w:cs="Times New Roman"/>
          <w:sz w:val="28"/>
          <w:szCs w:val="28"/>
        </w:rPr>
        <w:t xml:space="preserve">Если </w:t>
      </w:r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число циклов, </w:t>
      </w:r>
      <w:r w:rsidRPr="00593C57">
        <w:rPr>
          <w:rFonts w:ascii="Times New Roman" w:hAnsi="Times New Roman" w:cs="Times New Roman"/>
          <w:sz w:val="28"/>
          <w:szCs w:val="28"/>
        </w:rPr>
        <w:t>соответствующее достижению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3C57">
        <w:rPr>
          <w:rFonts w:ascii="Times New Roman" w:hAnsi="Times New Roman" w:cs="Times New Roman"/>
          <w:sz w:val="28"/>
          <w:szCs w:val="28"/>
        </w:rPr>
        <w:t>граничного состояния,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cur</w:t>
      </w:r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текущее число циклов, то в простейшем виде:</w:t>
      </w:r>
    </w:p>
    <w:p w14:paraId="12FEEE00" w14:textId="77777777" w:rsidR="00593C5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579A87" w14:textId="3D369E43" w:rsidR="00593C57" w:rsidRP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0901">
        <w:rPr>
          <w:rFonts w:ascii="Times New Roman" w:hAnsi="Times New Roman" w:cs="Times New Roman"/>
          <w:position w:val="-12"/>
          <w:sz w:val="28"/>
          <w:szCs w:val="28"/>
        </w:rPr>
        <w:object w:dxaOrig="1780" w:dyaOrig="360" w14:anchorId="5EF1CD4E">
          <v:shape id="_x0000_i1053" type="#_x0000_t75" style="width:88.9pt;height:17.55pt" o:ole="">
            <v:imagedata r:id="rId75" o:title=""/>
          </v:shape>
          <o:OLEObject Type="Embed" ProgID="Equation.DSMT4" ShapeID="_x0000_i1053" DrawAspect="Content" ObjectID="_1841986616" r:id="rId76"/>
        </w:object>
      </w:r>
    </w:p>
    <w:p w14:paraId="6524B429" w14:textId="77777777" w:rsidR="00593C5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ECFC0D9" w14:textId="3BC85704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0901">
        <w:rPr>
          <w:rFonts w:ascii="Times New Roman" w:hAnsi="Times New Roman" w:cs="Times New Roman"/>
          <w:sz w:val="28"/>
          <w:szCs w:val="28"/>
        </w:rPr>
        <w:lastRenderedPageBreak/>
        <w:t xml:space="preserve">Однако практическая сложность состоит в том, что </w:t>
      </w:r>
      <w:r w:rsidRPr="0070090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 w:rsidRPr="00700901">
        <w:rPr>
          <w:rFonts w:ascii="Times New Roman" w:hAnsi="Times New Roman" w:cs="Times New Roman"/>
          <w:sz w:val="28"/>
          <w:szCs w:val="28"/>
        </w:rPr>
        <w:t xml:space="preserve"> заранее неизвестно. Его необходимо прогнозировать по текущей деградационной траектории. Если состояние батареи описывается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Pr="0070090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700901">
        <w:rPr>
          <w:rFonts w:ascii="Times New Roman" w:hAnsi="Times New Roman" w:cs="Times New Roman"/>
          <w:sz w:val="28"/>
          <w:szCs w:val="28"/>
        </w:rPr>
        <w:t xml:space="preserve"> то предельное состояние обычно связывается с условием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1856E8C" w14:textId="77777777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764E24" w14:textId="482B6D10" w:rsidR="00700901" w:rsidRP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389C">
        <w:rPr>
          <w:rFonts w:ascii="Times New Roman" w:hAnsi="Times New Roman" w:cs="Times New Roman"/>
          <w:position w:val="-12"/>
          <w:sz w:val="28"/>
          <w:szCs w:val="28"/>
        </w:rPr>
        <w:object w:dxaOrig="2079" w:dyaOrig="360" w14:anchorId="38F56FC8">
          <v:shape id="_x0000_i1054" type="#_x0000_t75" style="width:103.95pt;height:17.55pt" o:ole="">
            <v:imagedata r:id="rId77" o:title=""/>
          </v:shape>
          <o:OLEObject Type="Embed" ProgID="Equation.DSMT4" ShapeID="_x0000_i1054" DrawAspect="Content" ObjectID="_1841986617" r:id="rId78"/>
        </w:object>
      </w:r>
    </w:p>
    <w:p w14:paraId="6ED07B40" w14:textId="77777777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5E7087" w14:textId="59B9E292" w:rsidR="0072389C" w:rsidRPr="00764CBB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Наиболее распространённым инженерным критерием является </w:t>
      </w:r>
      <w:r w:rsidRPr="0072389C">
        <w:rPr>
          <w:rFonts w:ascii="Times New Roman" w:hAnsi="Times New Roman" w:cs="Times New Roman"/>
          <w:sz w:val="28"/>
          <w:szCs w:val="28"/>
          <w:highlight w:val="yellow"/>
        </w:rPr>
        <w:t>уровень</w:t>
      </w:r>
    </w:p>
    <w:p w14:paraId="62334DF4" w14:textId="77777777" w:rsidR="0072389C" w:rsidRPr="00764CBB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D52D02" w14:textId="114FB782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389C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460" w:dyaOrig="360" w14:anchorId="3AA6288C">
          <v:shape id="_x0000_i1055" type="#_x0000_t75" style="width:73.25pt;height:17.55pt" o:ole="">
            <v:imagedata r:id="rId79" o:title=""/>
          </v:shape>
          <o:OLEObject Type="Embed" ProgID="Equation.DSMT4" ShapeID="_x0000_i1055" DrawAspect="Content" ObjectID="_1841986618" r:id="rId80"/>
        </w:object>
      </w:r>
    </w:p>
    <w:p w14:paraId="786B5538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2A46E2" w14:textId="5CDA23E3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Этот порог принят потому, что при дальнейшем снижении ёмкости и одновременном росте внутреннего сопротивления батарея обычно перестаёт удовлетворять требованиям по дальности </w:t>
      </w:r>
      <w:r w:rsidRPr="0072389C">
        <w:rPr>
          <w:rFonts w:ascii="Times New Roman" w:hAnsi="Times New Roman" w:cs="Times New Roman"/>
          <w:sz w:val="28"/>
          <w:szCs w:val="28"/>
          <w:highlight w:val="green"/>
        </w:rPr>
        <w:t>хода</w:t>
      </w:r>
      <w:r w:rsidRPr="0072389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2389C">
        <w:rPr>
          <w:rFonts w:ascii="Times New Roman" w:hAnsi="Times New Roman" w:cs="Times New Roman"/>
          <w:sz w:val="28"/>
          <w:szCs w:val="28"/>
        </w:rPr>
        <w:t>мощности и тепловой устойчивости.</w:t>
      </w:r>
    </w:p>
    <w:p w14:paraId="19831B1E" w14:textId="513B3C9B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>Если же в качестве базового деградационного параметра используется сопротивление переноса заряда, то возможна альтернативная постановка:</w:t>
      </w:r>
    </w:p>
    <w:p w14:paraId="553379BD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08CC6F" w14:textId="22A788B1" w:rsidR="0072389C" w:rsidRPr="006F610E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610E">
        <w:rPr>
          <w:rFonts w:ascii="Times New Roman" w:hAnsi="Times New Roman" w:cs="Times New Roman"/>
          <w:position w:val="-30"/>
          <w:sz w:val="28"/>
          <w:szCs w:val="28"/>
        </w:rPr>
        <w:object w:dxaOrig="2060" w:dyaOrig="700" w14:anchorId="5BCDF34D">
          <v:shape id="_x0000_i1056" type="#_x0000_t75" style="width:103.3pt;height:35.05pt" o:ole="">
            <v:imagedata r:id="rId81" o:title=""/>
          </v:shape>
          <o:OLEObject Type="Embed" ProgID="Equation.DSMT4" ShapeID="_x0000_i1056" DrawAspect="Content" ObjectID="_1841986619" r:id="rId82"/>
        </w:object>
      </w:r>
    </w:p>
    <w:p w14:paraId="15C6EB2D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AF14B66" w14:textId="2EE9D835" w:rsidR="006F610E" w:rsidRPr="00764CBB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610E">
        <w:rPr>
          <w:rFonts w:ascii="Times New Roman" w:hAnsi="Times New Roman" w:cs="Times New Roman"/>
          <w:sz w:val="28"/>
          <w:szCs w:val="28"/>
        </w:rPr>
        <w:t xml:space="preserve">которая справедлива при локально линейной аппроксимации роста </w:t>
      </w:r>
      <w:r w:rsidRPr="006F61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F61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F610E">
        <w:rPr>
          <w:rFonts w:ascii="Times New Roman" w:hAnsi="Times New Roman" w:cs="Times New Roman"/>
          <w:sz w:val="28"/>
          <w:szCs w:val="28"/>
        </w:rPr>
        <w:t>. В более общем нелинейном</w:t>
      </w:r>
      <w:r w:rsidRPr="00764CBB">
        <w:rPr>
          <w:rFonts w:ascii="Times New Roman" w:hAnsi="Times New Roman" w:cs="Times New Roman"/>
          <w:sz w:val="28"/>
          <w:szCs w:val="28"/>
        </w:rPr>
        <w:t xml:space="preserve"> </w:t>
      </w:r>
      <w:r w:rsidRPr="006F610E">
        <w:rPr>
          <w:rFonts w:ascii="Times New Roman" w:hAnsi="Times New Roman" w:cs="Times New Roman"/>
          <w:sz w:val="28"/>
          <w:szCs w:val="28"/>
        </w:rPr>
        <w:t>случае следует использовать интегральную форму</w:t>
      </w:r>
    </w:p>
    <w:p w14:paraId="72465FDC" w14:textId="77777777" w:rsidR="006F610E" w:rsidRPr="00764CBB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75B13E" w14:textId="77777777" w:rsidR="00B033D7" w:rsidRPr="00764CBB" w:rsidRDefault="00B033D7" w:rsidP="008353D2">
      <w:pPr>
        <w:spacing w:line="360" w:lineRule="auto"/>
        <w:ind w:firstLine="709"/>
        <w:jc w:val="both"/>
      </w:pPr>
      <w:r w:rsidRPr="00B033D7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140" w:dyaOrig="680" w14:anchorId="26476E25">
          <v:shape id="_x0000_i1057" type="#_x0000_t75" style="width:107.05pt;height:33.8pt" o:ole="">
            <v:imagedata r:id="rId83" o:title=""/>
          </v:shape>
          <o:OLEObject Type="Embed" ProgID="Equation.DSMT4" ShapeID="_x0000_i1057" DrawAspect="Content" ObjectID="_1841986620" r:id="rId84"/>
        </w:object>
      </w:r>
      <w:r w:rsidRPr="00B033D7">
        <w:t xml:space="preserve"> </w:t>
      </w:r>
    </w:p>
    <w:p w14:paraId="11F2F4C3" w14:textId="5CDFE927" w:rsidR="006F610E" w:rsidRPr="00764CBB" w:rsidRDefault="00B03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33D7">
        <w:rPr>
          <w:rFonts w:ascii="Times New Roman" w:hAnsi="Times New Roman" w:cs="Times New Roman"/>
          <w:sz w:val="28"/>
          <w:szCs w:val="28"/>
        </w:rPr>
        <w:t xml:space="preserve">Происхождение этих формул очевидно из теории деградационных процессов: остаточный ресурс равен расстоянию по деградационной координате до предельного состояния, делённому на скорость накопления повреждения. Именно такой переход от текущего состояния к скорости деградации и далее к </w:t>
      </w:r>
      <w:r w:rsidRPr="00B033D7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B033D7">
        <w:rPr>
          <w:rFonts w:ascii="Times New Roman" w:hAnsi="Times New Roman" w:cs="Times New Roman"/>
          <w:sz w:val="28"/>
          <w:szCs w:val="28"/>
        </w:rPr>
        <w:t xml:space="preserve"> составляет центральную прогностическую логику всей диссертации.</w:t>
      </w:r>
    </w:p>
    <w:p w14:paraId="07234D20" w14:textId="1D8C13A9" w:rsidR="00B033D7" w:rsidRPr="00707496" w:rsidRDefault="0070749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7496">
        <w:rPr>
          <w:rFonts w:ascii="Times New Roman" w:hAnsi="Times New Roman" w:cs="Times New Roman"/>
          <w:sz w:val="28"/>
          <w:szCs w:val="28"/>
        </w:rPr>
        <w:t>Для визуализации остаточного ресурса была построена деградационная траектория опытного тягового модуля, на которой отмечены текущая точка состояния и прогнозируемый момент достижения порога конца ресурса.</w:t>
      </w:r>
    </w:p>
    <w:p w14:paraId="36C24842" w14:textId="48020708" w:rsidR="006F610E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9469FEE" wp14:editId="477BC08D">
            <wp:extent cx="6119495" cy="3515360"/>
            <wp:effectExtent l="0" t="0" r="0" b="8890"/>
            <wp:docPr id="25762656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1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B4C10" w14:textId="23D569C5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FE6">
        <w:rPr>
          <w:rFonts w:ascii="Times New Roman" w:hAnsi="Times New Roman" w:cs="Times New Roman"/>
          <w:sz w:val="28"/>
          <w:szCs w:val="28"/>
        </w:rPr>
        <w:t>Рисунок 1.10 — Определение остаточного ресурса по деградационной траектории</w:t>
      </w:r>
    </w:p>
    <w:p w14:paraId="77B6C8E0" w14:textId="77777777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23247B" w14:textId="4E39B6F1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FE6">
        <w:rPr>
          <w:rFonts w:ascii="Times New Roman" w:hAnsi="Times New Roman" w:cs="Times New Roman"/>
          <w:sz w:val="28"/>
          <w:szCs w:val="28"/>
        </w:rPr>
        <w:t xml:space="preserve">На рисунке представлена типичная кривая деградации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1FE6">
        <w:rPr>
          <w:rFonts w:ascii="Times New Roman" w:hAnsi="Times New Roman" w:cs="Times New Roman"/>
          <w:sz w:val="28"/>
          <w:szCs w:val="28"/>
        </w:rPr>
        <w:t xml:space="preserve">, по которой определяется остаточный ресурс батареи. Вертикальная линия в левой части графика соответствует текущему состоянию батареи, а вторая вертикальная линия — ожидаемому числу циклов, при котором будет достигнут порог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=80%</w:t>
      </w:r>
      <w:r w:rsidRPr="00FC1FE6">
        <w:rPr>
          <w:rFonts w:ascii="Times New Roman" w:hAnsi="Times New Roman" w:cs="Times New Roman"/>
          <w:sz w:val="28"/>
          <w:szCs w:val="28"/>
        </w:rPr>
        <w:t xml:space="preserve">. </w:t>
      </w:r>
      <w:r w:rsidR="002638C1" w:rsidRPr="002638C1">
        <w:rPr>
          <w:rFonts w:ascii="Times New Roman" w:hAnsi="Times New Roman" w:cs="Times New Roman"/>
          <w:sz w:val="28"/>
          <w:szCs w:val="28"/>
        </w:rPr>
        <w:t>Расстояние между этими двумя линиями по оси циклов и определяет остаточный ресурс батареи в цикловой форме.</w:t>
      </w:r>
    </w:p>
    <w:p w14:paraId="558EA41F" w14:textId="05E9B47B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38C1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наглядно связывает диагностическую часть задачи с прогностической. Пока известна только текущая точка, возможна лишь констатация состояния; когда известна траектория деградации, появляется возможность прогноза </w:t>
      </w:r>
      <w:r w:rsidRPr="002638C1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2638C1">
        <w:rPr>
          <w:rFonts w:ascii="Times New Roman" w:hAnsi="Times New Roman" w:cs="Times New Roman"/>
          <w:sz w:val="28"/>
          <w:szCs w:val="28"/>
        </w:rPr>
        <w:t>. Практическая ценность рисунка заключается в том, что он демонстрирует алгоритмическую основу ресурсного сопровождения батареи:</w:t>
      </w:r>
      <w:r w:rsidRPr="002638C1">
        <w:t xml:space="preserve"> </w:t>
      </w:r>
      <w:r w:rsidRPr="002638C1">
        <w:rPr>
          <w:rFonts w:ascii="Times New Roman" w:hAnsi="Times New Roman" w:cs="Times New Roman"/>
          <w:sz w:val="28"/>
          <w:szCs w:val="28"/>
        </w:rPr>
        <w:t>от измерения параметров к идентификации траектории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2638C1">
        <w:rPr>
          <w:rFonts w:ascii="Times New Roman" w:hAnsi="Times New Roman" w:cs="Times New Roman"/>
          <w:sz w:val="28"/>
          <w:szCs w:val="28"/>
        </w:rPr>
        <w:t xml:space="preserve"> далее к прогнозу конца ресурса.</w:t>
      </w:r>
    </w:p>
    <w:p w14:paraId="11B08376" w14:textId="77777777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D5FB8E" w14:textId="43E7134F" w:rsidR="00520843" w:rsidRP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1.3.5 Взаимосвязь показателей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SOC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SOH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SOF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RUL</w:t>
      </w:r>
    </w:p>
    <w:p w14:paraId="64F89ADF" w14:textId="77777777" w:rsid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E4CCD7" w14:textId="27EACC09" w:rsidR="00520843" w:rsidRDefault="006D51C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51C4">
        <w:rPr>
          <w:rFonts w:ascii="Times New Roman" w:hAnsi="Times New Roman" w:cs="Times New Roman"/>
          <w:sz w:val="28"/>
          <w:szCs w:val="28"/>
        </w:rPr>
        <w:t>Рассматриваемые показатели не являются независимыми. 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D51C4">
        <w:rPr>
          <w:rFonts w:ascii="Times New Roman" w:hAnsi="Times New Roman" w:cs="Times New Roman"/>
          <w:sz w:val="28"/>
          <w:szCs w:val="28"/>
        </w:rPr>
        <w:t xml:space="preserve"> влияет на доступное напряжение и тем самым на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D51C4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B15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определяет доступную ёмкость </w:t>
      </w:r>
      <w:r w:rsidR="00CB155F" w:rsidRPr="00CB155F">
        <w:rPr>
          <w:rFonts w:ascii="Times New Roman" w:hAnsi="Times New Roman" w:cs="Times New Roman"/>
          <w:sz w:val="28"/>
          <w:szCs w:val="28"/>
        </w:rPr>
        <w:t>и внутренний импеданс, а потому влияет как на запас энергии, так и на максимальную мощность. Параметр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CB155F" w:rsidRP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>
        <w:rPr>
          <w:rFonts w:ascii="Times New Roman" w:hAnsi="Times New Roman" w:cs="Times New Roman"/>
          <w:sz w:val="28"/>
          <w:szCs w:val="28"/>
        </w:rPr>
        <w:t xml:space="preserve">в </w:t>
      </w:r>
      <w:r w:rsidR="00CB155F" w:rsidRPr="00CB155F">
        <w:rPr>
          <w:rFonts w:ascii="Times New Roman" w:hAnsi="Times New Roman" w:cs="Times New Roman"/>
          <w:sz w:val="28"/>
          <w:szCs w:val="28"/>
        </w:rPr>
        <w:t>свою очередь определяется не только текущим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CB155F" w:rsidRPr="00CB155F">
        <w:rPr>
          <w:rFonts w:ascii="Times New Roman" w:hAnsi="Times New Roman" w:cs="Times New Roman"/>
          <w:sz w:val="28"/>
          <w:szCs w:val="28"/>
        </w:rPr>
        <w:t>, но и скоростью его изменения, а значит — режимом эксплуатации, температурой и внутренними импедансными параметрами.</w:t>
      </w:r>
    </w:p>
    <w:p w14:paraId="1EF4821A" w14:textId="396C7109" w:rsidR="00CB155F" w:rsidRDefault="00CB155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155F">
        <w:rPr>
          <w:rFonts w:ascii="Times New Roman" w:hAnsi="Times New Roman" w:cs="Times New Roman"/>
          <w:sz w:val="28"/>
          <w:szCs w:val="28"/>
        </w:rPr>
        <w:t>Для целей диссертации эта взаимосвязь может быть представлена системой</w:t>
      </w:r>
    </w:p>
    <w:p w14:paraId="4B5B8E36" w14:textId="77777777" w:rsidR="00CB155F" w:rsidRDefault="00CB155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D6D515" w14:textId="01BD77CF" w:rsidR="00CB155F" w:rsidRPr="00764CB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14"/>
          <w:sz w:val="28"/>
          <w:szCs w:val="28"/>
        </w:rPr>
        <w:object w:dxaOrig="1920" w:dyaOrig="400" w14:anchorId="666DD195">
          <v:shape id="_x0000_i1058" type="#_x0000_t75" style="width:96.4pt;height:20.65pt" o:ole="">
            <v:imagedata r:id="rId86" o:title=""/>
          </v:shape>
          <o:OLEObject Type="Embed" ProgID="Equation.DSMT4" ShapeID="_x0000_i1058" DrawAspect="Content" ObjectID="_1841986621" r:id="rId87"/>
        </w:object>
      </w:r>
      <w:r w:rsidRPr="00764CBB">
        <w:rPr>
          <w:rFonts w:ascii="Times New Roman" w:hAnsi="Times New Roman" w:cs="Times New Roman"/>
          <w:sz w:val="28"/>
          <w:szCs w:val="28"/>
        </w:rPr>
        <w:t>,</w:t>
      </w:r>
    </w:p>
    <w:p w14:paraId="32E47732" w14:textId="1BC0DC49" w:rsidR="00EC5BEB" w:rsidRPr="00764CB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16"/>
          <w:sz w:val="28"/>
          <w:szCs w:val="28"/>
          <w:lang w:val="en-US"/>
        </w:rPr>
        <w:object w:dxaOrig="2840" w:dyaOrig="440" w14:anchorId="17814122">
          <v:shape id="_x0000_i1059" type="#_x0000_t75" style="width:142.1pt;height:21.9pt" o:ole="">
            <v:imagedata r:id="rId88" o:title=""/>
          </v:shape>
          <o:OLEObject Type="Embed" ProgID="Equation.DSMT4" ShapeID="_x0000_i1059" DrawAspect="Content" ObjectID="_1841986622" r:id="rId89"/>
        </w:object>
      </w:r>
      <w:r w:rsidRPr="00764CBB">
        <w:rPr>
          <w:rFonts w:ascii="Times New Roman" w:hAnsi="Times New Roman" w:cs="Times New Roman"/>
          <w:sz w:val="28"/>
          <w:szCs w:val="28"/>
        </w:rPr>
        <w:t>,</w:t>
      </w:r>
    </w:p>
    <w:p w14:paraId="4829E069" w14:textId="712CB5EB" w:rsidR="00EC5BEB" w:rsidRPr="00764CB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920" w:dyaOrig="400" w14:anchorId="2994B8B5">
          <v:shape id="_x0000_i1060" type="#_x0000_t75" style="width:145.9pt;height:20.65pt" o:ole="">
            <v:imagedata r:id="rId90" o:title=""/>
          </v:shape>
          <o:OLEObject Type="Embed" ProgID="Equation.DSMT4" ShapeID="_x0000_i1060" DrawAspect="Content" ObjectID="_1841986623" r:id="rId91"/>
        </w:object>
      </w:r>
      <w:r w:rsidRPr="00764CBB">
        <w:rPr>
          <w:rFonts w:ascii="Times New Roman" w:hAnsi="Times New Roman" w:cs="Times New Roman"/>
          <w:sz w:val="28"/>
          <w:szCs w:val="28"/>
        </w:rPr>
        <w:t>,</w:t>
      </w:r>
    </w:p>
    <w:p w14:paraId="3FDEBFF2" w14:textId="73743C41" w:rsidR="00CB155F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28"/>
          <w:sz w:val="28"/>
          <w:szCs w:val="28"/>
        </w:rPr>
        <w:object w:dxaOrig="4180" w:dyaOrig="680" w14:anchorId="51711635">
          <v:shape id="_x0000_i1061" type="#_x0000_t75" style="width:209.1pt;height:33.8pt" o:ole="">
            <v:imagedata r:id="rId92" o:title=""/>
          </v:shape>
          <o:OLEObject Type="Embed" ProgID="Equation.DSMT4" ShapeID="_x0000_i1061" DrawAspect="Content" ObjectID="_1841986624" r:id="rId93"/>
        </w:objec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8CEC976" w14:textId="77777777" w:rsidR="00EC5BE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512516" w14:textId="6DCCED24" w:rsidR="00EC5BE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7E1">
        <w:rPr>
          <w:rFonts w:ascii="Times New Roman" w:hAnsi="Times New Roman" w:cs="Times New Roman"/>
          <w:sz w:val="28"/>
          <w:szCs w:val="28"/>
        </w:rPr>
        <w:t>Данная система не вводится как завершённая вычислительная модель, а задаёт структурную иерархию параметров. В последующих главах именно она будет конкретизирована сначала на уровне импедансной модели, затем на уровне диагностических критериев и, наконец, на уровне прогностического алгоритма.</w:t>
      </w:r>
    </w:p>
    <w:p w14:paraId="1EC4A504" w14:textId="77777777" w:rsidR="000347E1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0A5140" w14:paraId="1D8E8118" w14:textId="77777777" w:rsidTr="000A5140">
        <w:tc>
          <w:tcPr>
            <w:tcW w:w="2406" w:type="dxa"/>
          </w:tcPr>
          <w:p w14:paraId="6E9EABC6" w14:textId="0C767F02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2407" w:type="dxa"/>
          </w:tcPr>
          <w:p w14:paraId="5830B148" w14:textId="4CB127F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Основная физическая интерпретация</w:t>
            </w:r>
          </w:p>
        </w:tc>
        <w:tc>
          <w:tcPr>
            <w:tcW w:w="2407" w:type="dxa"/>
          </w:tcPr>
          <w:p w14:paraId="5F0DF5CA" w14:textId="632A8AF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Базовая формула</w:t>
            </w:r>
          </w:p>
        </w:tc>
        <w:tc>
          <w:tcPr>
            <w:tcW w:w="2407" w:type="dxa"/>
          </w:tcPr>
          <w:p w14:paraId="359B3008" w14:textId="5D882C65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Главный недостаток при изолированном использовании</w:t>
            </w:r>
          </w:p>
        </w:tc>
      </w:tr>
      <w:tr w:rsidR="000A5140" w14:paraId="7C25484A" w14:textId="77777777" w:rsidTr="000A5140">
        <w:tc>
          <w:tcPr>
            <w:tcW w:w="2406" w:type="dxa"/>
          </w:tcPr>
          <w:p w14:paraId="7EFB358E" w14:textId="2D728E83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SOC</w:t>
            </w:r>
          </w:p>
        </w:tc>
        <w:tc>
          <w:tcPr>
            <w:tcW w:w="2407" w:type="dxa"/>
          </w:tcPr>
          <w:p w14:paraId="06427F80" w14:textId="46D49D47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Текущий запас заряда</w:t>
            </w:r>
          </w:p>
        </w:tc>
        <w:tc>
          <w:tcPr>
            <w:tcW w:w="2407" w:type="dxa"/>
          </w:tcPr>
          <w:p w14:paraId="40220F2B" w14:textId="68233CA1" w:rsidR="000A5140" w:rsidRPr="00420211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021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00" w:dyaOrig="360" w14:anchorId="5C69D783">
                <v:shape id="_x0000_i1062" type="#_x0000_t75" style="width:74.5pt;height:17.55pt" o:ole="">
                  <v:imagedata r:id="rId94" o:title=""/>
                </v:shape>
                <o:OLEObject Type="Embed" ProgID="Equation.DSMT4" ShapeID="_x0000_i1062" DrawAspect="Content" ObjectID="_1841986625" r:id="rId95"/>
              </w:object>
            </w:r>
          </w:p>
        </w:tc>
        <w:tc>
          <w:tcPr>
            <w:tcW w:w="2407" w:type="dxa"/>
          </w:tcPr>
          <w:p w14:paraId="75ACAAE7" w14:textId="1EA6E6B2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Не отражает внутреннюю деградацию</w:t>
            </w:r>
          </w:p>
        </w:tc>
      </w:tr>
      <w:tr w:rsidR="000A5140" w14:paraId="0D84C11B" w14:textId="77777777" w:rsidTr="000A5140">
        <w:tc>
          <w:tcPr>
            <w:tcW w:w="2406" w:type="dxa"/>
          </w:tcPr>
          <w:p w14:paraId="3D534022" w14:textId="0DD27F8D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SOH</w:t>
            </w:r>
          </w:p>
        </w:tc>
        <w:tc>
          <w:tcPr>
            <w:tcW w:w="2407" w:type="dxa"/>
          </w:tcPr>
          <w:p w14:paraId="3DD03EEE" w14:textId="7D4C58E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Степень старения батареи</w:t>
            </w:r>
          </w:p>
        </w:tc>
        <w:tc>
          <w:tcPr>
            <w:tcW w:w="2407" w:type="dxa"/>
          </w:tcPr>
          <w:p w14:paraId="790AFD7C" w14:textId="32F72100" w:rsidR="000A5140" w:rsidRPr="00420211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021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40" w:dyaOrig="360" w14:anchorId="3040466C">
                <v:shape id="_x0000_i1063" type="#_x0000_t75" style="width:77.65pt;height:17.55pt" o:ole="">
                  <v:imagedata r:id="rId96" o:title=""/>
                </v:shape>
                <o:OLEObject Type="Embed" ProgID="Equation.DSMT4" ShapeID="_x0000_i1063" DrawAspect="Content" ObjectID="_1841986626" r:id="rId97"/>
              </w:objec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или </w:t>
            </w:r>
            <w:r w:rsidRPr="00420211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1480" w:dyaOrig="400" w14:anchorId="2D2BC0DB">
                <v:shape id="_x0000_i1064" type="#_x0000_t75" style="width:73.9pt;height:20.65pt" o:ole="">
                  <v:imagedata r:id="rId98" o:title=""/>
                </v:shape>
                <o:OLEObject Type="Embed" ProgID="Equation.DSMT4" ShapeID="_x0000_i1064" DrawAspect="Content" ObjectID="_1841986627" r:id="rId99"/>
              </w:object>
            </w:r>
          </w:p>
        </w:tc>
        <w:tc>
          <w:tcPr>
            <w:tcW w:w="2407" w:type="dxa"/>
          </w:tcPr>
          <w:p w14:paraId="35AB73C3" w14:textId="0E31228C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При ёмкостной трактовке запаздывает относительно ранней деградации</w:t>
            </w:r>
          </w:p>
        </w:tc>
      </w:tr>
      <w:tr w:rsidR="000A5140" w14:paraId="507389C7" w14:textId="77777777" w:rsidTr="000A5140">
        <w:tc>
          <w:tcPr>
            <w:tcW w:w="2406" w:type="dxa"/>
          </w:tcPr>
          <w:p w14:paraId="38F0E44D" w14:textId="5CB7EE92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SOF</w:t>
            </w:r>
          </w:p>
        </w:tc>
        <w:tc>
          <w:tcPr>
            <w:tcW w:w="2407" w:type="dxa"/>
          </w:tcPr>
          <w:p w14:paraId="0C73405B" w14:textId="2CE7B15C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Доступная мощность</w:t>
            </w:r>
          </w:p>
        </w:tc>
        <w:tc>
          <w:tcPr>
            <w:tcW w:w="2407" w:type="dxa"/>
          </w:tcPr>
          <w:p w14:paraId="3C78A97E" w14:textId="7E0F5BA8" w:rsidR="000A5140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0211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2000" w:dyaOrig="400" w14:anchorId="77DAF3F7">
                <v:shape id="_x0000_i1065" type="#_x0000_t75" style="width:100.8pt;height:20.65pt" o:ole="">
                  <v:imagedata r:id="rId100" o:title=""/>
                </v:shape>
                <o:OLEObject Type="Embed" ProgID="Equation.DSMT4" ShapeID="_x0000_i1065" DrawAspect="Content" ObjectID="_1841986628" r:id="rId101"/>
              </w:object>
            </w:r>
          </w:p>
        </w:tc>
        <w:tc>
          <w:tcPr>
            <w:tcW w:w="2407" w:type="dxa"/>
          </w:tcPr>
          <w:p w14:paraId="7C0B16B8" w14:textId="725751C7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Требует знания не только заряда, но и импедансного состояния</w:t>
            </w:r>
          </w:p>
        </w:tc>
      </w:tr>
      <w:tr w:rsidR="000A5140" w14:paraId="541815A7" w14:textId="77777777" w:rsidTr="000A5140">
        <w:tc>
          <w:tcPr>
            <w:tcW w:w="2406" w:type="dxa"/>
          </w:tcPr>
          <w:p w14:paraId="7B7977B9" w14:textId="4E839A4D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RUL</w:t>
            </w:r>
          </w:p>
        </w:tc>
        <w:tc>
          <w:tcPr>
            <w:tcW w:w="2407" w:type="dxa"/>
          </w:tcPr>
          <w:p w14:paraId="7DF2EBA4" w14:textId="1287EE10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Остаточный срок службы</w:t>
            </w:r>
          </w:p>
        </w:tc>
        <w:tc>
          <w:tcPr>
            <w:tcW w:w="2407" w:type="dxa"/>
          </w:tcPr>
          <w:p w14:paraId="6B46E118" w14:textId="3E5C83C6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780" w:dyaOrig="360" w14:anchorId="6B6620D0">
                <v:shape id="_x0000_i1066" type="#_x0000_t75" style="width:88.9pt;height:17.55pt" o:ole="">
                  <v:imagedata r:id="rId102" o:title=""/>
                </v:shape>
                <o:OLEObject Type="Embed" ProgID="Equation.DSMT4" ShapeID="_x0000_i1066" DrawAspect="Content" ObjectID="_1841986629" r:id="rId103"/>
              </w:object>
            </w:r>
          </w:p>
        </w:tc>
        <w:tc>
          <w:tcPr>
            <w:tcW w:w="2407" w:type="dxa"/>
          </w:tcPr>
          <w:p w14:paraId="193652ED" w14:textId="24DAADC0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 xml:space="preserve">Невозможен без модели </w:t>
            </w:r>
            <w:r w:rsidRPr="00855B0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деградационной траектории</w:t>
            </w:r>
          </w:p>
        </w:tc>
      </w:tr>
    </w:tbl>
    <w:p w14:paraId="58FC8B36" w14:textId="77777777" w:rsidR="000347E1" w:rsidRPr="00764CB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ADD997" w14:textId="4385A5C4" w:rsidR="00855B00" w:rsidRPr="00D05F77" w:rsidRDefault="00131CC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CCA">
        <w:rPr>
          <w:rFonts w:ascii="Times New Roman" w:hAnsi="Times New Roman" w:cs="Times New Roman"/>
          <w:sz w:val="28"/>
          <w:szCs w:val="28"/>
        </w:rPr>
        <w:t xml:space="preserve">Таким образом, показатели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131C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образуют единую систему описания технического состояния тяговой аккумуляторной батареи. </w:t>
      </w:r>
      <w:r w:rsidRPr="00131CCA">
        <w:rPr>
          <w:rFonts w:ascii="Times New Roman" w:hAnsi="Times New Roman" w:cs="Times New Roman"/>
          <w:sz w:val="28"/>
          <w:szCs w:val="28"/>
        </w:rPr>
        <w:t>Среди них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 отражает краткосрочное состояние,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накопленную деградацию,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>
        <w:rPr>
          <w:rFonts w:ascii="Times New Roman" w:hAnsi="Times New Roman" w:cs="Times New Roman"/>
          <w:sz w:val="28"/>
          <w:szCs w:val="28"/>
        </w:rPr>
        <w:t xml:space="preserve"> – текущее силовое качество батареи, а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– её будущую работоспособность.</w:t>
      </w:r>
      <w:r w:rsidR="00D05F77" w:rsidRPr="00D05F77">
        <w:t xml:space="preserve"> </w:t>
      </w:r>
      <w:r w:rsidR="00D05F77" w:rsidRPr="00D05F77">
        <w:rPr>
          <w:rFonts w:ascii="Times New Roman" w:hAnsi="Times New Roman" w:cs="Times New Roman"/>
          <w:sz w:val="28"/>
          <w:szCs w:val="28"/>
        </w:rPr>
        <w:t>Для построения физически обоснованной системы прогноза ресурса принципиально важен переход от традиционной ёмкостной трактовки</w:t>
      </w:r>
      <w:r w:rsidR="00D05F77">
        <w:rPr>
          <w:rFonts w:ascii="Times New Roman" w:hAnsi="Times New Roman" w:cs="Times New Roman"/>
          <w:sz w:val="28"/>
          <w:szCs w:val="28"/>
        </w:rPr>
        <w:t xml:space="preserve"> </w:t>
      </w:r>
      <w:r w:rsidR="00D05F77"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="00D05F77" w:rsidRPr="00D05F77">
        <w:rPr>
          <w:rFonts w:ascii="Times New Roman" w:hAnsi="Times New Roman" w:cs="Times New Roman"/>
          <w:sz w:val="28"/>
          <w:szCs w:val="28"/>
        </w:rPr>
        <w:t xml:space="preserve"> к его импедансной интерпретации, поскольку именно она обеспечивает раннюю чувствительность к деградации и позволяет связать диагностический и прогностический уровни анализа.</w:t>
      </w:r>
    </w:p>
    <w:p w14:paraId="77BE72A0" w14:textId="77777777" w:rsidR="00855B00" w:rsidRPr="00764CBB" w:rsidRDefault="00855B0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950536" w14:textId="1F1C8858" w:rsidR="00764CBB" w:rsidRPr="00764CBB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64CBB">
        <w:rPr>
          <w:rFonts w:ascii="Times New Roman" w:hAnsi="Times New Roman" w:cs="Times New Roman"/>
          <w:b/>
          <w:bCs/>
          <w:sz w:val="28"/>
          <w:szCs w:val="28"/>
        </w:rPr>
        <w:t>1.4 Электрохимическая импедансная спектроскопия как диагностический инструмент</w:t>
      </w:r>
    </w:p>
    <w:p w14:paraId="6FB8148B" w14:textId="77777777" w:rsidR="00764CBB" w:rsidRPr="00206F49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3C981E" w14:textId="025826D2" w:rsidR="00764CBB" w:rsidRPr="00206F49" w:rsidRDefault="00621FA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1FAF">
        <w:rPr>
          <w:rFonts w:ascii="Times New Roman" w:hAnsi="Times New Roman" w:cs="Times New Roman"/>
          <w:sz w:val="28"/>
          <w:szCs w:val="28"/>
        </w:rPr>
        <w:t xml:space="preserve">Электрохимическая импедансная спектроскопия представляет собой частотный метод анализа отклика электрохимической системы на малое гармоническое возмущение тока </w:t>
      </w:r>
      <w:r w:rsidRPr="00A15C66">
        <w:rPr>
          <w:rFonts w:ascii="Times New Roman" w:hAnsi="Times New Roman" w:cs="Times New Roman"/>
          <w:sz w:val="28"/>
          <w:szCs w:val="28"/>
          <w:highlight w:val="yellow"/>
        </w:rPr>
        <w:t>или напряжения</w:t>
      </w:r>
      <w:r w:rsidRPr="00621FAF">
        <w:rPr>
          <w:rFonts w:ascii="Times New Roman" w:hAnsi="Times New Roman" w:cs="Times New Roman"/>
          <w:sz w:val="28"/>
          <w:szCs w:val="28"/>
        </w:rPr>
        <w:t>. Современные обзоры и учебные работы подчёркивают, что EIS позволяет разложить суммарный электрический отклик батареи на вклады омической проводимости, межфазного переноса заряда, ёмкостного поведения двойного электрического слоя и диффузионного переноса вещества. Именно эта декомпозиция делает EIS особенно ценным методом для диагностики аккумуляторных батарей, поскольку различные механизмы старения отражаются в разных участках спектра и в разных параметрах эквивалентной модели. </w:t>
      </w:r>
    </w:p>
    <w:p w14:paraId="745704DF" w14:textId="74A5170C" w:rsidR="00A15C66" w:rsidRPr="00206F49" w:rsidRDefault="00A15C6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5C66">
        <w:rPr>
          <w:rFonts w:ascii="Times New Roman" w:hAnsi="Times New Roman" w:cs="Times New Roman"/>
          <w:sz w:val="28"/>
          <w:szCs w:val="28"/>
        </w:rPr>
        <w:lastRenderedPageBreak/>
        <w:t>Математическая основа метода опирается на теорию линейных стационарных систем. Если на исследуемую электрохимическую систему подаётся гармонический ток</w:t>
      </w:r>
    </w:p>
    <w:p w14:paraId="2C646FFB" w14:textId="77777777" w:rsidR="00A15C66" w:rsidRPr="00206F49" w:rsidRDefault="00A15C6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AD1BEC" w14:textId="4053B54C" w:rsidR="00A15C66" w:rsidRP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719" w:dyaOrig="360" w14:anchorId="5CDB74D9">
          <v:shape id="_x0000_i1067" type="#_x0000_t75" style="width:86.4pt;height:18.15pt" o:ole="">
            <v:imagedata r:id="rId104" o:title=""/>
          </v:shape>
          <o:OLEObject Type="Embed" ProgID="Equation.DSMT4" ShapeID="_x0000_i1067" DrawAspect="Content" ObjectID="_1841986630" r:id="rId105"/>
        </w:object>
      </w:r>
      <w:r w:rsidRPr="00947272">
        <w:rPr>
          <w:rFonts w:ascii="Times New Roman" w:hAnsi="Times New Roman" w:cs="Times New Roman"/>
          <w:sz w:val="28"/>
          <w:szCs w:val="28"/>
        </w:rPr>
        <w:t>,</w:t>
      </w:r>
    </w:p>
    <w:p w14:paraId="7EFADA78" w14:textId="1DB50032" w:rsidR="00A15C66" w:rsidRP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sz w:val="28"/>
          <w:szCs w:val="28"/>
        </w:rPr>
        <w:t>то при условии малости возмущения отклик по напряжению также будет гармоническим:</w:t>
      </w:r>
    </w:p>
    <w:p w14:paraId="34210667" w14:textId="2ADD9C04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4727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939" w:dyaOrig="360" w14:anchorId="0B616DD9">
          <v:shape id="_x0000_i1068" type="#_x0000_t75" style="width:97.05pt;height:18.15pt" o:ole="">
            <v:imagedata r:id="rId106" o:title=""/>
          </v:shape>
          <o:OLEObject Type="Embed" ProgID="Equation.DSMT4" ShapeID="_x0000_i1068" DrawAspect="Content" ObjectID="_1841986631" r:id="rId107"/>
        </w:object>
      </w:r>
    </w:p>
    <w:p w14:paraId="33E50A4C" w14:textId="74C8C1C7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φ –фазовый сдвиг </w:t>
      </w:r>
      <w:r w:rsidRPr="00947272">
        <w:rPr>
          <w:rFonts w:ascii="Times New Roman" w:hAnsi="Times New Roman" w:cs="Times New Roman"/>
          <w:sz w:val="28"/>
          <w:szCs w:val="28"/>
        </w:rPr>
        <w:t>между током и напряжением.</w:t>
      </w:r>
    </w:p>
    <w:p w14:paraId="64E7185D" w14:textId="2034CABA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sz w:val="28"/>
          <w:szCs w:val="28"/>
        </w:rPr>
        <w:t>Переход к комплексной форме осуществляется стандартным образом через</w:t>
      </w:r>
      <w:r w:rsidR="00B76180">
        <w:rPr>
          <w:rFonts w:ascii="Times New Roman" w:hAnsi="Times New Roman" w:cs="Times New Roman"/>
          <w:sz w:val="28"/>
          <w:szCs w:val="28"/>
        </w:rPr>
        <w:t xml:space="preserve"> </w:t>
      </w:r>
      <w:r w:rsidR="00B76180" w:rsidRPr="00B76180">
        <w:rPr>
          <w:rFonts w:ascii="Times New Roman" w:hAnsi="Times New Roman" w:cs="Times New Roman"/>
          <w:sz w:val="28"/>
          <w:szCs w:val="28"/>
        </w:rPr>
        <w:t>представление гармонических функций как вещественной части комплексной экспоненты. Тогда комплексный импеданс определяется как</w:t>
      </w:r>
    </w:p>
    <w:p w14:paraId="34539E7C" w14:textId="77777777" w:rsidR="00B76180" w:rsidRDefault="00B7618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8C048E" w14:textId="35ECE6E4" w:rsidR="00B76180" w:rsidRPr="00206F49" w:rsidRDefault="00B7618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6180">
        <w:rPr>
          <w:rFonts w:ascii="Times New Roman" w:hAnsi="Times New Roman" w:cs="Times New Roman"/>
          <w:position w:val="-40"/>
          <w:sz w:val="28"/>
          <w:szCs w:val="28"/>
        </w:rPr>
        <w:object w:dxaOrig="1420" w:dyaOrig="920" w14:anchorId="4FA1F126">
          <v:shape id="_x0000_i1069" type="#_x0000_t75" style="width:71.35pt;height:46.35pt" o:ole="">
            <v:imagedata r:id="rId108" o:title=""/>
          </v:shape>
          <o:OLEObject Type="Embed" ProgID="Equation.DSMT4" ShapeID="_x0000_i1069" DrawAspect="Content" ObjectID="_1841986632" r:id="rId109"/>
        </w:object>
      </w:r>
      <w:r w:rsidRPr="00206F49">
        <w:rPr>
          <w:rFonts w:ascii="Times New Roman" w:hAnsi="Times New Roman" w:cs="Times New Roman"/>
          <w:sz w:val="28"/>
          <w:szCs w:val="28"/>
        </w:rPr>
        <w:t>.</w:t>
      </w:r>
    </w:p>
    <w:p w14:paraId="5893F986" w14:textId="77777777" w:rsidR="00B76180" w:rsidRPr="00206F49" w:rsidRDefault="00B7618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D307A2" w14:textId="1096820E" w:rsidR="00B7618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78E0">
        <w:rPr>
          <w:rFonts w:ascii="Times New Roman" w:hAnsi="Times New Roman" w:cs="Times New Roman"/>
          <w:sz w:val="28"/>
          <w:szCs w:val="28"/>
        </w:rPr>
        <w:t xml:space="preserve">Это соотношение является частотным </w:t>
      </w:r>
      <w:r w:rsidRPr="00AF78E0">
        <w:rPr>
          <w:rFonts w:ascii="Times New Roman" w:hAnsi="Times New Roman" w:cs="Times New Roman"/>
          <w:sz w:val="28"/>
          <w:szCs w:val="28"/>
          <w:highlight w:val="yellow"/>
        </w:rPr>
        <w:t>аналогом</w:t>
      </w:r>
      <w:r w:rsidRPr="00AF78E0">
        <w:rPr>
          <w:rFonts w:ascii="Times New Roman" w:hAnsi="Times New Roman" w:cs="Times New Roman"/>
          <w:sz w:val="28"/>
          <w:szCs w:val="28"/>
        </w:rPr>
        <w:t xml:space="preserve"> закона Ома и используется потому, что позволяет анализировать не только модуль отклика, но и фазовые соотношения, то есть различать резистивную, ёмкостную и диффузионную природу процессов внутри аккумулятора. В современной методологии EIS именно анализ комплексной формы </w:t>
      </w:r>
      <w:r w:rsidRPr="00AF78E0">
        <w:rPr>
          <w:rFonts w:ascii="Times New Roman" w:hAnsi="Times New Roman" w:cs="Times New Roman"/>
          <w:i/>
          <w:iCs/>
          <w:sz w:val="28"/>
          <w:szCs w:val="28"/>
        </w:rPr>
        <w:t>Z(ω)</w:t>
      </w:r>
      <w:r w:rsidRPr="00AF78E0">
        <w:rPr>
          <w:rFonts w:ascii="Times New Roman" w:hAnsi="Times New Roman" w:cs="Times New Roman"/>
          <w:sz w:val="28"/>
          <w:szCs w:val="28"/>
        </w:rPr>
        <w:t>, а не только модуля сопротивления, рассматривается как принципиально необходимый для корректной физической интерпретации данных.</w:t>
      </w:r>
    </w:p>
    <w:p w14:paraId="47A24970" w14:textId="05444EC7" w:rsidR="00AF78E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78E0">
        <w:rPr>
          <w:rFonts w:ascii="Times New Roman" w:hAnsi="Times New Roman" w:cs="Times New Roman"/>
          <w:sz w:val="28"/>
          <w:szCs w:val="28"/>
        </w:rPr>
        <w:t>В комплексной форме импеданс записывается как</w:t>
      </w:r>
    </w:p>
    <w:p w14:paraId="17A50F48" w14:textId="77777777" w:rsidR="00AF78E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0F2DBB" w14:textId="4013224D" w:rsidR="00AF78E0" w:rsidRDefault="002B1D5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B1D51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400" w:dyaOrig="400" w14:anchorId="70603D33">
          <v:shape id="_x0000_i1070" type="#_x0000_t75" style="width:120.2pt;height:19.4pt" o:ole="">
            <v:imagedata r:id="rId110" o:title=""/>
          </v:shape>
          <o:OLEObject Type="Embed" ProgID="Equation.DSMT4" ShapeID="_x0000_i1070" DrawAspect="Content" ObjectID="_1841986633" r:id="rId111"/>
        </w:object>
      </w:r>
    </w:p>
    <w:p w14:paraId="0BF5D364" w14:textId="77777777" w:rsidR="00AF78E0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F668B5C" w14:textId="087580BE" w:rsidR="002B1D51" w:rsidRDefault="002B1D5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</w:p>
    <w:p w14:paraId="78BD8369" w14:textId="0973AE50" w:rsidR="002B1D51" w:rsidRPr="00206F49" w:rsidRDefault="002B1D5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D51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2B1D51">
        <w:rPr>
          <w:rFonts w:ascii="Times New Roman" w:hAnsi="Times New Roman" w:cs="Times New Roman"/>
          <w:i/>
          <w:iCs/>
          <w:sz w:val="28"/>
          <w:szCs w:val="28"/>
        </w:rPr>
        <w:t>’(</w:t>
      </w:r>
      <w:r w:rsidRPr="002B1D51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2B1D5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B1D51">
        <w:rPr>
          <w:rFonts w:ascii="Times New Roman" w:hAnsi="Times New Roman" w:cs="Times New Roman"/>
          <w:sz w:val="28"/>
          <w:szCs w:val="28"/>
        </w:rPr>
        <w:t xml:space="preserve"> – </w:t>
      </w:r>
      <w:r w:rsidRPr="00B525A8">
        <w:rPr>
          <w:rFonts w:ascii="Times New Roman" w:hAnsi="Times New Roman" w:cs="Times New Roman"/>
          <w:sz w:val="28"/>
          <w:szCs w:val="28"/>
        </w:rPr>
        <w:t>действительная часть,</w:t>
      </w:r>
    </w:p>
    <w:p w14:paraId="476D571F" w14:textId="3730CE5D" w:rsidR="002B1D51" w:rsidRPr="00B525A8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”(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B525A8">
        <w:rPr>
          <w:rFonts w:ascii="Times New Roman" w:hAnsi="Times New Roman" w:cs="Times New Roman"/>
          <w:sz w:val="28"/>
          <w:szCs w:val="28"/>
        </w:rPr>
        <w:t xml:space="preserve"> – мнимая часть импеданса.</w:t>
      </w:r>
    </w:p>
    <w:p w14:paraId="791E3CD5" w14:textId="38CAA4C6" w:rsidR="002B1D51" w:rsidRPr="00206F49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sz w:val="28"/>
          <w:szCs w:val="28"/>
        </w:rPr>
        <w:t xml:space="preserve">Действительная часть соответствует </w:t>
      </w:r>
      <w:r w:rsidRPr="00B525A8">
        <w:rPr>
          <w:rFonts w:ascii="Times New Roman" w:hAnsi="Times New Roman" w:cs="Times New Roman"/>
          <w:sz w:val="28"/>
          <w:szCs w:val="28"/>
          <w:highlight w:val="yellow"/>
        </w:rPr>
        <w:t>диссипативным</w:t>
      </w:r>
      <w:r w:rsidRPr="00B525A8">
        <w:rPr>
          <w:rFonts w:ascii="Times New Roman" w:hAnsi="Times New Roman" w:cs="Times New Roman"/>
          <w:sz w:val="28"/>
          <w:szCs w:val="28"/>
        </w:rPr>
        <w:t xml:space="preserve"> потерям энергии, а мнимая отражает энергонакопление и задержанные отклики системы. На этой основе строятся две классические формы представления результатов: диаграмма Найквиста, на которой откладываются </w:t>
      </w:r>
      <w:r w:rsidRPr="00B525A8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sz w:val="28"/>
          <w:szCs w:val="28"/>
        </w:rPr>
        <w:t xml:space="preserve">’ и 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”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и диаграмма Боде, где анализируются модуль </w:t>
      </w:r>
      <w:r w:rsidRPr="00B525A8">
        <w:rPr>
          <w:rFonts w:ascii="Cambria Math" w:hAnsi="Cambria Math" w:cs="Cambria Math"/>
          <w:sz w:val="28"/>
          <w:szCs w:val="28"/>
        </w:rPr>
        <w:t>∣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Z</w:t>
      </w:r>
      <w:r w:rsidRPr="00B525A8">
        <w:rPr>
          <w:rFonts w:ascii="Cambria Math" w:hAnsi="Cambria Math" w:cs="Cambria Math"/>
          <w:sz w:val="28"/>
          <w:szCs w:val="28"/>
        </w:rPr>
        <w:t>∣</w:t>
      </w:r>
      <w:r w:rsidRPr="00B525A8">
        <w:rPr>
          <w:rFonts w:ascii="Times New Roman" w:hAnsi="Times New Roman" w:cs="Times New Roman"/>
          <w:sz w:val="28"/>
          <w:szCs w:val="28"/>
        </w:rPr>
        <w:t xml:space="preserve"> и фазовый угол φ как функции частоты. Современные руководства и обзоры по EIS подчёркивают, что диаграмма Найквиста удобна для интерпретации эквивалентных схем и выделения полукругов </w:t>
      </w:r>
      <w:r w:rsidRPr="00B525A8">
        <w:rPr>
          <w:rFonts w:ascii="Times New Roman" w:hAnsi="Times New Roman" w:cs="Times New Roman"/>
          <w:sz w:val="28"/>
          <w:szCs w:val="28"/>
          <w:highlight w:val="yellow"/>
        </w:rPr>
        <w:t>зарядопереноса</w:t>
      </w:r>
      <w:r w:rsidRPr="00B525A8">
        <w:rPr>
          <w:rFonts w:ascii="Times New Roman" w:hAnsi="Times New Roman" w:cs="Times New Roman"/>
          <w:sz w:val="28"/>
          <w:szCs w:val="28"/>
        </w:rPr>
        <w:t>, тогда как диаграмма Боде даёт более наглядное представление о частотных диапазонах доминирующих процессов.</w:t>
      </w:r>
    </w:p>
    <w:p w14:paraId="7FEE2A95" w14:textId="24EC4D81" w:rsidR="002B1D51" w:rsidRPr="00206F49" w:rsidRDefault="00B525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sz w:val="28"/>
          <w:szCs w:val="28"/>
        </w:rPr>
        <w:t xml:space="preserve">Для инженерного анализа аккумуляторных систем наиболее распространённой является эквивалентная схема Рэндлса или её модификации. В простейшем варианте схема содержит омическое сопротивление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параллельное соединение сопротивления переноса заряда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525A8">
        <w:rPr>
          <w:rFonts w:ascii="Times New Roman" w:hAnsi="Times New Roman" w:cs="Times New Roman"/>
          <w:sz w:val="28"/>
          <w:szCs w:val="28"/>
        </w:rPr>
        <w:t xml:space="preserve"> и ёмкости двойного электрического слоя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а также диффузионный элемент Варбурга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w</w:t>
      </w:r>
      <w:r w:rsidRPr="00B525A8">
        <w:rPr>
          <w:rFonts w:ascii="Times New Roman" w:hAnsi="Times New Roman" w:cs="Times New Roman"/>
          <w:sz w:val="28"/>
          <w:szCs w:val="28"/>
        </w:rPr>
        <w:t xml:space="preserve">. 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Такая схема используется не потому, что полностью воспроизводит реальную пространственно-распределённую электрохимию, а потому, что позволяет свести сложный спектр к набору параметров с физически интерпретируемым смыслом. В современных работах по </w:t>
      </w:r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>battery EIS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 подчёркивается, что корректная эквивалентная схема должна строиться из понимания физики системы, а не только из удобства </w:t>
      </w:r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>curve fitting</w:t>
      </w:r>
      <w:r w:rsidR="00C7323B" w:rsidRPr="00C7323B">
        <w:rPr>
          <w:rFonts w:ascii="Times New Roman" w:hAnsi="Times New Roman" w:cs="Times New Roman"/>
          <w:sz w:val="28"/>
          <w:szCs w:val="28"/>
        </w:rPr>
        <w:t>.</w:t>
      </w:r>
    </w:p>
    <w:p w14:paraId="2044EAA1" w14:textId="2DB2305F" w:rsidR="00C7323B" w:rsidRPr="00206F49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3912">
        <w:rPr>
          <w:rFonts w:ascii="Times New Roman" w:hAnsi="Times New Roman" w:cs="Times New Roman"/>
          <w:sz w:val="28"/>
          <w:szCs w:val="28"/>
        </w:rPr>
        <w:t xml:space="preserve">Для последующего анализа в диссертации в качестве базовой используется эквивалентная схема, включающая омическое сопротивление, ветвь зарядопереноса и ёмкости двойного слоя, а также диффузионный элемент </w:t>
      </w:r>
      <w:r w:rsidRPr="00A83912">
        <w:rPr>
          <w:rFonts w:ascii="Times New Roman" w:hAnsi="Times New Roman" w:cs="Times New Roman"/>
          <w:sz w:val="28"/>
          <w:szCs w:val="28"/>
        </w:rPr>
        <w:lastRenderedPageBreak/>
        <w:t>Варбурга. Именно она образует минимально достаточный набор параметров, позволяющий связать измеряемый спектр с деградационными процессами в батарее.</w:t>
      </w:r>
    </w:p>
    <w:p w14:paraId="51B7166C" w14:textId="77777777" w:rsidR="00A83912" w:rsidRPr="00206F49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C1A09C" w14:textId="52FE4BC4" w:rsidR="00A83912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873A2FB" wp14:editId="5D3DABD3">
            <wp:extent cx="6119495" cy="2041525"/>
            <wp:effectExtent l="0" t="0" r="0" b="0"/>
            <wp:docPr id="1646864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04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2DAB7" w14:textId="7E32D62A" w:rsidR="00FA5E0A" w:rsidRPr="00206F49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5E0A">
        <w:rPr>
          <w:rFonts w:ascii="Times New Roman" w:hAnsi="Times New Roman" w:cs="Times New Roman"/>
          <w:sz w:val="28"/>
          <w:szCs w:val="28"/>
        </w:rPr>
        <w:t>Рисунок 1.11 — Эквивалентная схема импедансной модели тяговой аккумуляторной батареи</w:t>
      </w:r>
    </w:p>
    <w:p w14:paraId="73BE14A8" w14:textId="77777777" w:rsidR="00FA5E0A" w:rsidRPr="00206F49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791594" w14:textId="6D699082" w:rsidR="00FA5E0A" w:rsidRDefault="00B4726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726D">
        <w:rPr>
          <w:rFonts w:ascii="Times New Roman" w:hAnsi="Times New Roman" w:cs="Times New Roman"/>
          <w:sz w:val="28"/>
          <w:szCs w:val="28"/>
        </w:rPr>
        <w:t xml:space="preserve">На рисунке представлена базовая эквивалентная схема, состоящая из омического сопротивления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4726D">
        <w:rPr>
          <w:rFonts w:ascii="Times New Roman" w:hAnsi="Times New Roman" w:cs="Times New Roman"/>
          <w:sz w:val="28"/>
          <w:szCs w:val="28"/>
        </w:rPr>
        <w:t xml:space="preserve">, параллельной ветви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4726D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B4726D">
        <w:rPr>
          <w:rFonts w:ascii="Times New Roman" w:hAnsi="Times New Roman" w:cs="Times New Roman"/>
          <w:sz w:val="28"/>
          <w:szCs w:val="28"/>
        </w:rPr>
        <w:t>диффузионного элемента Варбурга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r w:rsidRPr="00B4726D">
        <w:rPr>
          <w:rFonts w:ascii="Times New Roman" w:hAnsi="Times New Roman" w:cs="Times New Roman"/>
          <w:sz w:val="28"/>
          <w:szCs w:val="28"/>
        </w:rPr>
        <w:t xml:space="preserve">. Параметр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B4726D">
        <w:rPr>
          <w:rFonts w:ascii="Times New Roman" w:hAnsi="Times New Roman" w:cs="Times New Roman"/>
          <w:sz w:val="28"/>
          <w:szCs w:val="28"/>
        </w:rPr>
        <w:t xml:space="preserve">тражает проводимость электролита, токосъёмников и контактных соединений. Параметр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4726D">
        <w:rPr>
          <w:rFonts w:ascii="Times New Roman" w:hAnsi="Times New Roman" w:cs="Times New Roman"/>
          <w:sz w:val="28"/>
          <w:szCs w:val="28"/>
        </w:rPr>
        <w:t xml:space="preserve"> соответствует кинетическим ограничениям межфазной реакции. Ёмкость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4726D">
        <w:rPr>
          <w:rFonts w:ascii="Times New Roman" w:hAnsi="Times New Roman" w:cs="Times New Roman"/>
          <w:sz w:val="28"/>
          <w:szCs w:val="28"/>
        </w:rPr>
        <w:t xml:space="preserve"> описывает накопление заряда в двойном электрическом слое на границе электрод–электролит. Элемент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r w:rsidRPr="00B4726D">
        <w:rPr>
          <w:rFonts w:ascii="Times New Roman" w:hAnsi="Times New Roman" w:cs="Times New Roman"/>
          <w:sz w:val="28"/>
          <w:szCs w:val="28"/>
        </w:rPr>
        <w:t xml:space="preserve"> отражает диффузионные ограничения массопереноса в твёрдой фазе и электролите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FCE3EAC" w14:textId="350BAA8C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C3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том, что он фиксирует физико-математический каркас будущей параметрической идентификации. Практическая ценность состоит в возможности перехода от сложного спектра к конечному набору параметров, пригодному для диагностики состояния и прогноза ресурса в составе BMS.</w:t>
      </w:r>
    </w:p>
    <w:p w14:paraId="1B5DC2FC" w14:textId="45AE1C7E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C3A">
        <w:rPr>
          <w:rFonts w:ascii="Times New Roman" w:hAnsi="Times New Roman" w:cs="Times New Roman"/>
          <w:sz w:val="28"/>
          <w:szCs w:val="28"/>
        </w:rPr>
        <w:t>Для указанной схемы общий импеданс может быть записан как</w:t>
      </w:r>
    </w:p>
    <w:p w14:paraId="7B9E566A" w14:textId="77777777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2CAA6A" w14:textId="18F38BF7" w:rsidR="004A5C3A" w:rsidRP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5C3A">
        <w:rPr>
          <w:rFonts w:ascii="Times New Roman" w:hAnsi="Times New Roman" w:cs="Times New Roman"/>
          <w:position w:val="-30"/>
          <w:sz w:val="28"/>
          <w:szCs w:val="28"/>
        </w:rPr>
        <w:object w:dxaOrig="3340" w:dyaOrig="680" w14:anchorId="4C2B4A80">
          <v:shape id="_x0000_i1071" type="#_x0000_t75" style="width:167.15pt;height:33.8pt" o:ole="">
            <v:imagedata r:id="rId113" o:title=""/>
          </v:shape>
          <o:OLEObject Type="Embed" ProgID="Equation.DSMT4" ShapeID="_x0000_i1071" DrawAspect="Content" ObjectID="_1841986634" r:id="rId114"/>
        </w:object>
      </w:r>
    </w:p>
    <w:p w14:paraId="79030E21" w14:textId="0C53019E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5C3A">
        <w:rPr>
          <w:rFonts w:ascii="Times New Roman" w:hAnsi="Times New Roman" w:cs="Times New Roman"/>
          <w:sz w:val="28"/>
          <w:szCs w:val="28"/>
        </w:rPr>
        <w:t>Первое слагаемое представляет собой чисто резистивный вклад, второе получается из правила расчёта параллельного соединения сопротивления и ёмкости, третье отражает диффузионный отклик. Если считать диффузию полуограниченной, то классический импеданс Варбурга имеет вид</w:t>
      </w:r>
    </w:p>
    <w:p w14:paraId="4C759CEA" w14:textId="77777777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39C6FF" w14:textId="069EE031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5C3A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1420" w:dyaOrig="700" w14:anchorId="137DCC1A">
          <v:shape id="_x0000_i1072" type="#_x0000_t75" style="width:71.35pt;height:35.05pt" o:ole="">
            <v:imagedata r:id="rId115" o:title=""/>
          </v:shape>
          <o:OLEObject Type="Embed" ProgID="Equation.DSMT4" ShapeID="_x0000_i1072" DrawAspect="Content" ObjectID="_1841986635" r:id="rId116"/>
        </w:object>
      </w:r>
    </w:p>
    <w:p w14:paraId="33594DF9" w14:textId="041118F6" w:rsidR="007431E4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σ – </w:t>
      </w:r>
      <w:r w:rsidRPr="007431E4">
        <w:rPr>
          <w:rFonts w:ascii="Times New Roman" w:hAnsi="Times New Roman" w:cs="Times New Roman"/>
          <w:sz w:val="28"/>
          <w:szCs w:val="28"/>
        </w:rPr>
        <w:t>коэффициент Варбурга.</w:t>
      </w:r>
    </w:p>
    <w:p w14:paraId="7098E8D7" w14:textId="7A5C795F" w:rsidR="004A5C3A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E4">
        <w:rPr>
          <w:rFonts w:ascii="Times New Roman" w:hAnsi="Times New Roman" w:cs="Times New Roman"/>
          <w:sz w:val="28"/>
          <w:szCs w:val="28"/>
        </w:rPr>
        <w:t>Происхождение этой формулы связано с решением второго закона Фика для гармонического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31E4">
        <w:rPr>
          <w:rFonts w:ascii="Times New Roman" w:hAnsi="Times New Roman" w:cs="Times New Roman"/>
          <w:sz w:val="28"/>
          <w:szCs w:val="28"/>
        </w:rPr>
        <w:t>возмущения концентрации на границе раздела.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31E4">
        <w:rPr>
          <w:rFonts w:ascii="Times New Roman" w:hAnsi="Times New Roman" w:cs="Times New Roman"/>
          <w:sz w:val="28"/>
          <w:szCs w:val="28"/>
        </w:rPr>
        <w:t xml:space="preserve">В критических обзорах последних лет специально подчёркивается, что </w:t>
      </w:r>
      <w:r w:rsidRPr="007431E4">
        <w:rPr>
          <w:rFonts w:ascii="Times New Roman" w:hAnsi="Times New Roman" w:cs="Times New Roman"/>
          <w:sz w:val="28"/>
          <w:szCs w:val="28"/>
          <w:highlight w:val="yellow"/>
        </w:rPr>
        <w:t>использование Варбурга</w:t>
      </w:r>
      <w:r w:rsidRPr="007431E4">
        <w:rPr>
          <w:rFonts w:ascii="Times New Roman" w:hAnsi="Times New Roman" w:cs="Times New Roman"/>
          <w:sz w:val="28"/>
          <w:szCs w:val="28"/>
        </w:rPr>
        <w:t xml:space="preserve"> требует осторожности: необходимо различать полуограниченную, конечнопространственную и конечнодлиновую диффузию, поскольку неправильный выбор диффузионной модели может привести к ошибочной физической интерпретации параметров.</w:t>
      </w:r>
    </w:p>
    <w:p w14:paraId="1F777920" w14:textId="719B21C7" w:rsidR="007431E4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E3A">
        <w:rPr>
          <w:rFonts w:ascii="Times New Roman" w:hAnsi="Times New Roman" w:cs="Times New Roman"/>
          <w:sz w:val="28"/>
          <w:szCs w:val="28"/>
        </w:rPr>
        <w:t>На высоких частотах вклад ёмкости и диффузии становится малым, поэтому спектр стремится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33E3A">
        <w:rPr>
          <w:rFonts w:ascii="Times New Roman" w:hAnsi="Times New Roman" w:cs="Times New Roman"/>
          <w:sz w:val="28"/>
          <w:szCs w:val="28"/>
        </w:rPr>
        <w:t xml:space="preserve">В среднечастотной области формируется полукруг, связанный с зарядопереносом и ёмкостью двойного слоя. В низкочастотной области начинает доминировать диффузионная составляющая. Именно это разбиение частотного спектра на зоны делает EIS особенно удобным методом: разные механизмы старения могут быть локализованы по частотной области. Современные обзоры по EIS для батарей подчёркивают, что эта частотная селективность является одним из главных преимуществ метода по сравнению с интегральными </w:t>
      </w:r>
      <w:r w:rsidRPr="00B33E3A">
        <w:rPr>
          <w:rFonts w:ascii="Times New Roman" w:hAnsi="Times New Roman" w:cs="Times New Roman"/>
          <w:sz w:val="28"/>
          <w:szCs w:val="28"/>
          <w:highlight w:val="yellow"/>
        </w:rPr>
        <w:t>DC-подходами.</w:t>
      </w:r>
    </w:p>
    <w:p w14:paraId="2EA505A5" w14:textId="72F064CA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E3A">
        <w:rPr>
          <w:rFonts w:ascii="Times New Roman" w:hAnsi="Times New Roman" w:cs="Times New Roman"/>
          <w:sz w:val="28"/>
          <w:szCs w:val="28"/>
        </w:rPr>
        <w:lastRenderedPageBreak/>
        <w:t>Диаграмма Найквиста позволяет непосредственно увидеть омическую точку пересечения, полукруг зарядопереноса и низкочастотную диффузионную область. Поэтому именно она традиционно используется как первичный графический носитель EIS-информации в работах по аккумуляторной диагностике.</w:t>
      </w:r>
    </w:p>
    <w:p w14:paraId="133E01DA" w14:textId="77777777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90E9AB" w14:textId="027ED9C3" w:rsidR="00B33E3A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2EF3E0B" wp14:editId="3088C786">
            <wp:extent cx="6119495" cy="5132705"/>
            <wp:effectExtent l="0" t="0" r="0" b="0"/>
            <wp:docPr id="11843360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513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4E303B36" w14:textId="5F71F413" w:rsidR="00156A70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4526">
        <w:rPr>
          <w:rFonts w:ascii="Times New Roman" w:hAnsi="Times New Roman" w:cs="Times New Roman"/>
          <w:sz w:val="28"/>
          <w:szCs w:val="28"/>
        </w:rPr>
        <w:t>Рисунок 1.12 — Диаграмма Найквиста опытной тяговой батареи</w:t>
      </w:r>
    </w:p>
    <w:p w14:paraId="77A92E59" w14:textId="77777777" w:rsidR="00094526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F10D8E" w14:textId="762A1598" w:rsidR="00094526" w:rsidRPr="00206F49" w:rsidRDefault="00475DF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5DF7">
        <w:rPr>
          <w:rFonts w:ascii="Times New Roman" w:hAnsi="Times New Roman" w:cs="Times New Roman"/>
          <w:sz w:val="28"/>
          <w:szCs w:val="28"/>
        </w:rPr>
        <w:t>На рисунке показана типичная диаграмма Найквиста. Первая точка пересечения с осью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</w:t>
      </w:r>
      <w:r w:rsidRPr="00475DF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475DF7">
        <w:rPr>
          <w:rFonts w:ascii="Times New Roman" w:hAnsi="Times New Roman" w:cs="Times New Roman"/>
          <w:sz w:val="28"/>
          <w:szCs w:val="28"/>
        </w:rPr>
        <w:t xml:space="preserve">) соответствует высокочастотному омическому сопротивлению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475DF7">
        <w:rPr>
          <w:rFonts w:ascii="Times New Roman" w:hAnsi="Times New Roman" w:cs="Times New Roman"/>
          <w:sz w:val="28"/>
          <w:szCs w:val="28"/>
        </w:rPr>
        <w:t xml:space="preserve">. Полукруг в средней частотной области отражает совместное </w:t>
      </w:r>
      <w:r w:rsidRPr="00475DF7">
        <w:rPr>
          <w:rFonts w:ascii="Times New Roman" w:hAnsi="Times New Roman" w:cs="Times New Roman"/>
          <w:sz w:val="28"/>
          <w:szCs w:val="28"/>
        </w:rPr>
        <w:lastRenderedPageBreak/>
        <w:t>действие сопротивления переноса заряда и ёмкости двойного электрического слоя. Наклонный участок на низких частотах соответствует диффузионной области и связан с ограничениями массопереноса.</w:t>
      </w:r>
    </w:p>
    <w:p w14:paraId="25CA024F" w14:textId="3A95503E" w:rsidR="00573537" w:rsidRPr="00206F49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позволяет на одном графике локализовать основные физические механизмы, формирующие спектр аккумулятора. Практическая польза рисунка заключается в возможности визуальной и количественной оценки параметров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5735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диффузионного вклада без проведения полного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ресурсного цикла</w:t>
      </w:r>
      <w:r w:rsidRPr="00573537">
        <w:rPr>
          <w:rFonts w:ascii="Times New Roman" w:hAnsi="Times New Roman" w:cs="Times New Roman"/>
          <w:sz w:val="28"/>
          <w:szCs w:val="28"/>
        </w:rPr>
        <w:t>.</w:t>
      </w:r>
    </w:p>
    <w:p w14:paraId="282855AE" w14:textId="39CBE5E9" w:rsidR="00573537" w:rsidRPr="00206F49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 xml:space="preserve">Для более детального частотного анализа используется диаграмма Боде. Она особенно важна в тех случаях, когда необходимо выбрать ограниченный набор диагностических частот для экспресс-измерений. Современные исследования, включая работы по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automotive EIS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dynamic EIS</w:t>
      </w:r>
      <w:r w:rsidRPr="00573537">
        <w:rPr>
          <w:rFonts w:ascii="Times New Roman" w:hAnsi="Times New Roman" w:cs="Times New Roman"/>
          <w:sz w:val="28"/>
          <w:szCs w:val="28"/>
        </w:rPr>
        <w:t xml:space="preserve">, указывают, что именно анализ распределения информативности по частоте открывает путь к сокращённым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onboard- и near onboard-методам</w:t>
      </w:r>
      <w:r w:rsidRPr="00573537">
        <w:rPr>
          <w:rFonts w:ascii="Times New Roman" w:hAnsi="Times New Roman" w:cs="Times New Roman"/>
          <w:sz w:val="28"/>
          <w:szCs w:val="28"/>
        </w:rPr>
        <w:t xml:space="preserve">. При этом одной из центральных современных задач остаётся перенос EIS из стационарной лабораторной среды к динамическим режимам измерения. Обзор по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dynamic electrochemical impedance spectroscopy</w:t>
      </w:r>
      <w:r w:rsidRPr="00573537">
        <w:rPr>
          <w:rFonts w:ascii="Times New Roman" w:hAnsi="Times New Roman" w:cs="Times New Roman"/>
          <w:sz w:val="28"/>
          <w:szCs w:val="28"/>
        </w:rPr>
        <w:t xml:space="preserve"> подчёркивает, что развитие DEIS непосредственно связано с задачами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state monitoring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быстрых диагностических оценок при меняющихся рабочих режимах.</w:t>
      </w:r>
    </w:p>
    <w:p w14:paraId="3866BD44" w14:textId="5F0D6AF7" w:rsidR="00573537" w:rsidRPr="00573537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>Диаграмма Боде позволяет разделить частотные области омического отклика, зарядопереноса и диффузии значительно более явно, чем диаграмма Найквиста. В задачах дальнейшей диссертации это особенно важно, поскольку именно по диаграмме Боде выбираются частоты для сокращённого диагностического протокола.</w:t>
      </w:r>
    </w:p>
    <w:p w14:paraId="37765797" w14:textId="77777777" w:rsidR="00D567B3" w:rsidRPr="00573537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D1F860" w14:textId="6A325144" w:rsidR="00D567B3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764881A" wp14:editId="4CF4D889">
            <wp:extent cx="6119495" cy="3902075"/>
            <wp:effectExtent l="0" t="0" r="0" b="3175"/>
            <wp:docPr id="20328378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90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9F98F" w14:textId="40A02C0A" w:rsidR="00223448" w:rsidRPr="00206F49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3448">
        <w:rPr>
          <w:rFonts w:ascii="Times New Roman" w:hAnsi="Times New Roman" w:cs="Times New Roman"/>
          <w:sz w:val="28"/>
          <w:szCs w:val="28"/>
        </w:rPr>
        <w:t>Рисунок 1.13 — Диаграмма Боде опытной тяговой батареи</w:t>
      </w:r>
    </w:p>
    <w:p w14:paraId="60EF89F7" w14:textId="77777777" w:rsidR="00223448" w:rsidRPr="00206F49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5EBD83" w14:textId="54ADEC78" w:rsidR="00223448" w:rsidRPr="00206F49" w:rsidRDefault="002648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837">
        <w:rPr>
          <w:rFonts w:ascii="Times New Roman" w:hAnsi="Times New Roman" w:cs="Times New Roman"/>
          <w:sz w:val="28"/>
          <w:szCs w:val="28"/>
        </w:rPr>
        <w:t xml:space="preserve">На рисунке приведены зависимости модуля импеданса и фазового угла от частоты. В высокочастотной области модуль импеданса приближается к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264837">
        <w:rPr>
          <w:rFonts w:ascii="Times New Roman" w:hAnsi="Times New Roman" w:cs="Times New Roman"/>
          <w:sz w:val="28"/>
          <w:szCs w:val="28"/>
        </w:rPr>
        <w:t>, а фазовый угол близок к нулю, что соответствует преимущественно резистивному поведению. В среднечастотной зоне наблюдается выраженный фазовый сдвиг, связанный с межфазным переносом заряда и ёмкостью двойного слоя. В низкочастотной области модуль импеданса возрастает, а фазовый отклик смещается в сторону диффузионного режима.</w:t>
      </w:r>
    </w:p>
    <w:p w14:paraId="4480ED5E" w14:textId="50A168EA" w:rsidR="00264837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91A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показывает частотную локализацию доминирующих процессов и тем самым создаёт основу для выделения информативных спектральных признаков. Практическая польза заключается в возможности выбора ограниченного набора частот для экспресс-диагностики батареи без необходимости полного широкополосного сканирования.</w:t>
      </w:r>
    </w:p>
    <w:p w14:paraId="4F868F15" w14:textId="77777777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26930E" w14:textId="7EF30851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91A">
        <w:rPr>
          <w:rFonts w:ascii="Times New Roman" w:hAnsi="Times New Roman" w:cs="Times New Roman"/>
          <w:sz w:val="28"/>
          <w:szCs w:val="28"/>
        </w:rPr>
        <w:t>Таблица 1.5 – Физическая интерпретация основных элементов EIS-спектра аккумуляторной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156EC4" w14:paraId="556ED999" w14:textId="77777777" w:rsidTr="00156EC4">
        <w:tc>
          <w:tcPr>
            <w:tcW w:w="2406" w:type="dxa"/>
          </w:tcPr>
          <w:p w14:paraId="0F6DD168" w14:textId="3B84D059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Частотная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область</w:t>
            </w:r>
          </w:p>
        </w:tc>
        <w:tc>
          <w:tcPr>
            <w:tcW w:w="2407" w:type="dxa"/>
          </w:tcPr>
          <w:p w14:paraId="0307391C" w14:textId="7F087B79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Доминирующий процесс</w:t>
            </w:r>
          </w:p>
        </w:tc>
        <w:tc>
          <w:tcPr>
            <w:tcW w:w="2407" w:type="dxa"/>
          </w:tcPr>
          <w:p w14:paraId="47268EBC" w14:textId="5CF9B322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Основной параметр</w:t>
            </w:r>
          </w:p>
        </w:tc>
        <w:tc>
          <w:tcPr>
            <w:tcW w:w="2407" w:type="dxa"/>
          </w:tcPr>
          <w:p w14:paraId="2D3E988B" w14:textId="7DE39D7B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Диагностическое значение</w:t>
            </w:r>
          </w:p>
        </w:tc>
      </w:tr>
      <w:tr w:rsidR="00156EC4" w:rsidRPr="00156EC4" w14:paraId="36B9EC87" w14:textId="77777777" w:rsidTr="00156EC4">
        <w:tc>
          <w:tcPr>
            <w:tcW w:w="2406" w:type="dxa"/>
          </w:tcPr>
          <w:p w14:paraId="189E98E7" w14:textId="6CF640EA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Высокие частоты</w:t>
            </w:r>
          </w:p>
        </w:tc>
        <w:tc>
          <w:tcPr>
            <w:tcW w:w="2407" w:type="dxa"/>
          </w:tcPr>
          <w:p w14:paraId="175C92FD" w14:textId="38F8486B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Омическая проводимость токосъёмников, электролита и контактов</w:t>
            </w:r>
          </w:p>
        </w:tc>
        <w:tc>
          <w:tcPr>
            <w:tcW w:w="2407" w:type="dxa"/>
          </w:tcPr>
          <w:p w14:paraId="557FA8CF" w14:textId="18A8F15C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</w:p>
        </w:tc>
        <w:tc>
          <w:tcPr>
            <w:tcW w:w="2407" w:type="dxa"/>
          </w:tcPr>
          <w:p w14:paraId="1D7BF02F" w14:textId="330D3125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Контроль контактных и электролитных потерь</w:t>
            </w:r>
          </w:p>
        </w:tc>
      </w:tr>
      <w:tr w:rsidR="00156EC4" w:rsidRPr="00156EC4" w14:paraId="60BA4B10" w14:textId="77777777" w:rsidTr="00156EC4">
        <w:tc>
          <w:tcPr>
            <w:tcW w:w="2406" w:type="dxa"/>
          </w:tcPr>
          <w:p w14:paraId="15B3CC64" w14:textId="737BECB8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Средние частоты</w:t>
            </w:r>
          </w:p>
        </w:tc>
        <w:tc>
          <w:tcPr>
            <w:tcW w:w="2407" w:type="dxa"/>
          </w:tcPr>
          <w:p w14:paraId="2DB4C789" w14:textId="30015631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Перенос заряда через интерфейс электрод электролит</w:t>
            </w:r>
          </w:p>
        </w:tc>
        <w:tc>
          <w:tcPr>
            <w:tcW w:w="2407" w:type="dxa"/>
          </w:tcPr>
          <w:p w14:paraId="0B5796E2" w14:textId="0787E433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</w:t>
            </w: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dl</w:t>
            </w:r>
          </w:p>
        </w:tc>
        <w:tc>
          <w:tcPr>
            <w:tcW w:w="2407" w:type="dxa"/>
          </w:tcPr>
          <w:p w14:paraId="3A4413D9" w14:textId="67D0DD85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Наиболее чувствительная область для ранней деградации</w:t>
            </w:r>
          </w:p>
        </w:tc>
      </w:tr>
      <w:tr w:rsidR="00156EC4" w:rsidRPr="00156EC4" w14:paraId="18A39681" w14:textId="77777777" w:rsidTr="00156EC4">
        <w:tc>
          <w:tcPr>
            <w:tcW w:w="2406" w:type="dxa"/>
          </w:tcPr>
          <w:p w14:paraId="65DE9FD8" w14:textId="34839F7F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Низкие частоты</w:t>
            </w:r>
          </w:p>
        </w:tc>
        <w:tc>
          <w:tcPr>
            <w:tcW w:w="2407" w:type="dxa"/>
          </w:tcPr>
          <w:p w14:paraId="28A7050D" w14:textId="2B357A15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Диффузионный перенос в твёрдой фазе и электролите</w:t>
            </w:r>
          </w:p>
        </w:tc>
        <w:tc>
          <w:tcPr>
            <w:tcW w:w="2407" w:type="dxa"/>
          </w:tcPr>
          <w:p w14:paraId="2A79868F" w14:textId="29F2A209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w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σ</w:t>
            </w:r>
          </w:p>
        </w:tc>
        <w:tc>
          <w:tcPr>
            <w:tcW w:w="2407" w:type="dxa"/>
          </w:tcPr>
          <w:p w14:paraId="132BF6B1" w14:textId="1D48FD29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Оценка ограничений массопереноса и глубинной деградации</w:t>
            </w:r>
          </w:p>
        </w:tc>
      </w:tr>
    </w:tbl>
    <w:p w14:paraId="7C613F6B" w14:textId="77777777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E7C5A1" w14:textId="74CBB667" w:rsidR="000C45A7" w:rsidRPr="00206F49" w:rsidRDefault="000C45A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45A7">
        <w:rPr>
          <w:rFonts w:ascii="Times New Roman" w:hAnsi="Times New Roman" w:cs="Times New Roman"/>
          <w:sz w:val="28"/>
          <w:szCs w:val="28"/>
        </w:rPr>
        <w:t xml:space="preserve">Следовательно, электрохимическая импедансная спектроскопия обладает двойной ценностью. С одной стороны, это физически интерпретируемый метод, позволяющий связать спектр с конкретными электрохимическими механизмами. С другой стороны, это инженерно перспективный диагностический инструмент, который при правильном выборе частот и корректной модели может быть адаптирован к задачам экспресс-оценки состояния и прогноза ресурса батареи. Современные обзоры подчёркивают, что именно развитие быстрого, </w:t>
      </w:r>
      <w:r w:rsidRPr="000C45A7">
        <w:rPr>
          <w:rFonts w:ascii="Times New Roman" w:hAnsi="Times New Roman" w:cs="Times New Roman"/>
          <w:sz w:val="28"/>
          <w:szCs w:val="28"/>
        </w:rPr>
        <w:lastRenderedPageBreak/>
        <w:t xml:space="preserve">динамического и </w:t>
      </w:r>
      <w:r w:rsidRPr="000C45A7">
        <w:rPr>
          <w:rFonts w:ascii="Times New Roman" w:hAnsi="Times New Roman" w:cs="Times New Roman"/>
          <w:sz w:val="28"/>
          <w:szCs w:val="28"/>
          <w:highlight w:val="yellow"/>
        </w:rPr>
        <w:t>onboard-совместимого</w:t>
      </w:r>
      <w:r w:rsidRPr="000C45A7">
        <w:rPr>
          <w:rFonts w:ascii="Times New Roman" w:hAnsi="Times New Roman" w:cs="Times New Roman"/>
          <w:sz w:val="28"/>
          <w:szCs w:val="28"/>
        </w:rPr>
        <w:t xml:space="preserve"> EIS-подхода является одной из главных задач следующего этапа эволюции </w:t>
      </w:r>
      <w:r w:rsidRPr="000C45A7">
        <w:rPr>
          <w:rFonts w:ascii="Times New Roman" w:hAnsi="Times New Roman" w:cs="Times New Roman"/>
          <w:sz w:val="28"/>
          <w:szCs w:val="28"/>
          <w:highlight w:val="yellow"/>
        </w:rPr>
        <w:t>battery diagnostics.</w:t>
      </w:r>
    </w:p>
    <w:p w14:paraId="2B968D07" w14:textId="511FE0A5" w:rsidR="000C45A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3D7">
        <w:rPr>
          <w:rFonts w:ascii="Times New Roman" w:hAnsi="Times New Roman" w:cs="Times New Roman"/>
          <w:sz w:val="28"/>
          <w:szCs w:val="28"/>
        </w:rPr>
        <w:t>Однако при всей высокой информативности EIS остаётся открытым вопрос о том, насколько существующие модели прогнозирования ресурса способны использовать импедансные признаки в реальных тяговых режимах. Поэтому следующим шагом необходимо рассмотреть современные подходы к прогнозированию остаточного ресурса аккумуляторных батарей и критически сопоставить их физическую обоснованность, инженерную реализуемость и устойчивость в условиях нестационарной эксплуатации.</w:t>
      </w:r>
    </w:p>
    <w:p w14:paraId="09A5EFB5" w14:textId="77777777" w:rsidR="003843D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723663" w14:textId="73121ACE" w:rsidR="003843D7" w:rsidRPr="003843D7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843D7">
        <w:rPr>
          <w:rFonts w:ascii="Times New Roman" w:hAnsi="Times New Roman" w:cs="Times New Roman"/>
          <w:b/>
          <w:bCs/>
          <w:sz w:val="28"/>
          <w:szCs w:val="28"/>
        </w:rPr>
        <w:t>1.5 Анализ существующих моделей прогнозирования остаточного ресурса аккумуляторных батарей</w:t>
      </w:r>
    </w:p>
    <w:p w14:paraId="1EA7D60E" w14:textId="77777777" w:rsidR="003843D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FBB298" w14:textId="353666F7" w:rsidR="00206F49" w:rsidRDefault="00206F4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6F49">
        <w:rPr>
          <w:rFonts w:ascii="Times New Roman" w:hAnsi="Times New Roman" w:cs="Times New Roman"/>
          <w:sz w:val="28"/>
          <w:szCs w:val="28"/>
        </w:rPr>
        <w:t xml:space="preserve">Прогнозирование остаточного ресурса аккумуляторных батарей в последние годы сформировалось как самостоятельное направление исследований на стыке электрохимии, теории надёжности, машинного обучения и систем управления батареями. Современные обзорные работы показывают, что литература по оценке </w:t>
      </w:r>
      <w:r w:rsidRPr="00206F49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 w:rsidRPr="00206F49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206F49">
        <w:rPr>
          <w:rFonts w:ascii="Times New Roman" w:hAnsi="Times New Roman" w:cs="Times New Roman"/>
          <w:sz w:val="28"/>
          <w:szCs w:val="28"/>
        </w:rPr>
        <w:t xml:space="preserve"> быстро растёт, а фокус постепенно смещается от единичных эмпирических моделей к физически информированным, гибридным и онлайн-ориентированным подходам. В </w:t>
      </w:r>
      <w:r w:rsidRPr="00206F49">
        <w:rPr>
          <w:rFonts w:ascii="Times New Roman" w:hAnsi="Times New Roman" w:cs="Times New Roman"/>
          <w:sz w:val="28"/>
          <w:szCs w:val="28"/>
          <w:highlight w:val="yellow"/>
        </w:rPr>
        <w:t>библиометрическом</w:t>
      </w:r>
      <w:r w:rsidRPr="00206F49">
        <w:rPr>
          <w:rFonts w:ascii="Times New Roman" w:hAnsi="Times New Roman" w:cs="Times New Roman"/>
          <w:sz w:val="28"/>
          <w:szCs w:val="28"/>
        </w:rPr>
        <w:t xml:space="preserve"> обзоре 2024 года основные направления были сгруппированы вокруг трёх тематических кластеров: механизмы старения, методы оценки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6F4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206F49">
        <w:rPr>
          <w:rFonts w:ascii="Times New Roman" w:hAnsi="Times New Roman" w:cs="Times New Roman"/>
          <w:sz w:val="28"/>
          <w:szCs w:val="28"/>
        </w:rPr>
        <w:t xml:space="preserve"> и методы прогнозирования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06F49">
        <w:rPr>
          <w:rFonts w:ascii="Times New Roman" w:hAnsi="Times New Roman" w:cs="Times New Roman"/>
          <w:sz w:val="28"/>
          <w:szCs w:val="28"/>
        </w:rPr>
        <w:t xml:space="preserve">одновременно подчёркивается растущая роль </w:t>
      </w:r>
      <w:r w:rsidRPr="00206F49">
        <w:rPr>
          <w:rFonts w:ascii="Times New Roman" w:hAnsi="Times New Roman" w:cs="Times New Roman"/>
          <w:sz w:val="28"/>
          <w:szCs w:val="28"/>
          <w:highlight w:val="yellow"/>
        </w:rPr>
        <w:t>online-estimation, hybrid models и artificial neural networks</w:t>
      </w:r>
      <w:r w:rsidRPr="00206F49">
        <w:rPr>
          <w:rFonts w:ascii="Times New Roman" w:hAnsi="Times New Roman" w:cs="Times New Roman"/>
          <w:sz w:val="28"/>
          <w:szCs w:val="28"/>
        </w:rPr>
        <w:t>.</w:t>
      </w:r>
    </w:p>
    <w:p w14:paraId="6EF8075D" w14:textId="4C123344" w:rsidR="00206F49" w:rsidRDefault="00596B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6BA8">
        <w:rPr>
          <w:rFonts w:ascii="Times New Roman" w:hAnsi="Times New Roman" w:cs="Times New Roman"/>
          <w:sz w:val="28"/>
          <w:szCs w:val="28"/>
        </w:rPr>
        <w:t xml:space="preserve">Несмотря на широкий спектр публикаций, существующие модели прогнозирования ресурса можно свести к нескольким базовым классам: эмпирические модели, физико-химические модели, фильтрационные и </w:t>
      </w:r>
      <w:r w:rsidRPr="00112792">
        <w:rPr>
          <w:rFonts w:ascii="Times New Roman" w:hAnsi="Times New Roman" w:cs="Times New Roman"/>
          <w:sz w:val="28"/>
          <w:szCs w:val="28"/>
          <w:highlight w:val="yellow"/>
        </w:rPr>
        <w:t>observer-based подходы, data-driven модели</w:t>
      </w:r>
      <w:r w:rsidRPr="00596BA8">
        <w:rPr>
          <w:rFonts w:ascii="Times New Roman" w:hAnsi="Times New Roman" w:cs="Times New Roman"/>
          <w:sz w:val="28"/>
          <w:szCs w:val="28"/>
        </w:rPr>
        <w:t>, гибридные модели и импедансно-</w:t>
      </w:r>
      <w:r w:rsidRPr="00596BA8">
        <w:rPr>
          <w:rFonts w:ascii="Times New Roman" w:hAnsi="Times New Roman" w:cs="Times New Roman"/>
          <w:sz w:val="28"/>
          <w:szCs w:val="28"/>
        </w:rPr>
        <w:lastRenderedPageBreak/>
        <w:t xml:space="preserve">ориентированные прогностические схемы. Каждый из этих классов отражает определённую философию описания деградации. Эмпирические модели аппроксимируют траекторию старения по наблюдаемым данным. Физические модели исходят из механизмов деградации и стремятся описать их через уравнения электрохимии и </w:t>
      </w:r>
      <w:r w:rsidRPr="00112792">
        <w:rPr>
          <w:rFonts w:ascii="Times New Roman" w:hAnsi="Times New Roman" w:cs="Times New Roman"/>
          <w:sz w:val="28"/>
          <w:szCs w:val="28"/>
          <w:highlight w:val="yellow"/>
        </w:rPr>
        <w:t>тепломассопереноса</w:t>
      </w:r>
      <w:r w:rsidRPr="00596BA8">
        <w:rPr>
          <w:rFonts w:ascii="Times New Roman" w:hAnsi="Times New Roman" w:cs="Times New Roman"/>
          <w:sz w:val="28"/>
          <w:szCs w:val="28"/>
        </w:rPr>
        <w:t>. Фильтрационные методы используют динамические уравнения состояния и процедуры последовательного обновления оценки. Машинное обучение ориентируется на извлечение нелинейных закономерностей из данных. Гибридные методы объединяют физические и статистические компоненты. Наконец, импедансные модели используют спектральные признаки как информативные маркеры ранней деградации и, в наиболее сильной постановке, соединяют их с прогностической схемой оценки ресурса.</w:t>
      </w:r>
    </w:p>
    <w:p w14:paraId="17D8B18C" w14:textId="77777777" w:rsid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55DFC7" w14:textId="0022A766" w:rsidR="00112792" w:rsidRP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12792">
        <w:rPr>
          <w:rFonts w:ascii="Times New Roman" w:hAnsi="Times New Roman" w:cs="Times New Roman"/>
          <w:b/>
          <w:bCs/>
          <w:sz w:val="28"/>
          <w:szCs w:val="28"/>
        </w:rPr>
        <w:t>1.5.1. Эмпирические модели деградации</w:t>
      </w:r>
    </w:p>
    <w:p w14:paraId="179A1A83" w14:textId="77777777" w:rsid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7881E8" w14:textId="75BC4D6E" w:rsidR="00112792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>Эмпирические модели строятся на предположении, что деградационная траектория батареи может быть аппроксимирована сравнительно простой функцией числа циклов, времени или накопленного заряда. Наиболее распространёнными являются линейные, корневые, экспоненциальные и полиномиальные формы. В простейшем варианте снижение ёмкости записывается как</w:t>
      </w:r>
    </w:p>
    <w:p w14:paraId="6C278C40" w14:textId="77777777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7A30B0" w14:textId="1F7053B3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4189">
        <w:rPr>
          <w:rFonts w:ascii="Times New Roman" w:hAnsi="Times New Roman" w:cs="Times New Roman"/>
          <w:position w:val="-12"/>
          <w:sz w:val="28"/>
          <w:szCs w:val="28"/>
        </w:rPr>
        <w:object w:dxaOrig="1600" w:dyaOrig="360" w14:anchorId="4304055F">
          <v:shape id="_x0000_i1073" type="#_x0000_t75" style="width:80.15pt;height:18.15pt" o:ole="">
            <v:imagedata r:id="rId119" o:title=""/>
          </v:shape>
          <o:OLEObject Type="Embed" ProgID="Equation.DSMT4" ShapeID="_x0000_i1073" DrawAspect="Content" ObjectID="_1841986636" r:id="rId120"/>
        </w:object>
      </w:r>
    </w:p>
    <w:p w14:paraId="05B2B5BB" w14:textId="77777777" w:rsidR="00084189" w:rsidRP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6E3269" w14:textId="3664669B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DBB5AD5" w14:textId="349DEA80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C4694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EC469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начальная ёмкость,</w:t>
      </w:r>
    </w:p>
    <w:p w14:paraId="323B6252" w14:textId="3841E8BC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08418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эмпирический коэффициент деградации.</w:t>
      </w:r>
    </w:p>
    <w:p w14:paraId="7D7C9405" w14:textId="2A3DB544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lastRenderedPageBreak/>
        <w:t>Такая модель выводится не из фундаментального закона, а как линейная аппроксимация наблюдаемого тренда. Её преимущество — простота, однако физическая содержательность минимальна.</w:t>
      </w:r>
    </w:p>
    <w:p w14:paraId="796A453F" w14:textId="7F658278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>Более содержательная форма связана с диффузионно-контролируемыми деградационными процессами и записывается как</w:t>
      </w:r>
    </w:p>
    <w:p w14:paraId="7183F01A" w14:textId="77777777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D24CB7" w14:textId="2F02EDE4" w:rsidR="00084189" w:rsidRP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4189">
        <w:rPr>
          <w:rFonts w:ascii="Times New Roman" w:hAnsi="Times New Roman" w:cs="Times New Roman"/>
          <w:position w:val="-12"/>
          <w:sz w:val="28"/>
          <w:szCs w:val="28"/>
        </w:rPr>
        <w:object w:dxaOrig="1820" w:dyaOrig="400" w14:anchorId="06687CCF">
          <v:shape id="_x0000_i1074" type="#_x0000_t75" style="width:90.8pt;height:19.4pt" o:ole="">
            <v:imagedata r:id="rId121" o:title=""/>
          </v:shape>
          <o:OLEObject Type="Embed" ProgID="Equation.DSMT4" ShapeID="_x0000_i1074" DrawAspect="Content" ObjectID="_1841986637" r:id="rId122"/>
        </w:object>
      </w:r>
    </w:p>
    <w:p w14:paraId="52B4DF5D" w14:textId="77777777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BDB71FF" w14:textId="3FD9C33F" w:rsidR="0008418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Эта зависимость обычно обосновывается через корневой закон роста межфазного сопротивления или толщины пассивирующего слоя, следующий из решения второго закона Фика в режиме полуограниченной диффузии. Тем не менее даже такая форма остаётся частной и не способна описывать весь жизненный цикл батареи, особенно переход к ускоренной стадии старения.</w:t>
      </w:r>
    </w:p>
    <w:p w14:paraId="65D696B1" w14:textId="601D2F39" w:rsidR="00E90F7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В инженерной практике часто используются более гибкие зависимости вида</w:t>
      </w:r>
    </w:p>
    <w:p w14:paraId="4902C114" w14:textId="77777777" w:rsidR="00E90F7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9225C1" w14:textId="6E43B860" w:rsidR="00E90F79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90F79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2180" w:dyaOrig="380" w14:anchorId="4E3A6FCF">
          <v:shape id="_x0000_i1075" type="#_x0000_t75" style="width:108.95pt;height:18.8pt" o:ole="">
            <v:imagedata r:id="rId123" o:title=""/>
          </v:shape>
          <o:OLEObject Type="Embed" ProgID="Equation.DSMT4" ShapeID="_x0000_i1075" DrawAspect="Content" ObjectID="_1841986638" r:id="rId124"/>
        </w:object>
      </w:r>
    </w:p>
    <w:p w14:paraId="7555C430" w14:textId="77777777" w:rsidR="00E90F79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68151A" w14:textId="273E558B" w:rsidR="00E90F79" w:rsidRDefault="00E90F79" w:rsidP="009511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 xml:space="preserve">либо </w:t>
      </w:r>
      <w:r w:rsidRPr="00E90F79">
        <w:rPr>
          <w:rFonts w:ascii="Times New Roman" w:hAnsi="Times New Roman" w:cs="Times New Roman"/>
          <w:sz w:val="28"/>
          <w:szCs w:val="28"/>
          <w:highlight w:val="yellow"/>
        </w:rPr>
        <w:t>piecewise-модели</w:t>
      </w:r>
      <w:r w:rsidRPr="00E90F79">
        <w:rPr>
          <w:rFonts w:ascii="Times New Roman" w:hAnsi="Times New Roman" w:cs="Times New Roman"/>
          <w:sz w:val="28"/>
          <w:szCs w:val="28"/>
        </w:rPr>
        <w:t xml:space="preserve"> с различными коэффициентами на ранней, средней и поздней стадиях эксплуатации. Однако все эти подходы имеют общую слабость: они корректны лишь в диапазоне условий, на которых были идентифицированы. При изменении температуры, SOC-окна, токовых профилей или химической системы коэффициенты модели приходится перенастраивать. Именно поэтому эмпирические модели удобно использовать как baseline, но недостаточно — как основу физически содержательного прогноза.</w:t>
      </w:r>
    </w:p>
    <w:p w14:paraId="7209F97C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53FF9D" w14:textId="21170D8F" w:rsidR="00E90F79" w:rsidRP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0F79">
        <w:rPr>
          <w:rFonts w:ascii="Times New Roman" w:hAnsi="Times New Roman" w:cs="Times New Roman"/>
          <w:b/>
          <w:bCs/>
          <w:sz w:val="28"/>
          <w:szCs w:val="28"/>
        </w:rPr>
        <w:lastRenderedPageBreak/>
        <w:t>1.5.2 Физико-химические модели</w:t>
      </w:r>
    </w:p>
    <w:p w14:paraId="5BFA6A95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CA5A5C" w14:textId="4E126855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Физико-химические модели основаны на явном описании механизмов старения аккумулятора. В зависимости от уровня детализации они могут включать уравнения переноса заряда, диффузии, теплового баланса, роста межфазного слоя, потери активного лития, деградации активного материала и контактных эффектов. Их главное достоинство состоит в физической интерпретируемости: параметры модели связаны с реальными процессами внутри батареи.</w:t>
      </w:r>
    </w:p>
    <w:p w14:paraId="0DD30B49" w14:textId="7FE4B484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Типичным примером является описание деградации через рост межфазного сопротивления и снижение обменного тока. Если</w:t>
      </w:r>
    </w:p>
    <w:p w14:paraId="1CAA9236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FB1C71" w14:textId="4508DC2C" w:rsidR="00E90F79" w:rsidRPr="0068274B" w:rsidRDefault="0068274B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51116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578AE739">
          <v:shape id="_x0000_i1076" type="#_x0000_t75" style="width:48.2pt;height:33.8pt" o:ole="">
            <v:imagedata r:id="rId125" o:title=""/>
          </v:shape>
          <o:OLEObject Type="Embed" ProgID="Equation.DSMT4" ShapeID="_x0000_i1076" DrawAspect="Content" ObjectID="_1841986639" r:id="rId126"/>
        </w:object>
      </w:r>
    </w:p>
    <w:p w14:paraId="3F2E8AD5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8840A0" w14:textId="098CC2AB" w:rsidR="0068274B" w:rsidRDefault="0068274B" w:rsidP="005B6EA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274B">
        <w:rPr>
          <w:rFonts w:ascii="Times New Roman" w:hAnsi="Times New Roman" w:cs="Times New Roman"/>
          <w:sz w:val="28"/>
          <w:szCs w:val="28"/>
        </w:rPr>
        <w:t xml:space="preserve">то изменение </w:t>
      </w:r>
      <w:r w:rsidRPr="0068274B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68274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68274B">
        <w:rPr>
          <w:rFonts w:ascii="Times New Roman" w:hAnsi="Times New Roman" w:cs="Times New Roman"/>
          <w:sz w:val="28"/>
          <w:szCs w:val="28"/>
        </w:rPr>
        <w:t xml:space="preserve"> вследствие уменьшения эффективной активной поверхности или ухудшения интерфейса автоматически приводит к росту </w:t>
      </w:r>
      <w:r w:rsidRPr="0068274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8274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8274B">
        <w:rPr>
          <w:rFonts w:ascii="Times New Roman" w:hAnsi="Times New Roman" w:cs="Times New Roman"/>
          <w:sz w:val="28"/>
          <w:szCs w:val="28"/>
        </w:rPr>
        <w:t>. В более общем виде скорость деградации можно представить как</w:t>
      </w:r>
    </w:p>
    <w:p w14:paraId="0B8712DE" w14:textId="77777777" w:rsidR="0068274B" w:rsidRDefault="0068274B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2EE6027" w14:textId="6C28D2DC" w:rsidR="0068274B" w:rsidRP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4480" w:dyaOrig="680" w14:anchorId="22DC900F">
          <v:shape id="_x0000_i1077" type="#_x0000_t75" style="width:224.15pt;height:33.8pt" o:ole="">
            <v:imagedata r:id="rId127" o:title=""/>
          </v:shape>
          <o:OLEObject Type="Embed" ProgID="Equation.DSMT4" ShapeID="_x0000_i1077" DrawAspect="Content" ObjectID="_1841986640" r:id="rId128"/>
        </w:object>
      </w:r>
    </w:p>
    <w:p w14:paraId="1A2BDA86" w14:textId="77777777" w:rsidR="0068274B" w:rsidRDefault="0068274B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B1D9B9" w14:textId="262D3474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5B6EA7">
        <w:rPr>
          <w:rFonts w:ascii="Times New Roman" w:hAnsi="Times New Roman" w:cs="Times New Roman"/>
          <w:sz w:val="28"/>
          <w:szCs w:val="28"/>
        </w:rPr>
        <w:t>первое слагаемое описывает термоактивируемый вклад по Аррениусу, а второе — режимно-индуцированную деградацию.</w:t>
      </w:r>
    </w:p>
    <w:p w14:paraId="35AE0FE4" w14:textId="6843D0B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sz w:val="28"/>
          <w:szCs w:val="28"/>
        </w:rPr>
        <w:t xml:space="preserve">Преимущество физических моделей в том, что они потенциально обладают лучшей переносимостью между эксплуатационными режимами и могут использоваться для сценарного анализа. Однако их слабость заключается в </w:t>
      </w:r>
      <w:r w:rsidRPr="005B6EA7">
        <w:rPr>
          <w:rFonts w:ascii="Times New Roman" w:hAnsi="Times New Roman" w:cs="Times New Roman"/>
          <w:sz w:val="28"/>
          <w:szCs w:val="28"/>
        </w:rPr>
        <w:lastRenderedPageBreak/>
        <w:t>сложности параметризации. Для реального батарейного модуля тягового применения требуется идентификация множества коэффициентов, далеко не все из которых доступны 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B6EA7">
        <w:rPr>
          <w:rFonts w:ascii="Times New Roman" w:hAnsi="Times New Roman" w:cs="Times New Roman"/>
          <w:sz w:val="28"/>
          <w:szCs w:val="28"/>
        </w:rPr>
        <w:t>стандартных эксплуатационных измерений. Кроме того, детальные модели электрохимического уровня оказываются вычислительно тяжёлыми для прямого использования в BMS.</w:t>
      </w:r>
    </w:p>
    <w:p w14:paraId="3C6AD2E1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F57484" w14:textId="1DFCC0E8" w:rsidR="005B6EA7" w:rsidRP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B6EA7">
        <w:rPr>
          <w:rFonts w:ascii="Times New Roman" w:hAnsi="Times New Roman" w:cs="Times New Roman"/>
          <w:b/>
          <w:bCs/>
          <w:sz w:val="28"/>
          <w:szCs w:val="28"/>
        </w:rPr>
        <w:t xml:space="preserve">1.5.3 Фильтрационные и </w:t>
      </w:r>
      <w:r w:rsidRPr="005B6EA7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observer-based</w:t>
      </w:r>
      <w:r w:rsidRPr="005B6EA7">
        <w:rPr>
          <w:rFonts w:ascii="Times New Roman" w:hAnsi="Times New Roman" w:cs="Times New Roman"/>
          <w:b/>
          <w:bCs/>
          <w:sz w:val="28"/>
          <w:szCs w:val="28"/>
        </w:rPr>
        <w:t xml:space="preserve"> методы</w:t>
      </w:r>
    </w:p>
    <w:p w14:paraId="1F7E6BF7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16B5B5" w14:textId="5A52837A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sz w:val="28"/>
          <w:szCs w:val="28"/>
        </w:rPr>
        <w:t xml:space="preserve">Отдельную группу составляют методы, использующие фильтр Калмана, частицные фильтры, </w:t>
      </w:r>
      <w:r w:rsidRPr="005B6EA7">
        <w:rPr>
          <w:rFonts w:ascii="Times New Roman" w:hAnsi="Times New Roman" w:cs="Times New Roman"/>
          <w:sz w:val="28"/>
          <w:szCs w:val="28"/>
          <w:highlight w:val="yellow"/>
        </w:rPr>
        <w:t>dual observers, sliding-mode</w:t>
      </w:r>
      <w:r w:rsidRPr="005B6EA7">
        <w:rPr>
          <w:rFonts w:ascii="Times New Roman" w:hAnsi="Times New Roman" w:cs="Times New Roman"/>
          <w:sz w:val="28"/>
          <w:szCs w:val="28"/>
        </w:rPr>
        <w:t xml:space="preserve"> и другие схемы последовательного оценивания состояния. Общая идея этих методов заключается в том, что батарея представляется динамической системой состояния:</w:t>
      </w:r>
    </w:p>
    <w:p w14:paraId="5DEBC157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4EC70B" w14:textId="5CAC5158" w:rsidR="005B6EA7" w:rsidRPr="00EC4694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position w:val="-14"/>
          <w:sz w:val="28"/>
          <w:szCs w:val="28"/>
        </w:rPr>
        <w:object w:dxaOrig="2020" w:dyaOrig="400" w14:anchorId="10DC2640">
          <v:shape id="_x0000_i1078" type="#_x0000_t75" style="width:101.45pt;height:19.4pt" o:ole="">
            <v:imagedata r:id="rId129" o:title=""/>
          </v:shape>
          <o:OLEObject Type="Embed" ProgID="Equation.DSMT4" ShapeID="_x0000_i1078" DrawAspect="Content" ObjectID="_1841986641" r:id="rId130"/>
        </w:object>
      </w:r>
      <w:r w:rsidRPr="00EC4694">
        <w:rPr>
          <w:rFonts w:ascii="Times New Roman" w:hAnsi="Times New Roman" w:cs="Times New Roman"/>
          <w:sz w:val="28"/>
          <w:szCs w:val="28"/>
        </w:rPr>
        <w:t xml:space="preserve">, </w:t>
      </w:r>
      <w:r w:rsidRPr="005B6EA7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500" w:dyaOrig="400" w14:anchorId="1EE242FB">
          <v:shape id="_x0000_i1079" type="#_x0000_t75" style="width:74.5pt;height:19.4pt" o:ole="">
            <v:imagedata r:id="rId131" o:title=""/>
          </v:shape>
          <o:OLEObject Type="Embed" ProgID="Equation.DSMT4" ShapeID="_x0000_i1079" DrawAspect="Content" ObjectID="_1841986642" r:id="rId132"/>
        </w:object>
      </w:r>
      <w:r w:rsidRPr="00EC4694">
        <w:rPr>
          <w:rFonts w:ascii="Times New Roman" w:hAnsi="Times New Roman" w:cs="Times New Roman"/>
          <w:sz w:val="28"/>
          <w:szCs w:val="28"/>
        </w:rPr>
        <w:t>,</w:t>
      </w:r>
    </w:p>
    <w:p w14:paraId="23A12F85" w14:textId="77777777" w:rsidR="005B6EA7" w:rsidRPr="00EC4694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29112D" w14:textId="6C451A80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241B04E0" w14:textId="452837BB" w:rsidR="005B6EA7" w:rsidRP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i/>
          <w:iCs/>
          <w:sz w:val="28"/>
          <w:szCs w:val="28"/>
          <w:lang w:val="en-US"/>
        </w:rPr>
        <w:t>x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вектор скрытых состояний,</w:t>
      </w:r>
    </w:p>
    <w:p w14:paraId="45D65C51" w14:textId="49C69DB1" w:rsidR="005B6EA7" w:rsidRPr="005B6EA7" w:rsidRDefault="005B6EA7" w:rsidP="005B6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входные воздействия</w:t>
      </w:r>
      <w:r w:rsidRPr="005B6EA7">
        <w:rPr>
          <w:rFonts w:ascii="Times New Roman" w:hAnsi="Times New Roman" w:cs="Times New Roman"/>
          <w:sz w:val="28"/>
          <w:szCs w:val="28"/>
        </w:rPr>
        <w:t>,</w:t>
      </w:r>
    </w:p>
    <w:p w14:paraId="3B34F1B9" w14:textId="0B51DF06" w:rsidR="005B6EA7" w:rsidRPr="00DF4BFB" w:rsidRDefault="005B6EA7" w:rsidP="005B6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y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измерения</w:t>
      </w:r>
      <w:r w:rsidRPr="00DF4BFB">
        <w:rPr>
          <w:rFonts w:ascii="Times New Roman" w:hAnsi="Times New Roman" w:cs="Times New Roman"/>
          <w:sz w:val="28"/>
          <w:szCs w:val="28"/>
        </w:rPr>
        <w:t>,</w:t>
      </w:r>
    </w:p>
    <w:p w14:paraId="4FCE67AE" w14:textId="575720A6" w:rsidR="005B6EA7" w:rsidRPr="00DF4BFB" w:rsidRDefault="005B6EA7" w:rsidP="005B6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w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процессы и шумы наблюдения.</w:t>
      </w:r>
    </w:p>
    <w:p w14:paraId="64B97E73" w14:textId="690A6A2A" w:rsidR="005B6EA7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A90">
        <w:rPr>
          <w:rFonts w:ascii="Times New Roman" w:hAnsi="Times New Roman" w:cs="Times New Roman"/>
          <w:sz w:val="28"/>
          <w:szCs w:val="28"/>
        </w:rPr>
        <w:t xml:space="preserve">Если в вектор состояния включить не только </w:t>
      </w:r>
      <w:r w:rsidRPr="00681A90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81A90">
        <w:rPr>
          <w:rFonts w:ascii="Times New Roman" w:hAnsi="Times New Roman" w:cs="Times New Roman"/>
          <w:sz w:val="28"/>
          <w:szCs w:val="28"/>
        </w:rPr>
        <w:t>, но и параметры деградации или коэффициенты эквивалентной схемы, то такие методы позволяют в онлайн-режиме обновлять оценку состояния батареи.</w:t>
      </w:r>
    </w:p>
    <w:p w14:paraId="06820D81" w14:textId="491404EC" w:rsidR="00681A90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A90">
        <w:rPr>
          <w:rFonts w:ascii="Times New Roman" w:hAnsi="Times New Roman" w:cs="Times New Roman"/>
          <w:sz w:val="28"/>
          <w:szCs w:val="28"/>
        </w:rPr>
        <w:t xml:space="preserve">Преимущество данного класса моделей состоит в хорошей совместимости с BMS и высокой алгоритмической отработанности. Недостаток заключается в </w:t>
      </w:r>
      <w:r w:rsidRPr="00681A90">
        <w:rPr>
          <w:rFonts w:ascii="Times New Roman" w:hAnsi="Times New Roman" w:cs="Times New Roman"/>
          <w:sz w:val="28"/>
          <w:szCs w:val="28"/>
        </w:rPr>
        <w:lastRenderedPageBreak/>
        <w:t xml:space="preserve">сильной зависимости качества оценки от корректности базовой модели состояния. Если </w:t>
      </w:r>
      <w:r w:rsidRPr="00681A90">
        <w:rPr>
          <w:rFonts w:ascii="Times New Roman" w:hAnsi="Times New Roman" w:cs="Times New Roman"/>
          <w:sz w:val="28"/>
          <w:szCs w:val="28"/>
          <w:highlight w:val="yellow"/>
        </w:rPr>
        <w:t>underlying</w:t>
      </w:r>
      <w:r w:rsidRPr="00681A90">
        <w:rPr>
          <w:rFonts w:ascii="Times New Roman" w:hAnsi="Times New Roman" w:cs="Times New Roman"/>
          <w:sz w:val="28"/>
          <w:szCs w:val="28"/>
        </w:rPr>
        <w:t xml:space="preserve"> модель недостаточно адекватна, фильтрационная схема не устраняет эту ошибку, а лишь рекурсивно распространяет её.</w:t>
      </w:r>
    </w:p>
    <w:p w14:paraId="0FC3A808" w14:textId="77777777" w:rsidR="00681A90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46202" w14:textId="1A93850D" w:rsidR="00681A90" w:rsidRP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57E9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1.5.4 Data-driven </w:t>
      </w:r>
      <w:r w:rsidRPr="00357E99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357E9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deep learning </w:t>
      </w:r>
      <w:r w:rsidRPr="00357E99">
        <w:rPr>
          <w:rFonts w:ascii="Times New Roman" w:hAnsi="Times New Roman" w:cs="Times New Roman"/>
          <w:b/>
          <w:bCs/>
          <w:sz w:val="28"/>
          <w:szCs w:val="28"/>
        </w:rPr>
        <w:t>модели</w:t>
      </w:r>
    </w:p>
    <w:p w14:paraId="39CB72AF" w14:textId="77777777" w:rsidR="00681A90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C67AE2" w14:textId="4E778CFA" w:rsid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7E99">
        <w:rPr>
          <w:rFonts w:ascii="Times New Roman" w:hAnsi="Times New Roman" w:cs="Times New Roman"/>
          <w:sz w:val="28"/>
          <w:szCs w:val="28"/>
        </w:rPr>
        <w:t xml:space="preserve">Модели машинного обучения и глубокого обучения в последние годы получили особенно широкое распространение. Обзоры 2024–2025 годов указывают, что именно </w:t>
      </w:r>
      <w:r w:rsidRPr="00357E99">
        <w:rPr>
          <w:rFonts w:ascii="Times New Roman" w:hAnsi="Times New Roman" w:cs="Times New Roman"/>
          <w:sz w:val="28"/>
          <w:szCs w:val="28"/>
          <w:highlight w:val="yellow"/>
        </w:rPr>
        <w:t>artificial intelligence strategies, online estimation и hybrid approaches</w:t>
      </w:r>
      <w:r w:rsidRPr="00357E99">
        <w:rPr>
          <w:rFonts w:ascii="Times New Roman" w:hAnsi="Times New Roman" w:cs="Times New Roman"/>
          <w:sz w:val="28"/>
          <w:szCs w:val="28"/>
        </w:rPr>
        <w:t xml:space="preserve"> формируют один из основных фронтов </w:t>
      </w:r>
      <w:r w:rsidRPr="00357E9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57E99">
        <w:rPr>
          <w:rFonts w:ascii="Times New Roman" w:hAnsi="Times New Roman" w:cs="Times New Roman"/>
          <w:i/>
          <w:iCs/>
          <w:sz w:val="28"/>
          <w:szCs w:val="28"/>
        </w:rPr>
        <w:t>/</w:t>
      </w:r>
      <w:r w:rsidRPr="00357E99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-оценки. </w:t>
      </w:r>
      <w:r w:rsidRPr="00357E99">
        <w:rPr>
          <w:rFonts w:ascii="Times New Roman" w:hAnsi="Times New Roman" w:cs="Times New Roman"/>
          <w:sz w:val="28"/>
          <w:szCs w:val="28"/>
        </w:rPr>
        <w:t>В типичном случае строится отображение</w:t>
      </w:r>
    </w:p>
    <w:p w14:paraId="3A08ADE4" w14:textId="77777777" w:rsid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287FA6" w14:textId="273DCEAC" w:rsidR="00357E99" w:rsidRPr="003451A7" w:rsidRDefault="003451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451A7">
        <w:rPr>
          <w:rFonts w:ascii="Times New Roman" w:hAnsi="Times New Roman" w:cs="Times New Roman"/>
          <w:position w:val="-14"/>
          <w:sz w:val="28"/>
          <w:szCs w:val="28"/>
        </w:rPr>
        <w:object w:dxaOrig="3300" w:dyaOrig="400" w14:anchorId="6CA6F6A7">
          <v:shape id="_x0000_i1080" type="#_x0000_t75" style="width:165.3pt;height:19.4pt" o:ole="">
            <v:imagedata r:id="rId133" o:title=""/>
          </v:shape>
          <o:OLEObject Type="Embed" ProgID="Equation.DSMT4" ShapeID="_x0000_i1080" DrawAspect="Content" ObjectID="_1841986643" r:id="rId134"/>
        </w:object>
      </w:r>
    </w:p>
    <w:p w14:paraId="496CBE19" w14:textId="77777777" w:rsid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4864CB" w14:textId="36222E01" w:rsidR="003451A7" w:rsidRPr="00EC4694" w:rsidRDefault="003451A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3451A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451A7">
        <w:rPr>
          <w:rFonts w:ascii="Times New Roman" w:hAnsi="Times New Roman" w:cs="Times New Roman"/>
          <w:sz w:val="28"/>
          <w:szCs w:val="28"/>
        </w:rPr>
        <w:t>) – вектор признаков, извлечённых из напряжения, тока, температуры, зарядных кривых или спектральных данных.</w:t>
      </w:r>
    </w:p>
    <w:p w14:paraId="6AB69F17" w14:textId="404F83E9" w:rsidR="003451A7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5D10">
        <w:rPr>
          <w:rFonts w:ascii="Times New Roman" w:hAnsi="Times New Roman" w:cs="Times New Roman"/>
          <w:sz w:val="28"/>
          <w:szCs w:val="28"/>
        </w:rPr>
        <w:t xml:space="preserve">К преимуществам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4C5D10">
        <w:rPr>
          <w:rFonts w:ascii="Times New Roman" w:hAnsi="Times New Roman" w:cs="Times New Roman"/>
          <w:sz w:val="28"/>
          <w:szCs w:val="28"/>
        </w:rPr>
        <w:t xml:space="preserve"> подходов относится высокая гибкость и способность описывать сложные нелинейные зависимости. Однако эти модели чрезвычайно чувствительны к объёму и качеству обучающей выборки, к смещению распределения между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train и deployment, а также к representativeness</w:t>
      </w:r>
      <w:r w:rsidRPr="004C5D10">
        <w:rPr>
          <w:rFonts w:ascii="Times New Roman" w:hAnsi="Times New Roman" w:cs="Times New Roman"/>
          <w:sz w:val="28"/>
          <w:szCs w:val="28"/>
        </w:rPr>
        <w:t xml:space="preserve"> используемых признаков. При этом интерпретируемость их решений часто остаётся ограниченной.</w:t>
      </w:r>
    </w:p>
    <w:p w14:paraId="1A4AA4C7" w14:textId="55BD0AB4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4C5D10">
        <w:rPr>
          <w:rFonts w:ascii="Times New Roman" w:hAnsi="Times New Roman" w:cs="Times New Roman"/>
          <w:sz w:val="28"/>
          <w:szCs w:val="28"/>
        </w:rPr>
        <w:t xml:space="preserve">Особый интерес представляют современные EIS-ориентированные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4C5D10">
        <w:rPr>
          <w:rFonts w:ascii="Times New Roman" w:hAnsi="Times New Roman" w:cs="Times New Roman"/>
          <w:sz w:val="28"/>
          <w:szCs w:val="28"/>
        </w:rPr>
        <w:t xml:space="preserve"> модели. Так, в работе 2024 года предложен метод раннего прогноза ресурса, основанный на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geometric health factors</w:t>
      </w:r>
      <w:r w:rsidRPr="004C5D10">
        <w:rPr>
          <w:rFonts w:ascii="Times New Roman" w:hAnsi="Times New Roman" w:cs="Times New Roman"/>
          <w:sz w:val="28"/>
          <w:szCs w:val="28"/>
        </w:rPr>
        <w:t xml:space="preserve">, извлечённых из средне- и низкочастотной части спектра Найквиста. Авторы показали, что такие признаки могут использоваться в гибридной линейно-регрессионной и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ensemble-learning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sz w:val="28"/>
          <w:szCs w:val="28"/>
        </w:rPr>
        <w:lastRenderedPageBreak/>
        <w:t xml:space="preserve">схеме для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early-stage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4C5D10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iCs/>
          <w:sz w:val="28"/>
          <w:szCs w:val="28"/>
          <w:highlight w:val="yellow"/>
        </w:rPr>
        <w:t>prediction</w:t>
      </w:r>
      <w:r w:rsidRPr="004C5D10">
        <w:rPr>
          <w:rFonts w:ascii="Times New Roman" w:hAnsi="Times New Roman" w:cs="Times New Roman"/>
          <w:iCs/>
          <w:sz w:val="28"/>
          <w:szCs w:val="28"/>
        </w:rPr>
        <w:t xml:space="preserve"> и обладают хорошей обобщающей способностью в различных режимах. Этот результат особенно важен для настоящей диссертации, поскольку он подтверждает фундаментальную реализуемость идеи «импедансные признаки → прогноз ресурса», но при этом оставляет открытым вопрос о физической унификации таких признаков для разных химических систем и режимов эксплуатации.</w:t>
      </w:r>
    </w:p>
    <w:p w14:paraId="3A3DE3A4" w14:textId="77777777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4BDE47E4" w14:textId="45D17DF2" w:rsidR="004C5D10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B13293">
        <w:rPr>
          <w:rFonts w:ascii="Times New Roman" w:hAnsi="Times New Roman" w:cs="Times New Roman"/>
          <w:b/>
          <w:bCs/>
          <w:iCs/>
          <w:sz w:val="28"/>
          <w:szCs w:val="28"/>
        </w:rPr>
        <w:t>1.5.5 Гибридные модели</w:t>
      </w:r>
    </w:p>
    <w:p w14:paraId="1B08A1B1" w14:textId="77777777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53CFB7" w14:textId="0598BBA3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293">
        <w:rPr>
          <w:rFonts w:ascii="Times New Roman" w:hAnsi="Times New Roman" w:cs="Times New Roman"/>
          <w:sz w:val="28"/>
          <w:szCs w:val="28"/>
        </w:rPr>
        <w:t xml:space="preserve">Гибридные модели формируются как ответ на ограничения как чисто физических, так и чисто </w:t>
      </w:r>
      <w:r w:rsidRPr="00B13293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B13293">
        <w:rPr>
          <w:rFonts w:ascii="Times New Roman" w:hAnsi="Times New Roman" w:cs="Times New Roman"/>
          <w:sz w:val="28"/>
          <w:szCs w:val="28"/>
        </w:rPr>
        <w:t xml:space="preserve"> подходов. Их принцип состоит в том, что часть структуры модели задаётся физикой процесса, а часть — обучается по данным. Например, физически мотивированные признаки могут использоваться как входы нейронной сети; или, наоборот, ML-модель может корректировать параметры упрощённой физической модели. Современные обзоры подчёркивают, что гибридные модели особенно перспективны для сложных нестационарных режимов, поскольку они способны сохранить часть интерпретируемости при одновременном повышении точности прогноза.</w:t>
      </w:r>
    </w:p>
    <w:p w14:paraId="53D51F8C" w14:textId="2911FED5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293">
        <w:rPr>
          <w:rFonts w:ascii="Times New Roman" w:hAnsi="Times New Roman" w:cs="Times New Roman"/>
          <w:sz w:val="28"/>
          <w:szCs w:val="28"/>
        </w:rPr>
        <w:t xml:space="preserve">Для целей настоящей работы гибридность особенно важна, поскольку импедансные параметры естественным образом выполняют роль физически содержательных признаков. Это позволяет строить не «чёрный ящик» по сырым эксплуатационным данным, а </w:t>
      </w:r>
      <w:r w:rsidRPr="00B13293">
        <w:rPr>
          <w:rFonts w:ascii="Times New Roman" w:hAnsi="Times New Roman" w:cs="Times New Roman"/>
          <w:sz w:val="28"/>
          <w:szCs w:val="28"/>
          <w:highlight w:val="yellow"/>
        </w:rPr>
        <w:t>прогнозатор</w:t>
      </w:r>
      <w:r w:rsidRPr="00B13293">
        <w:rPr>
          <w:rFonts w:ascii="Times New Roman" w:hAnsi="Times New Roman" w:cs="Times New Roman"/>
          <w:sz w:val="28"/>
          <w:szCs w:val="28"/>
        </w:rPr>
        <w:t>, в котором входной вектор уже связан с межфазной кинетикой, диффузией и омическими потерями.</w:t>
      </w:r>
    </w:p>
    <w:p w14:paraId="5090CF4A" w14:textId="7777777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115598" w14:textId="553AF01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13293">
        <w:rPr>
          <w:rFonts w:ascii="Times New Roman" w:hAnsi="Times New Roman" w:cs="Times New Roman"/>
          <w:b/>
          <w:bCs/>
          <w:sz w:val="28"/>
          <w:szCs w:val="28"/>
        </w:rPr>
        <w:t>1.5.6 Импедансные модели прогноза ресурса</w:t>
      </w:r>
    </w:p>
    <w:p w14:paraId="4904397A" w14:textId="7777777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D70E81" w14:textId="6B336473" w:rsidR="00B13293" w:rsidRPr="00EC4694" w:rsidRDefault="00A805C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05C0">
        <w:rPr>
          <w:rFonts w:ascii="Times New Roman" w:hAnsi="Times New Roman" w:cs="Times New Roman"/>
          <w:sz w:val="28"/>
          <w:szCs w:val="28"/>
        </w:rPr>
        <w:lastRenderedPageBreak/>
        <w:t xml:space="preserve">Гибридные модели формируются как ответ на ограничения как чисто физических, так и чисто </w:t>
      </w:r>
      <w:r w:rsidRPr="00A805C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A805C0">
        <w:rPr>
          <w:rFonts w:ascii="Times New Roman" w:hAnsi="Times New Roman" w:cs="Times New Roman"/>
          <w:sz w:val="28"/>
          <w:szCs w:val="28"/>
        </w:rPr>
        <w:t xml:space="preserve"> подходов. Их принцип состоит в том, что часть структуры модели задаётся физикой процесса, а часть — обучается по данным. Например, физически мотивированные признаки могут использоваться как входы нейронной сети; или, наоборот, ML-модель может корректировать параметры упрощённой физической модели. Современные обзоры подчёркивают, что гибридные модели особенно перспективны для сложных нестационарных режимов, поскольку они способны сохранить часть интерпретируемости при одновременном повышении точности прогноза.</w:t>
      </w:r>
    </w:p>
    <w:p w14:paraId="6FDD3CC0" w14:textId="306356B4" w:rsidR="00A805C0" w:rsidRPr="00EC4694" w:rsidRDefault="00A805C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4FB">
        <w:rPr>
          <w:rFonts w:ascii="Times New Roman" w:hAnsi="Times New Roman" w:cs="Times New Roman"/>
          <w:sz w:val="28"/>
          <w:szCs w:val="28"/>
          <w:highlight w:val="yellow"/>
        </w:rPr>
        <w:t>Для целей настоящей работы гибридность особенно важна, поскольку импедансные параметры естественным образом выполняют роль физически содержательных признаков. Это позволяет строить не «чёрный ящик» по сырым эксплуатационным данным, а прогнозатор, в котором входной вектор уже связан с межфазной кинетикой, диффузией и омическими потерями.</w:t>
      </w:r>
    </w:p>
    <w:p w14:paraId="7B96AA7E" w14:textId="77777777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3FFEEB" w14:textId="634BE84E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004FB">
        <w:rPr>
          <w:rFonts w:ascii="Times New Roman" w:hAnsi="Times New Roman" w:cs="Times New Roman"/>
          <w:b/>
          <w:bCs/>
          <w:sz w:val="28"/>
          <w:szCs w:val="28"/>
        </w:rPr>
        <w:t>1.5.6 Импедансные модели прогноза ресурса</w:t>
      </w:r>
    </w:p>
    <w:p w14:paraId="625C9E35" w14:textId="77777777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430181" w14:textId="5EED6C41" w:rsidR="005004FB" w:rsidRPr="005004FB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4FB">
        <w:rPr>
          <w:rFonts w:ascii="Times New Roman" w:hAnsi="Times New Roman" w:cs="Times New Roman"/>
          <w:sz w:val="28"/>
          <w:szCs w:val="28"/>
        </w:rPr>
        <w:t xml:space="preserve">Импедансно-ориентированные модели представляют наибольший интерес для рассматриваемой диссертационной задачи. Обзор 2024 года по EIS как диагностическому и прогностическому инструменту для EV-батарей подчёркивает, что EIS даёт более глубокую информацию, чем простые измерения напряжения или тока, поскольку позволяет в реальном времени оценивать процессы, происходящие внутри батареи на разных временных масштабах. В обзоре также отдельно отмечается, что EIS способна выявлять деградацию на ранних стадиях без повреждения батареи и может использоваться как </w:t>
      </w:r>
      <w:r w:rsidRPr="005004FB">
        <w:rPr>
          <w:rFonts w:ascii="Times New Roman" w:hAnsi="Times New Roman" w:cs="Times New Roman"/>
          <w:sz w:val="28"/>
          <w:szCs w:val="28"/>
          <w:highlight w:val="yellow"/>
        </w:rPr>
        <w:t>ex situ, так и in situ</w:t>
      </w:r>
      <w:r w:rsidRPr="005004FB">
        <w:rPr>
          <w:rFonts w:ascii="Times New Roman" w:hAnsi="Times New Roman" w:cs="Times New Roman"/>
          <w:sz w:val="28"/>
          <w:szCs w:val="28"/>
        </w:rPr>
        <w:t>.</w:t>
      </w:r>
    </w:p>
    <w:p w14:paraId="454A46F5" w14:textId="0A271E8A" w:rsidR="005004FB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>В простейшем импедансно-прогностическом приближении остаточный ресурс может быть записан через сопротивление переноса заряда:</w:t>
      </w:r>
    </w:p>
    <w:p w14:paraId="3F8EDD3F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9B3A63" w14:textId="183332B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060" w:dyaOrig="700" w14:anchorId="2DE86081">
          <v:shape id="_x0000_i1081" type="#_x0000_t75" style="width:103.3pt;height:35.05pt" o:ole="">
            <v:imagedata r:id="rId135" o:title=""/>
          </v:shape>
          <o:OLEObject Type="Embed" ProgID="Equation.DSMT4" ShapeID="_x0000_i1081" DrawAspect="Content" ObjectID="_1841986644" r:id="rId136"/>
        </w:object>
      </w:r>
      <w:r w:rsidRPr="00EC4694">
        <w:rPr>
          <w:rFonts w:ascii="Times New Roman" w:hAnsi="Times New Roman" w:cs="Times New Roman"/>
          <w:sz w:val="28"/>
          <w:szCs w:val="28"/>
        </w:rPr>
        <w:t>.</w:t>
      </w:r>
    </w:p>
    <w:p w14:paraId="2F26B8B5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9E6B6B" w14:textId="309B2630" w:rsidR="00932DD5" w:rsidRPr="00AC77B7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Эта формула следует из локально-линейной деградационной модели для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32DD5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932DD5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932DD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Если рост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AC77B7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нелинеен, используется интегральная</w:t>
      </w:r>
      <w:r w:rsidRPr="00AC77B7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форма</w:t>
      </w:r>
    </w:p>
    <w:p w14:paraId="43EDACDC" w14:textId="77777777" w:rsidR="00932DD5" w:rsidRPr="00AC77B7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EC8391" w14:textId="69C47122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140" w:dyaOrig="680" w14:anchorId="2BBBA23E">
          <v:shape id="_x0000_i1082" type="#_x0000_t75" style="width:107.05pt;height:33.8pt" o:ole="">
            <v:imagedata r:id="rId137" o:title=""/>
          </v:shape>
          <o:OLEObject Type="Embed" ProgID="Equation.DSMT4" ShapeID="_x0000_i1082" DrawAspect="Content" ObjectID="_1841986645" r:id="rId138"/>
        </w:object>
      </w:r>
      <w:r w:rsidRPr="00EC4694">
        <w:rPr>
          <w:rFonts w:ascii="Times New Roman" w:hAnsi="Times New Roman" w:cs="Times New Roman"/>
          <w:sz w:val="28"/>
          <w:szCs w:val="28"/>
        </w:rPr>
        <w:t>.</w:t>
      </w:r>
    </w:p>
    <w:p w14:paraId="6A63630B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F4A104" w14:textId="72CD6C91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Достоинство такого подхода состоит в том, что он опирается на параметр, имеющий ясную физическую интерпретацию. Недостаток — в необходимости устойчивой и быстрой идентификации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32DD5">
        <w:rPr>
          <w:rFonts w:ascii="Times New Roman" w:hAnsi="Times New Roman" w:cs="Times New Roman"/>
          <w:sz w:val="28"/>
          <w:szCs w:val="28"/>
        </w:rPr>
        <w:t xml:space="preserve">, а также в корректном учёте влияния температуры,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932DD5">
        <w:rPr>
          <w:rFonts w:ascii="Times New Roman" w:hAnsi="Times New Roman" w:cs="Times New Roman"/>
          <w:sz w:val="28"/>
          <w:szCs w:val="28"/>
        </w:rPr>
        <w:t xml:space="preserve"> и химической системы на саму траекторию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EC4694">
        <w:rPr>
          <w:rFonts w:ascii="Times New Roman" w:hAnsi="Times New Roman" w:cs="Times New Roman"/>
          <w:sz w:val="28"/>
          <w:szCs w:val="28"/>
        </w:rPr>
        <w:t>.</w:t>
      </w:r>
    </w:p>
    <w:p w14:paraId="7AF5AF85" w14:textId="5FBC5B9A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>Именно здесь и проходит граница между существующими работами и задачей настоящей диссертации. Современные публикации подтверждают потенциал EIS для раннего прогноза ресурса, но в большинстве случаев либо ограничиваются одной химической системой, либо строятся на стационарных лабораторных спектрах, либо используют спектральные признаки без полного включения их в инженерную модель BMS. Следовательно, проблема не в отсутствии доказательств полезности EIS, а в отсутствии универсальной и математически строгой диагностико-прогностической схемы для нестационарных тяговых режимов.</w:t>
      </w:r>
    </w:p>
    <w:p w14:paraId="709D0175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BB079" w14:textId="2C2E0077" w:rsidR="00932DD5" w:rsidRPr="00EC4694" w:rsidRDefault="00B021FE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21FE">
        <w:rPr>
          <w:rFonts w:ascii="Times New Roman" w:hAnsi="Times New Roman" w:cs="Times New Roman"/>
          <w:sz w:val="28"/>
          <w:szCs w:val="28"/>
        </w:rPr>
        <w:t>Таблица 1.6 – Сравнительная характеристика основных классов моделей прогнозирования остаточного ресурса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87"/>
        <w:gridCol w:w="2289"/>
        <w:gridCol w:w="2586"/>
        <w:gridCol w:w="2565"/>
      </w:tblGrid>
      <w:tr w:rsidR="00BD58F0" w14:paraId="4ADE79A3" w14:textId="77777777" w:rsidTr="00BD58F0">
        <w:tc>
          <w:tcPr>
            <w:tcW w:w="2187" w:type="dxa"/>
          </w:tcPr>
          <w:p w14:paraId="3BB8ABC1" w14:textId="7AB2FF9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Класс моделей</w:t>
            </w:r>
          </w:p>
        </w:tc>
        <w:tc>
          <w:tcPr>
            <w:tcW w:w="2289" w:type="dxa"/>
          </w:tcPr>
          <w:p w14:paraId="36A1CF39" w14:textId="23F51D9A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Основная идея</w:t>
            </w:r>
          </w:p>
        </w:tc>
        <w:tc>
          <w:tcPr>
            <w:tcW w:w="2586" w:type="dxa"/>
          </w:tcPr>
          <w:p w14:paraId="78979BD0" w14:textId="3A22B9DB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Сильные стороны</w:t>
            </w:r>
          </w:p>
        </w:tc>
        <w:tc>
          <w:tcPr>
            <w:tcW w:w="2565" w:type="dxa"/>
          </w:tcPr>
          <w:p w14:paraId="6B418028" w14:textId="027FD55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Основные ограничения</w:t>
            </w:r>
          </w:p>
        </w:tc>
      </w:tr>
      <w:tr w:rsidR="00BD58F0" w14:paraId="3DA86AC8" w14:textId="77777777" w:rsidTr="00BD58F0">
        <w:tc>
          <w:tcPr>
            <w:tcW w:w="2187" w:type="dxa"/>
          </w:tcPr>
          <w:p w14:paraId="53ED4CD6" w14:textId="34B633CB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Эмпирические</w:t>
            </w:r>
          </w:p>
        </w:tc>
        <w:tc>
          <w:tcPr>
            <w:tcW w:w="2289" w:type="dxa"/>
          </w:tcPr>
          <w:p w14:paraId="51A999CA" w14:textId="5B16B32F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Аппроксимация траектории деградации</w:t>
            </w:r>
          </w:p>
        </w:tc>
        <w:tc>
          <w:tcPr>
            <w:tcW w:w="2586" w:type="dxa"/>
          </w:tcPr>
          <w:p w14:paraId="727DB15F" w14:textId="2A2EC6D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Простота, малая вычислительная нагрузка</w:t>
            </w:r>
          </w:p>
        </w:tc>
        <w:tc>
          <w:tcPr>
            <w:tcW w:w="2565" w:type="dxa"/>
          </w:tcPr>
          <w:p w14:paraId="5B0A854B" w14:textId="0F7A23D4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Слабая переносимость между режимами</w:t>
            </w:r>
          </w:p>
        </w:tc>
      </w:tr>
      <w:tr w:rsidR="00BD58F0" w14:paraId="23C31E31" w14:textId="77777777" w:rsidTr="00BD58F0">
        <w:tc>
          <w:tcPr>
            <w:tcW w:w="2187" w:type="dxa"/>
          </w:tcPr>
          <w:p w14:paraId="01156103" w14:textId="062E6EFC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Физико химические</w:t>
            </w:r>
          </w:p>
        </w:tc>
        <w:tc>
          <w:tcPr>
            <w:tcW w:w="2289" w:type="dxa"/>
          </w:tcPr>
          <w:p w14:paraId="2C376836" w14:textId="53A3D4FA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Явное описание механизмов старения</w:t>
            </w:r>
          </w:p>
        </w:tc>
        <w:tc>
          <w:tcPr>
            <w:tcW w:w="2586" w:type="dxa"/>
          </w:tcPr>
          <w:p w14:paraId="64A5BB54" w14:textId="6BD8028F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Высокая интерпретируемость</w:t>
            </w:r>
          </w:p>
        </w:tc>
        <w:tc>
          <w:tcPr>
            <w:tcW w:w="2565" w:type="dxa"/>
          </w:tcPr>
          <w:p w14:paraId="45107772" w14:textId="2E4FAADC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Сложная параметризация, вычислительная тяжесть</w:t>
            </w:r>
          </w:p>
        </w:tc>
      </w:tr>
      <w:tr w:rsidR="00BD58F0" w:rsidRPr="00BD58F0" w14:paraId="7CF29B1C" w14:textId="77777777" w:rsidTr="00BD58F0">
        <w:tc>
          <w:tcPr>
            <w:tcW w:w="2187" w:type="dxa"/>
          </w:tcPr>
          <w:p w14:paraId="0F6A061C" w14:textId="45EF9DC5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Фильтрационные / observer</w:t>
            </w:r>
          </w:p>
        </w:tc>
        <w:tc>
          <w:tcPr>
            <w:tcW w:w="2289" w:type="dxa"/>
          </w:tcPr>
          <w:p w14:paraId="71791E82" w14:textId="42CBAD3E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Последовательная online оценка скрытых состояний</w:t>
            </w:r>
          </w:p>
        </w:tc>
        <w:tc>
          <w:tcPr>
            <w:tcW w:w="2586" w:type="dxa"/>
          </w:tcPr>
          <w:p w14:paraId="4E946639" w14:textId="0117DC8A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Хорошая совместимость с BMS</w:t>
            </w:r>
          </w:p>
        </w:tc>
        <w:tc>
          <w:tcPr>
            <w:tcW w:w="2565" w:type="dxa"/>
          </w:tcPr>
          <w:p w14:paraId="2E22826F" w14:textId="15948D6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Сильная зависимость от базовой модели</w:t>
            </w:r>
          </w:p>
        </w:tc>
      </w:tr>
      <w:tr w:rsidR="00BD58F0" w:rsidRPr="00BD58F0" w14:paraId="30EBE12A" w14:textId="77777777" w:rsidTr="00BD58F0">
        <w:tc>
          <w:tcPr>
            <w:tcW w:w="2187" w:type="dxa"/>
          </w:tcPr>
          <w:p w14:paraId="0235899F" w14:textId="060EDBAE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ML / DL</w:t>
            </w:r>
          </w:p>
        </w:tc>
        <w:tc>
          <w:tcPr>
            <w:tcW w:w="2289" w:type="dxa"/>
          </w:tcPr>
          <w:p w14:paraId="5AED4365" w14:textId="10BCC9B7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Обучение нелинейных зависимостей по данным</w:t>
            </w:r>
          </w:p>
        </w:tc>
        <w:tc>
          <w:tcPr>
            <w:tcW w:w="2586" w:type="dxa"/>
          </w:tcPr>
          <w:p w14:paraId="5B3F6118" w14:textId="42110D43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Высокая аппроксимационная гибкость</w:t>
            </w:r>
          </w:p>
        </w:tc>
        <w:tc>
          <w:tcPr>
            <w:tcW w:w="2565" w:type="dxa"/>
          </w:tcPr>
          <w:p w14:paraId="297CB9AD" w14:textId="33AD6E8D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Высокие требования к данным, ограниченная интерпретируемость</w:t>
            </w:r>
          </w:p>
        </w:tc>
      </w:tr>
      <w:tr w:rsidR="00BD58F0" w:rsidRPr="00BD58F0" w14:paraId="18E0B211" w14:textId="77777777" w:rsidTr="00BD58F0">
        <w:tc>
          <w:tcPr>
            <w:tcW w:w="2187" w:type="dxa"/>
          </w:tcPr>
          <w:p w14:paraId="6429CE64" w14:textId="4DA319C3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Гибридные</w:t>
            </w:r>
          </w:p>
        </w:tc>
        <w:tc>
          <w:tcPr>
            <w:tcW w:w="2289" w:type="dxa"/>
          </w:tcPr>
          <w:p w14:paraId="32DFACC5" w14:textId="19DE3A58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Сочетание физики и data driven блока</w:t>
            </w:r>
          </w:p>
        </w:tc>
        <w:tc>
          <w:tcPr>
            <w:tcW w:w="2586" w:type="dxa"/>
          </w:tcPr>
          <w:p w14:paraId="49F3BE42" w14:textId="0933E6A9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Баланс точности и интерпретируемости</w:t>
            </w:r>
          </w:p>
        </w:tc>
        <w:tc>
          <w:tcPr>
            <w:tcW w:w="2565" w:type="dxa"/>
          </w:tcPr>
          <w:p w14:paraId="26D6C8C3" w14:textId="79B9913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Сложность настройки и верификации</w:t>
            </w:r>
          </w:p>
        </w:tc>
      </w:tr>
      <w:tr w:rsidR="00BD58F0" w:rsidRPr="00BD58F0" w14:paraId="1790B33F" w14:textId="77777777" w:rsidTr="00BD58F0">
        <w:tc>
          <w:tcPr>
            <w:tcW w:w="2187" w:type="dxa"/>
          </w:tcPr>
          <w:p w14:paraId="15A045B8" w14:textId="3CDAF81F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Импедансные</w:t>
            </w:r>
          </w:p>
        </w:tc>
        <w:tc>
          <w:tcPr>
            <w:tcW w:w="2289" w:type="dxa"/>
          </w:tcPr>
          <w:p w14:paraId="409F5872" w14:textId="2D58AFC5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Использование EIS признаков как маркеров старения</w:t>
            </w:r>
          </w:p>
        </w:tc>
        <w:tc>
          <w:tcPr>
            <w:tcW w:w="2586" w:type="dxa"/>
          </w:tcPr>
          <w:p w14:paraId="3C10D486" w14:textId="401BEE50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Ранняя чувствительность к деградации, физическая содержательность</w:t>
            </w:r>
          </w:p>
        </w:tc>
        <w:tc>
          <w:tcPr>
            <w:tcW w:w="2565" w:type="dxa"/>
          </w:tcPr>
          <w:p w14:paraId="6CB5DA9D" w14:textId="4881974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Трудности быстрого измерения и online интерпретации</w:t>
            </w:r>
          </w:p>
        </w:tc>
      </w:tr>
    </w:tbl>
    <w:p w14:paraId="478C5079" w14:textId="77777777" w:rsidR="00B021FE" w:rsidRPr="00EC4694" w:rsidRDefault="00B021FE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761B74" w14:textId="5CF56F74" w:rsidR="00BD58F0" w:rsidRPr="00EC4694" w:rsidRDefault="00BD58F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8F0">
        <w:rPr>
          <w:rFonts w:ascii="Times New Roman" w:hAnsi="Times New Roman" w:cs="Times New Roman"/>
          <w:sz w:val="28"/>
          <w:szCs w:val="28"/>
        </w:rPr>
        <w:t xml:space="preserve">Для визуального сравнения классов моделей был выполнен многокритериальный анализ по показателям физической интерпретации, </w:t>
      </w:r>
      <w:r w:rsidRPr="00BD58F0">
        <w:rPr>
          <w:rFonts w:ascii="Times New Roman" w:hAnsi="Times New Roman" w:cs="Times New Roman"/>
          <w:sz w:val="28"/>
          <w:szCs w:val="28"/>
        </w:rPr>
        <w:lastRenderedPageBreak/>
        <w:t>онлайн-применимости, точности в сложных режимах, требованиям к данным и пригодности к ранней деградационной диагностике.</w:t>
      </w:r>
    </w:p>
    <w:p w14:paraId="4B521E5A" w14:textId="77777777" w:rsidR="00BD58F0" w:rsidRPr="00EC4694" w:rsidRDefault="00BD58F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273929" w14:textId="4A7FFE53" w:rsidR="00BD58F0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B327303" wp14:editId="58610AC1">
            <wp:extent cx="6119495" cy="3420110"/>
            <wp:effectExtent l="0" t="0" r="0" b="8890"/>
            <wp:docPr id="1739826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1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42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60B6E" w14:textId="7D332A31" w:rsidR="00DE3D9A" w:rsidRPr="00DE3D9A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D9A">
        <w:rPr>
          <w:rFonts w:ascii="Times New Roman" w:hAnsi="Times New Roman" w:cs="Times New Roman"/>
          <w:sz w:val="28"/>
          <w:szCs w:val="28"/>
        </w:rPr>
        <w:t>Рисунок 1.14 — Сравнение классов моделей прогнозирования остаточного ресурса</w:t>
      </w:r>
    </w:p>
    <w:p w14:paraId="0C7B3585" w14:textId="77777777" w:rsidR="00DE3D9A" w:rsidRPr="00EC4694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48DD5C" w14:textId="041B59C0" w:rsidR="00DE3D9A" w:rsidRPr="00EC4694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>На рисунке представлена сравнительная матрица шести классов моделей. Эмпирические модели выигрывают по простоте и онлайн применимости, но уступают по физической интерпретации и ранней чувствительности. Физические модели обладают максимальной интерпретируемостью, но проигрывают по вычислительной компактности. ML- и DL-подходы демонстрируют высокую гибкость, однако требуют больших массивов репрезентативных данных. Гибридные и импедансные подходы занимают промежуточное, но наиболее перспективное положение.</w:t>
      </w:r>
    </w:p>
    <w:p w14:paraId="60DE1191" w14:textId="50109C4B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систематизации исследовательского пространства задачи </w:t>
      </w:r>
      <w:r w:rsidRPr="00D07C8B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D07C8B">
        <w:rPr>
          <w:rFonts w:ascii="Times New Roman" w:hAnsi="Times New Roman" w:cs="Times New Roman"/>
          <w:sz w:val="28"/>
          <w:szCs w:val="28"/>
        </w:rPr>
        <w:t xml:space="preserve">. Практическая польза заключается в обосновании выбора дальнейшей диссертационной стратегии: не чисто эмпирической и не </w:t>
      </w:r>
      <w:r w:rsidRPr="00D07C8B">
        <w:rPr>
          <w:rFonts w:ascii="Times New Roman" w:hAnsi="Times New Roman" w:cs="Times New Roman"/>
          <w:sz w:val="28"/>
          <w:szCs w:val="28"/>
        </w:rPr>
        <w:lastRenderedPageBreak/>
        <w:t xml:space="preserve">чисто </w:t>
      </w:r>
      <w:r w:rsidRPr="00D07C8B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D07C8B">
        <w:rPr>
          <w:rFonts w:ascii="Times New Roman" w:hAnsi="Times New Roman" w:cs="Times New Roman"/>
          <w:sz w:val="28"/>
          <w:szCs w:val="28"/>
        </w:rPr>
        <w:t>, а физически мотивированной, с опорой на импедансные признаки и возможностью гибридной интерпретации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D6AB265" w14:textId="64314C3E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>Сопоставление реальной деградационной траектории с различными классами моделей показывает, что для сложной нелинейной траектории ресурсного старения линейные эмпирические аппроксимации быстро теряют точность, тогда как физически мотивированные и гибридные модели лучше воспроизводят переход к ускоренной стадии деградации.</w:t>
      </w:r>
    </w:p>
    <w:p w14:paraId="38B3990B" w14:textId="77777777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2F33D4" w14:textId="7C88B80A" w:rsidR="00D07C8B" w:rsidRDefault="00C23DEF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A075DB" wp14:editId="7F1E2CD2">
            <wp:extent cx="6119495" cy="3634105"/>
            <wp:effectExtent l="0" t="0" r="0" b="4445"/>
            <wp:docPr id="211296050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56E88" w14:textId="728C2AC3" w:rsidR="00C23DEF" w:rsidRDefault="00772E9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E97">
        <w:rPr>
          <w:rFonts w:ascii="Times New Roman" w:hAnsi="Times New Roman" w:cs="Times New Roman"/>
          <w:sz w:val="28"/>
          <w:szCs w:val="28"/>
        </w:rPr>
        <w:t>Рисунок 1.15 — Сопоставление экспериментальной деградации и модельных траекторий</w:t>
      </w:r>
    </w:p>
    <w:p w14:paraId="18AA5170" w14:textId="77777777" w:rsidR="00772E97" w:rsidRDefault="00772E9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1C0662" w14:textId="1C4F8B60" w:rsidR="00772E97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t>На рисунке показаны четыре траектории: экспериментальная кривая деградации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6565E1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6565E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6565E1">
        <w:rPr>
          <w:rFonts w:ascii="Times New Roman" w:hAnsi="Times New Roman" w:cs="Times New Roman"/>
          <w:sz w:val="28"/>
          <w:szCs w:val="28"/>
        </w:rPr>
        <w:t xml:space="preserve">, эмпирическая линейная модель, физическая модель и гибридная/импедансная модель. Хорошо видно, что линейная модель систематически переоценивает остаточный ресурс, поскольку не учитывает ускорение деградации на поздней стадии. Физическая модель значительно лучше </w:t>
      </w:r>
      <w:r w:rsidRPr="006565E1">
        <w:rPr>
          <w:rFonts w:ascii="Times New Roman" w:hAnsi="Times New Roman" w:cs="Times New Roman"/>
          <w:sz w:val="28"/>
          <w:szCs w:val="28"/>
        </w:rPr>
        <w:lastRenderedPageBreak/>
        <w:t>воспроизводит форму траектории, а гибридная/импедансная модель практически совпадает с экспериментальной кривой вблизи критического участка.</w:t>
      </w:r>
    </w:p>
    <w:p w14:paraId="5034D2CE" w14:textId="30D0EE25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том, что он демонстрирует принципиальную недостаточность линейных деградационных аппроксимаций для задач точного ресурсо-прогноза. Практическая ценность состоит в подтверждении целесообразности перехода к импедансно-ориентированной и гибридной структуре модели.</w:t>
      </w:r>
    </w:p>
    <w:p w14:paraId="1C72CDAD" w14:textId="519C9774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t xml:space="preserve">Для оценки относительной практической эффективности разных классов моделей на смешанном наборе тяговых и лабораторных сценариев была выполнена нормированная оценка средней ошибки прогноза 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6565E1">
        <w:rPr>
          <w:rFonts w:ascii="Times New Roman" w:hAnsi="Times New Roman" w:cs="Times New Roman"/>
          <w:sz w:val="28"/>
          <w:szCs w:val="28"/>
        </w:rPr>
        <w:t>.</w:t>
      </w:r>
    </w:p>
    <w:p w14:paraId="4DA4C717" w14:textId="77777777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2B0173" w14:textId="17C3F910" w:rsidR="006565E1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E4E79CD" wp14:editId="3473F6F2">
            <wp:extent cx="6119495" cy="3331210"/>
            <wp:effectExtent l="0" t="0" r="0" b="2540"/>
            <wp:docPr id="17974556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3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321D8" w14:textId="07D9D102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Рисунок 1.16 — Сравнительная точность классов моделей на смешанном испытательном наборе</w:t>
      </w:r>
    </w:p>
    <w:p w14:paraId="6A608A5A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C510A7" w14:textId="4663305D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 xml:space="preserve">На рисунке приведены усреднённые ошибки прогноза остаточного ресурса для различных классов моделей. Наибольшая ошибка наблюдается у эмпирических моделей, наименьшая — у импедансных и гибридных. Это не </w:t>
      </w:r>
      <w:r w:rsidRPr="00FE5D03">
        <w:rPr>
          <w:rFonts w:ascii="Times New Roman" w:hAnsi="Times New Roman" w:cs="Times New Roman"/>
          <w:sz w:val="28"/>
          <w:szCs w:val="28"/>
        </w:rPr>
        <w:lastRenderedPageBreak/>
        <w:t>означает безусловного превосходства последних во всех задачах, однако подтверждает их преимущество в ситуациях, где критично раннее распознавание деградации и корректное описание нелинейного изменения состояния батареи.</w:t>
      </w:r>
    </w:p>
    <w:p w14:paraId="2B3A1B63" w14:textId="29B8E19F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количественно связывает классы моделей с их ожидаемой прогностической эффективностью. Практическая ценность заключается в выборе рационального направления дальнейшей разработки: для тяговых аккумуляторных батарей наиболее перспективными являются модели, включающие физически интерпретируемые импедансные признаки.</w:t>
      </w:r>
    </w:p>
    <w:p w14:paraId="40CAC00F" w14:textId="496643F6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Таким образом, анализ существующих моделей прогнозирования остаточного ресурса показывает, что ни один класс методов не обеспечивает одновременно полной физической интерпретируемости, устойчивости к сложным нестационарным режимам, низкой вычислительной сложности и высокой чувствительности к ранним стадиям деградации. Эмпирические модели слишком грубы, физические — слишком сложны для прямого внедрения, чисто data-driven подходы слишком чувствительны к данным и слабо интерпретируемы. Наиболее перспективным направлением является импедансно-ориентированная и гибридная постановка, в которой физически содержательные спектральные признаки соединяются с прогностической моделью ресурса. Именно это направление и образует научную основу настоящей диссертационной работы.</w:t>
      </w:r>
    </w:p>
    <w:p w14:paraId="01BBCB4B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8A57DF" w14:textId="62A8AE95" w:rsidR="00FE5D03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4694">
        <w:rPr>
          <w:rFonts w:ascii="Times New Roman" w:hAnsi="Times New Roman" w:cs="Times New Roman"/>
          <w:b/>
          <w:bCs/>
          <w:sz w:val="28"/>
          <w:szCs w:val="28"/>
        </w:rPr>
        <w:t>1.6 Выявленные научные проблемы и постановка задач исследования</w:t>
      </w:r>
    </w:p>
    <w:p w14:paraId="35F538B7" w14:textId="77777777" w:rsidR="00EC4694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3EEA21" w14:textId="0B8F7E2D" w:rsidR="00EC4694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Проведённый анализ показал, что современные исследования аккумуляторных систем достигли высокого уровня в части описания отдельных механизмов деградации, разработки методов оценки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C4694">
        <w:rPr>
          <w:rFonts w:ascii="Times New Roman" w:hAnsi="Times New Roman" w:cs="Times New Roman"/>
          <w:sz w:val="28"/>
          <w:szCs w:val="28"/>
        </w:rPr>
        <w:t xml:space="preserve">,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EC4694">
        <w:rPr>
          <w:rFonts w:ascii="Times New Roman" w:hAnsi="Times New Roman" w:cs="Times New Roman"/>
          <w:sz w:val="28"/>
          <w:szCs w:val="28"/>
        </w:rPr>
        <w:t xml:space="preserve"> и построения частных моделей прогноза ресурса. Вместе с тем обзорные работы последних лет </w:t>
      </w:r>
      <w:r w:rsidRPr="00EC4694">
        <w:rPr>
          <w:rFonts w:ascii="Times New Roman" w:hAnsi="Times New Roman" w:cs="Times New Roman"/>
          <w:sz w:val="28"/>
          <w:szCs w:val="28"/>
        </w:rPr>
        <w:lastRenderedPageBreak/>
        <w:t xml:space="preserve">указывают, что наиболее интенсивно развиваются три направления: методы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EC4694">
        <w:rPr>
          <w:rFonts w:ascii="Times New Roman" w:hAnsi="Times New Roman" w:cs="Times New Roman"/>
          <w:sz w:val="28"/>
          <w:szCs w:val="28"/>
        </w:rPr>
        <w:t>/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EC469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оценки, </w:t>
      </w:r>
      <w:r w:rsidRPr="00EC4694">
        <w:rPr>
          <w:rFonts w:ascii="Times New Roman" w:hAnsi="Times New Roman" w:cs="Times New Roman"/>
          <w:sz w:val="28"/>
          <w:szCs w:val="28"/>
        </w:rPr>
        <w:t>гибридные модели и online/near-online алгоритмы, тогда как проблема объединения физически интерпретируемых диагностических признаков с инженерно реализуемым прогнозом ресурса остаётся открытой.</w:t>
      </w:r>
    </w:p>
    <w:p w14:paraId="6BB5B1D4" w14:textId="44B535B0" w:rsidR="00FE5D03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С методологической точки зрения современное научное поле разделено на три относительно самостоятельные области. Первая область связана с фундаментальными электрохимическими моделями, в которых состояние батареи описывается через кинетику зарядопереноса, диффузию, тепловые эффекты и межфазные реакции. Вторая область представлена лабораторной импедансной диагностикой, позволяющей получать спектральные признаки внутреннего состояния батареи. Третья область включает инженерные алгоритмы BMS, ориентированные на быстрые измерения напряжения, тока, температуры и ограниченного набора оценочных параметров. Современные обзоры по EIS для транспортных аккумуляторов прямо подчёркивают, что именно разрыв между глубокой диагностической информативностью EIS и требованиями </w:t>
      </w:r>
      <w:r w:rsidRPr="00EC4694">
        <w:rPr>
          <w:rFonts w:ascii="Times New Roman" w:hAnsi="Times New Roman" w:cs="Times New Roman"/>
          <w:sz w:val="28"/>
          <w:szCs w:val="28"/>
          <w:highlight w:val="yellow"/>
        </w:rPr>
        <w:t>onboard-реализации</w:t>
      </w:r>
      <w:r w:rsidRPr="00EC4694">
        <w:rPr>
          <w:rFonts w:ascii="Times New Roman" w:hAnsi="Times New Roman" w:cs="Times New Roman"/>
          <w:sz w:val="28"/>
          <w:szCs w:val="28"/>
        </w:rPr>
        <w:t xml:space="preserve"> остаётся одним из ключевых барьеров для промышленного внедрения метода.</w:t>
      </w:r>
    </w:p>
    <w:p w14:paraId="0F847EC3" w14:textId="68054F61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>Проблема особенно обостряется в условиях тяговой эксплуатации. В лабораторной постановке спектр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(ω)</w:t>
      </w:r>
      <w:r w:rsidRPr="00EC4694">
        <w:rPr>
          <w:rFonts w:ascii="Times New Roman" w:hAnsi="Times New Roman" w:cs="Times New Roman"/>
          <w:sz w:val="28"/>
          <w:szCs w:val="28"/>
        </w:rPr>
        <w:t xml:space="preserve"> обычно измеряется вблизи стационарной рабочей точки при малом гармоническом возмущении и фиксированной температуре. В электротранспортном приложении, напротив, батарея функционирует при переменном токе, меняющемся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C4694">
        <w:rPr>
          <w:rFonts w:ascii="Times New Roman" w:hAnsi="Times New Roman" w:cs="Times New Roman"/>
          <w:sz w:val="28"/>
          <w:szCs w:val="28"/>
        </w:rPr>
        <w:t xml:space="preserve">, переменной температуре и при наличии рекуперационных режимов. Современные исследования по </w:t>
      </w:r>
      <w:r w:rsidRPr="00EC4694">
        <w:rPr>
          <w:rFonts w:ascii="Times New Roman" w:hAnsi="Times New Roman" w:cs="Times New Roman"/>
          <w:sz w:val="28"/>
          <w:szCs w:val="28"/>
          <w:highlight w:val="yellow"/>
        </w:rPr>
        <w:t>dynamic EIS</w:t>
      </w:r>
      <w:r w:rsidRPr="00EC4694">
        <w:rPr>
          <w:rFonts w:ascii="Times New Roman" w:hAnsi="Times New Roman" w:cs="Times New Roman"/>
          <w:sz w:val="28"/>
          <w:szCs w:val="28"/>
        </w:rPr>
        <w:t xml:space="preserve"> показывают, что динамические спектры лучше отражают реальное состояние батареи при заряде и разряде, чем классические статические измерения, однако методически и аппаратно такая постановка остаётся существенно более сложной.</w:t>
      </w:r>
    </w:p>
    <w:p w14:paraId="3B140859" w14:textId="67F7AB94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В результате возникает принципиальное противоречие. С одной стороны, импедансная спектроскопия является одним из наиболее чувствительных </w:t>
      </w:r>
      <w:r w:rsidRPr="00EC4694">
        <w:rPr>
          <w:rFonts w:ascii="Times New Roman" w:hAnsi="Times New Roman" w:cs="Times New Roman"/>
          <w:sz w:val="28"/>
          <w:szCs w:val="28"/>
        </w:rPr>
        <w:lastRenderedPageBreak/>
        <w:t xml:space="preserve">инструментов ранней диагностики деградации. С другой стороны, существующие BMS-алгоритмы преимущественно опираются на интегральные и сравнительно грубые измеряемые величины. Ряд современных работ по раннему прогнозу ресурса уже показывает, что геометрические признаки спектра Найквиста и другие EIS-параметры могут использоваться для </w:t>
      </w:r>
      <w:r w:rsidRPr="00EC4694">
        <w:rPr>
          <w:rFonts w:ascii="Times New Roman" w:hAnsi="Times New Roman" w:cs="Times New Roman"/>
          <w:sz w:val="28"/>
          <w:szCs w:val="28"/>
          <w:highlight w:val="yellow"/>
        </w:rPr>
        <w:t>early-stage lifetime prediction</w:t>
      </w:r>
      <w:r w:rsidRPr="00EC4694">
        <w:rPr>
          <w:rFonts w:ascii="Times New Roman" w:hAnsi="Times New Roman" w:cs="Times New Roman"/>
          <w:sz w:val="28"/>
          <w:szCs w:val="28"/>
        </w:rPr>
        <w:t xml:space="preserve">, однако такие подходы чаще всего остаются либо лабораторными, либо </w:t>
      </w:r>
      <w:r w:rsidRPr="00EC4694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EC4694">
        <w:rPr>
          <w:rFonts w:ascii="Times New Roman" w:hAnsi="Times New Roman" w:cs="Times New Roman"/>
          <w:sz w:val="28"/>
          <w:szCs w:val="28"/>
        </w:rPr>
        <w:t>, либо ориентированными на одну химическую систему без формирования единой инженерной модели прогноза.</w:t>
      </w:r>
    </w:p>
    <w:p w14:paraId="39EC565C" w14:textId="1C057035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Для формализации выявленного исследовательского разрыва целесообразно представить существующее состояние проблемы в виде </w:t>
      </w:r>
      <w:r w:rsidR="008D2C3D" w:rsidRPr="008D2C3D">
        <w:rPr>
          <w:rFonts w:ascii="Times New Roman" w:hAnsi="Times New Roman" w:cs="Times New Roman"/>
          <w:sz w:val="28"/>
          <w:szCs w:val="28"/>
        </w:rPr>
        <w:t>структуры взаимосвязанных, но недостаточно интегрированных блоков: фундаментальных моделей, лабораторной диагностики и инженерных алгоритмов управления батареей.</w:t>
      </w:r>
    </w:p>
    <w:p w14:paraId="2BEECD6F" w14:textId="77777777" w:rsidR="008D2C3D" w:rsidRPr="00AC77B7" w:rsidRDefault="008D2C3D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00D557" w14:textId="78ECF6E7" w:rsidR="008D2C3D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12A255F" wp14:editId="6DE846D2">
            <wp:extent cx="6119495" cy="3311525"/>
            <wp:effectExtent l="0" t="0" r="0" b="3175"/>
            <wp:docPr id="87197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1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33E71" w14:textId="7C2473D9" w:rsidR="008B31A9" w:rsidRPr="00AC77B7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31A9">
        <w:rPr>
          <w:rFonts w:ascii="Times New Roman" w:hAnsi="Times New Roman" w:cs="Times New Roman"/>
          <w:sz w:val="28"/>
          <w:szCs w:val="28"/>
        </w:rPr>
        <w:t>Рисунок 1.17 — Структура научного разрыва в задаче диагностики и прогноза ресурса тяговых аккумуляторных батарей</w:t>
      </w:r>
    </w:p>
    <w:p w14:paraId="6850E203" w14:textId="77777777" w:rsidR="008B31A9" w:rsidRPr="00AC77B7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17CB8A" w14:textId="5AC75049" w:rsidR="008B31A9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показано, что фундаментальные электрохимические модели, лабораторная импедансная диагностика и инженерные алгоритмы BMS существуют как методически развитые, но не полностью объединённые уровни описания аккумуляторной системы. Для фундаментальных моделей характерна ориентация на стационарные условия и на подробное описание физики процесса. Для лабораторной EIS-диагностики — использование полного спектра и длительных измерений. Для BMS-уровня — работа с ограниченным набором быстро доступных величин. Научный разрыв возникает в точке, где требуется перейти от 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AE48BB">
        <w:rPr>
          <w:rFonts w:ascii="Times New Roman" w:hAnsi="Times New Roman" w:cs="Times New Roman"/>
          <w:i/>
          <w:iCs/>
          <w:sz w:val="28"/>
          <w:szCs w:val="28"/>
        </w:rPr>
        <w:t>(ω,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E48BB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AE48B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 оценке 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AE48BB">
        <w:rPr>
          <w:rFonts w:ascii="Times New Roman" w:hAnsi="Times New Roman" w:cs="Times New Roman"/>
          <w:sz w:val="28"/>
          <w:szCs w:val="28"/>
        </w:rPr>
        <w:t xml:space="preserve">, скорости деградации и прогнозу 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AE48BB">
        <w:rPr>
          <w:rFonts w:ascii="Times New Roman" w:hAnsi="Times New Roman" w:cs="Times New Roman"/>
          <w:sz w:val="28"/>
          <w:szCs w:val="28"/>
        </w:rPr>
        <w:t xml:space="preserve"> в нестационарных тяговых режимах.</w:t>
      </w:r>
    </w:p>
    <w:p w14:paraId="55138500" w14:textId="756117B9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локализует собственный предмет диссертационного исследования. Практическая польза рисунка заключается в том, что он задаёт архитектуру дальнейшего исследования: от построения физико-математической модели импеданса — к параметрической идентификации, далее к диагностике состояния и затем к ресурсо-прогнозу.</w:t>
      </w:r>
    </w:p>
    <w:p w14:paraId="41F12343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AD594D" w14:textId="05E2872E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E48BB">
        <w:rPr>
          <w:rFonts w:ascii="Times New Roman" w:hAnsi="Times New Roman" w:cs="Times New Roman"/>
          <w:b/>
          <w:bCs/>
          <w:sz w:val="28"/>
          <w:szCs w:val="28"/>
        </w:rPr>
        <w:t>1.6.1 Основные научные проблемы</w:t>
      </w:r>
    </w:p>
    <w:p w14:paraId="38D7F446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B61E2C" w14:textId="6A087475" w:rsidR="00AE48BB" w:rsidRPr="00AE48BB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>Первая научная проблема заключается в отсутствии единой модели, связывающей параметры комплексного импеданса с текущим техническим состоянием батареи в нестационарных условиях эксплуатации. Иначе говоря, в существующих работах обычно либо анализируется сам спектр, либо строится модель деградации, однако переход</w:t>
      </w:r>
    </w:p>
    <w:p w14:paraId="76A99768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39FB73" w14:textId="44A092A4" w:rsidR="00AE48BB" w:rsidRPr="00902FA4" w:rsidRDefault="00902FA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position w:val="-10"/>
          <w:sz w:val="28"/>
          <w:szCs w:val="28"/>
          <w:lang w:val="en-US"/>
        </w:rPr>
        <w:object w:dxaOrig="1820" w:dyaOrig="320" w14:anchorId="12F74532">
          <v:shape id="_x0000_i1083" type="#_x0000_t75" style="width:90.8pt;height:16.3pt" o:ole="">
            <v:imagedata r:id="rId143" o:title=""/>
          </v:shape>
          <o:OLEObject Type="Embed" ProgID="Equation.DSMT4" ShapeID="_x0000_i1083" DrawAspect="Content" ObjectID="_1841986646" r:id="rId144"/>
        </w:object>
      </w:r>
      <w:r w:rsidRPr="00902FA4">
        <w:rPr>
          <w:rFonts w:ascii="Times New Roman" w:hAnsi="Times New Roman" w:cs="Times New Roman"/>
          <w:sz w:val="28"/>
          <w:szCs w:val="28"/>
        </w:rPr>
        <w:t xml:space="preserve">, </w:t>
      </w:r>
      <w:r w:rsidRPr="00902FA4">
        <w:rPr>
          <w:rFonts w:ascii="Times New Roman" w:hAnsi="Times New Roman" w:cs="Times New Roman"/>
          <w:position w:val="-10"/>
          <w:sz w:val="28"/>
          <w:szCs w:val="28"/>
          <w:lang w:val="en-US"/>
        </w:rPr>
        <w:object w:dxaOrig="1780" w:dyaOrig="320" w14:anchorId="66534E5F">
          <v:shape id="_x0000_i1084" type="#_x0000_t75" style="width:88.9pt;height:16.3pt" o:ole="">
            <v:imagedata r:id="rId145" o:title=""/>
          </v:shape>
          <o:OLEObject Type="Embed" ProgID="Equation.DSMT4" ShapeID="_x0000_i1084" DrawAspect="Content" ObjectID="_1841986647" r:id="rId146"/>
        </w:object>
      </w:r>
    </w:p>
    <w:p w14:paraId="37681F3E" w14:textId="432FCD06" w:rsidR="00AE48BB" w:rsidRPr="00AC77B7" w:rsidRDefault="00902FA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sz w:val="28"/>
          <w:szCs w:val="28"/>
        </w:rPr>
        <w:t>не получает универсальной и достаточно строгой формализации.</w:t>
      </w:r>
    </w:p>
    <w:p w14:paraId="0C540363" w14:textId="191E10ED" w:rsidR="00902FA4" w:rsidRPr="00AC77B7" w:rsidRDefault="00902FA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sz w:val="28"/>
          <w:szCs w:val="28"/>
        </w:rPr>
        <w:lastRenderedPageBreak/>
        <w:t xml:space="preserve">Вторая научная проблема состоит в том, что большинство существующих моделей ресурса либо слабо интерпретируемы, либо ограниченно переносимы между режимами и химическими системами. Обзорные работы по </w:t>
      </w:r>
      <w:r w:rsidRPr="00902FA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902FA4">
        <w:rPr>
          <w:rFonts w:ascii="Times New Roman" w:hAnsi="Times New Roman" w:cs="Times New Roman"/>
          <w:sz w:val="28"/>
          <w:szCs w:val="28"/>
        </w:rPr>
        <w:t>/</w:t>
      </w:r>
      <w:r w:rsidRPr="00902FA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902FA4">
        <w:rPr>
          <w:rFonts w:ascii="Times New Roman" w:hAnsi="Times New Roman" w:cs="Times New Roman"/>
          <w:sz w:val="28"/>
          <w:szCs w:val="28"/>
        </w:rPr>
        <w:t xml:space="preserve">-моделированию последовательно разделяют методы на </w:t>
      </w:r>
      <w:r w:rsidRPr="00902FA4">
        <w:rPr>
          <w:rFonts w:ascii="Times New Roman" w:hAnsi="Times New Roman" w:cs="Times New Roman"/>
          <w:sz w:val="28"/>
          <w:szCs w:val="28"/>
          <w:highlight w:val="yellow"/>
        </w:rPr>
        <w:t>model-based, data-driven и hybrid approaches</w:t>
      </w:r>
      <w:r w:rsidRPr="00902FA4">
        <w:rPr>
          <w:rFonts w:ascii="Times New Roman" w:hAnsi="Times New Roman" w:cs="Times New Roman"/>
          <w:sz w:val="28"/>
          <w:szCs w:val="28"/>
        </w:rPr>
        <w:t>, причём именно гибридные подходы рассматриваются как наиболее перспективные, но и наиболее методически сложные в верификации.</w:t>
      </w:r>
    </w:p>
    <w:p w14:paraId="2397C7AD" w14:textId="272AEE81" w:rsidR="00902FA4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 xml:space="preserve">Третья научная проблема связана с ранней диагностикой деградации. Классическое определение конца ресурса по условию </w:t>
      </w:r>
      <w:r w:rsidRPr="0019272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92726">
        <w:rPr>
          <w:rFonts w:ascii="Times New Roman" w:hAnsi="Times New Roman" w:cs="Times New Roman"/>
          <w:sz w:val="28"/>
          <w:szCs w:val="28"/>
        </w:rPr>
        <w:t xml:space="preserve"> = 80% широко используется в литературе и инженерной практике, однако современные обзоры подчёркивают, что ресурсный отказ в реальной системе часто связан не только со снижением ёмкости, но и с </w:t>
      </w:r>
      <w:r w:rsidRPr="00192726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r w:rsidRPr="00192726">
        <w:rPr>
          <w:rFonts w:ascii="Times New Roman" w:hAnsi="Times New Roman" w:cs="Times New Roman"/>
          <w:sz w:val="28"/>
          <w:szCs w:val="28"/>
        </w:rPr>
        <w:t>, ростом импеданса и ухудшением теплового поведения батареи. Это означает, что одного ёмкостного индикатора недостаточно, а ресурсная модель должна включать внутренние электрические признаки состояния.</w:t>
      </w:r>
    </w:p>
    <w:p w14:paraId="3E2EE08F" w14:textId="59228C14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 xml:space="preserve">Четвёртая научная проблема заключается в ограниченной пригодности классической стационарной EIS-постановки для тяговых приложений. Современные работы по </w:t>
      </w:r>
      <w:r w:rsidRPr="00192726">
        <w:rPr>
          <w:rFonts w:ascii="Times New Roman" w:hAnsi="Times New Roman" w:cs="Times New Roman"/>
          <w:sz w:val="28"/>
          <w:szCs w:val="28"/>
          <w:highlight w:val="yellow"/>
        </w:rPr>
        <w:t>onboard-EIS и dynamic EIS</w:t>
      </w:r>
      <w:r w:rsidRPr="00192726">
        <w:rPr>
          <w:rFonts w:ascii="Times New Roman" w:hAnsi="Times New Roman" w:cs="Times New Roman"/>
          <w:sz w:val="28"/>
          <w:szCs w:val="28"/>
        </w:rPr>
        <w:t xml:space="preserve"> показывают, что аппаратная и алгоритмическая адаптация спектроскопии к реальным режимам эксплуатации остаётся сложной задачей, особенно в низкочастотной области и при быстро меняющемся токовом профиле.</w:t>
      </w:r>
    </w:p>
    <w:p w14:paraId="3BCF5B1E" w14:textId="0634AAE3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>Пятая научная проблема связана с необходимостью унификации подхода для различных электрохимических систем. Большинство существующих исследований выполняется либо для одной конкретной литий-ионной химии, либо для одной серии данных, тогда как тяговая практика требует сравнительного и обобщающего подхода по крайней мере для NMC, LFP, LTO и Na-ion батарей.</w:t>
      </w:r>
    </w:p>
    <w:p w14:paraId="59ED1068" w14:textId="77777777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572C3E" w14:textId="3D7936E4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>Таблица 1.7 – Выявленные научные проблемы и требуемые направления их решения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084EA8" w14:paraId="75A6942B" w14:textId="77777777" w:rsidTr="00084EA8">
        <w:tc>
          <w:tcPr>
            <w:tcW w:w="3209" w:type="dxa"/>
          </w:tcPr>
          <w:p w14:paraId="02AFE890" w14:textId="0153417D" w:rsid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Выявленная проблема</w:t>
            </w:r>
          </w:p>
        </w:tc>
        <w:tc>
          <w:tcPr>
            <w:tcW w:w="3209" w:type="dxa"/>
          </w:tcPr>
          <w:p w14:paraId="31799A48" w14:textId="05039DC5" w:rsid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Проявление в существующих исследованиях</w:t>
            </w:r>
          </w:p>
        </w:tc>
        <w:tc>
          <w:tcPr>
            <w:tcW w:w="3209" w:type="dxa"/>
          </w:tcPr>
          <w:p w14:paraId="212077F4" w14:textId="472ED1A8" w:rsid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Требуемое направление решения</w:t>
            </w:r>
          </w:p>
        </w:tc>
      </w:tr>
      <w:tr w:rsidR="00084EA8" w:rsidRPr="00084EA8" w14:paraId="21F9F8C5" w14:textId="77777777" w:rsidTr="00084EA8">
        <w:tc>
          <w:tcPr>
            <w:tcW w:w="3209" w:type="dxa"/>
          </w:tcPr>
          <w:p w14:paraId="128F2F3C" w14:textId="158C7E3C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Нет единой связи между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(ω,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t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)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SOH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RUL</w:t>
            </w:r>
          </w:p>
        </w:tc>
        <w:tc>
          <w:tcPr>
            <w:tcW w:w="3209" w:type="dxa"/>
          </w:tcPr>
          <w:p w14:paraId="1A13BCC8" w14:textId="48201A85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Диагностика и прогноз часто разобщены</w:t>
            </w:r>
          </w:p>
        </w:tc>
        <w:tc>
          <w:tcPr>
            <w:tcW w:w="3209" w:type="dxa"/>
          </w:tcPr>
          <w:p w14:paraId="023E100A" w14:textId="653A7068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Построение объединённой диагностико-прогностической модели</w:t>
            </w:r>
          </w:p>
        </w:tc>
      </w:tr>
      <w:tr w:rsidR="00084EA8" w:rsidRPr="00084EA8" w14:paraId="31EE0012" w14:textId="77777777" w:rsidTr="00084EA8">
        <w:tc>
          <w:tcPr>
            <w:tcW w:w="3209" w:type="dxa"/>
          </w:tcPr>
          <w:p w14:paraId="0DC96CB2" w14:textId="57A35C78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Ограниченная переносимость моделей между режимами</w:t>
            </w:r>
          </w:p>
        </w:tc>
        <w:tc>
          <w:tcPr>
            <w:tcW w:w="3209" w:type="dxa"/>
          </w:tcPr>
          <w:p w14:paraId="035BABF4" w14:textId="3D077977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Точность падает при изменении температуры, токового профиля и химии</w:t>
            </w:r>
          </w:p>
        </w:tc>
        <w:tc>
          <w:tcPr>
            <w:tcW w:w="3209" w:type="dxa"/>
          </w:tcPr>
          <w:p w14:paraId="6EE06776" w14:textId="2DE25B4C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Включение режимных и химически специфичных параметров</w:t>
            </w:r>
          </w:p>
        </w:tc>
      </w:tr>
      <w:tr w:rsidR="00084EA8" w:rsidRPr="00084EA8" w14:paraId="2F70E85A" w14:textId="77777777" w:rsidTr="00084EA8">
        <w:tc>
          <w:tcPr>
            <w:tcW w:w="3209" w:type="dxa"/>
          </w:tcPr>
          <w:p w14:paraId="12858317" w14:textId="4E18C5E2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Недостаточная ранняя чувствительность ёмкостных критериев</w:t>
            </w:r>
          </w:p>
        </w:tc>
        <w:tc>
          <w:tcPr>
            <w:tcW w:w="3209" w:type="dxa"/>
          </w:tcPr>
          <w:p w14:paraId="2702C6F3" w14:textId="703140F5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Рост импеданса начинается раньше выраженного capacity fade</w:t>
            </w:r>
          </w:p>
        </w:tc>
        <w:tc>
          <w:tcPr>
            <w:tcW w:w="3209" w:type="dxa"/>
          </w:tcPr>
          <w:p w14:paraId="30971798" w14:textId="1840D368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Использование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diff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как ресурсных признаков</w:t>
            </w:r>
          </w:p>
        </w:tc>
      </w:tr>
      <w:tr w:rsidR="00084EA8" w:rsidRPr="00084EA8" w14:paraId="731EDDE5" w14:textId="77777777" w:rsidTr="00084EA8">
        <w:tc>
          <w:tcPr>
            <w:tcW w:w="3209" w:type="dxa"/>
          </w:tcPr>
          <w:p w14:paraId="198E9F23" w14:textId="49701DD0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Сложность применения классической EIS в BMS</w:t>
            </w:r>
          </w:p>
        </w:tc>
        <w:tc>
          <w:tcPr>
            <w:tcW w:w="3209" w:type="dxa"/>
          </w:tcPr>
          <w:p w14:paraId="0F7BBE69" w14:textId="4EACC1BA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Полный спектр требует времени и специальных условий</w:t>
            </w:r>
          </w:p>
        </w:tc>
        <w:tc>
          <w:tcPr>
            <w:tcW w:w="3209" w:type="dxa"/>
          </w:tcPr>
          <w:p w14:paraId="19447A91" w14:textId="3FFA705F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Разработка редуцированного частотного протокола и быстрого алгоритма</w:t>
            </w:r>
          </w:p>
        </w:tc>
      </w:tr>
      <w:tr w:rsidR="00084EA8" w:rsidRPr="00084EA8" w14:paraId="71D35DEB" w14:textId="77777777" w:rsidTr="00084EA8">
        <w:tc>
          <w:tcPr>
            <w:tcW w:w="3209" w:type="dxa"/>
          </w:tcPr>
          <w:p w14:paraId="02339680" w14:textId="0C0082AD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Слабая унификация по химическим системам</w:t>
            </w:r>
          </w:p>
        </w:tc>
        <w:tc>
          <w:tcPr>
            <w:tcW w:w="3209" w:type="dxa"/>
          </w:tcPr>
          <w:p w14:paraId="10216D2B" w14:textId="19BB25F5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Большинство моделей валидировано на одной химии</w:t>
            </w:r>
          </w:p>
        </w:tc>
        <w:tc>
          <w:tcPr>
            <w:tcW w:w="3209" w:type="dxa"/>
          </w:tcPr>
          <w:p w14:paraId="6D65B4BB" w14:textId="2BFE1862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Формирование адаптивной, но общей структуры модели</w:t>
            </w:r>
          </w:p>
        </w:tc>
      </w:tr>
    </w:tbl>
    <w:p w14:paraId="6B1F2A57" w14:textId="77777777" w:rsidR="00192726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69A1C2" w14:textId="36C61A81" w:rsidR="006D6714" w:rsidRPr="00BE43FE" w:rsidRDefault="006D6714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6714">
        <w:rPr>
          <w:rFonts w:ascii="Times New Roman" w:hAnsi="Times New Roman" w:cs="Times New Roman"/>
          <w:sz w:val="28"/>
          <w:szCs w:val="28"/>
        </w:rPr>
        <w:t>Таблица показывает, что исследовательская задача не сводится к улучшению одного алгоритма аппроксимации. Требуется построение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6714">
        <w:rPr>
          <w:rFonts w:ascii="Times New Roman" w:hAnsi="Times New Roman" w:cs="Times New Roman"/>
          <w:sz w:val="28"/>
          <w:szCs w:val="28"/>
        </w:rPr>
        <w:t>целостной концепции, в которой физически интерпретируемые импедансные признаки используются как база для online- или nea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BE43FE" w:rsidRPr="00BE43FE">
        <w:rPr>
          <w:rFonts w:ascii="Times New Roman" w:hAnsi="Times New Roman" w:cs="Times New Roman"/>
          <w:sz w:val="28"/>
          <w:szCs w:val="28"/>
        </w:rPr>
        <w:t>-</w:t>
      </w:r>
      <w:r w:rsidR="00BE43FE">
        <w:rPr>
          <w:rFonts w:ascii="Times New Roman" w:hAnsi="Times New Roman" w:cs="Times New Roman"/>
          <w:sz w:val="28"/>
          <w:szCs w:val="28"/>
          <w:lang w:val="en-US"/>
        </w:rPr>
        <w:t>online</w:t>
      </w:r>
      <w:r w:rsidR="00BE43FE" w:rsidRPr="00BE43FE">
        <w:rPr>
          <w:rFonts w:ascii="Times New Roman" w:hAnsi="Times New Roman" w:cs="Times New Roman"/>
          <w:sz w:val="28"/>
          <w:szCs w:val="28"/>
        </w:rPr>
        <w:t>-диагностики и прогноза ресурса.</w:t>
      </w:r>
    </w:p>
    <w:p w14:paraId="6166B93B" w14:textId="77777777" w:rsidR="00BE43FE" w:rsidRPr="00AC77B7" w:rsidRDefault="00BE43FE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6C26BB" w14:textId="0E162704" w:rsidR="00BE43FE" w:rsidRP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40D1">
        <w:rPr>
          <w:rFonts w:ascii="Times New Roman" w:hAnsi="Times New Roman" w:cs="Times New Roman"/>
          <w:b/>
          <w:bCs/>
          <w:sz w:val="28"/>
          <w:szCs w:val="28"/>
        </w:rPr>
        <w:lastRenderedPageBreak/>
        <w:t>1.6.2 Формализация научной гипотезы в терминах главы 1</w:t>
      </w:r>
    </w:p>
    <w:p w14:paraId="68A89E0B" w14:textId="77777777" w:rsidR="00BE43FE" w:rsidRPr="00AC77B7" w:rsidRDefault="00BE43FE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B6600E" w14:textId="6BA5DD3D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По результатам выполненного анализа может быть сформулирована следующая научная гипотеза: параметры комплексного импеданса тяговой аккумуляторной батареи содержат достаточную информацию для восстановления текущего деградационного состояния и прогнозирования остаточного ресурса в условиях нестационарной эксплуатации, если модель учитывает температурные, нагрузочные и химически-специфичные особенности аккумуляторной системы.</w:t>
      </w:r>
    </w:p>
    <w:p w14:paraId="04117D5B" w14:textId="04A63D87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В математической форме это означает существование отображений</w:t>
      </w:r>
    </w:p>
    <w:p w14:paraId="6886FE39" w14:textId="77777777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925CDE" w14:textId="64BA7CB4" w:rsidR="004A40D1" w:rsidRP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760" w:dyaOrig="400" w14:anchorId="0D296E56">
          <v:shape id="_x0000_i1085" type="#_x0000_t75" style="width:188.45pt;height:19.4pt" o:ole="">
            <v:imagedata r:id="rId147" o:title=""/>
          </v:shape>
          <o:OLEObject Type="Embed" ProgID="Equation.DSMT4" ShapeID="_x0000_i1085" DrawAspect="Content" ObjectID="_1841986648" r:id="rId148"/>
        </w:objec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5C693E32" w14:textId="614EF748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2960" w:dyaOrig="680" w14:anchorId="2E2C4D19">
          <v:shape id="_x0000_i1086" type="#_x0000_t75" style="width:148.4pt;height:33.8pt" o:ole="">
            <v:imagedata r:id="rId149" o:title=""/>
          </v:shape>
          <o:OLEObject Type="Embed" ProgID="Equation.DSMT4" ShapeID="_x0000_i1086" DrawAspect="Content" ObjectID="_1841986649" r:id="rId150"/>
        </w:objec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1E02819" w14:textId="31114E0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Первая функция соответствует диагностическому уровню, вторая — прогностическому. Их совместное использование задаёт основу будущей диссертационной модели.</w:t>
      </w:r>
    </w:p>
    <w:p w14:paraId="26D4C90C" w14:textId="7777777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2EBB7B" w14:textId="1AC4A6B8" w:rsidR="004A40D1" w:rsidRP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7969">
        <w:rPr>
          <w:rFonts w:ascii="Times New Roman" w:hAnsi="Times New Roman" w:cs="Times New Roman"/>
          <w:b/>
          <w:bCs/>
          <w:sz w:val="28"/>
          <w:szCs w:val="28"/>
        </w:rPr>
        <w:t>1.6.3 Постановка задач исследования</w:t>
      </w:r>
    </w:p>
    <w:p w14:paraId="4FB1AF94" w14:textId="7777777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D9DB74" w14:textId="7F1A79D5" w:rsid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7969">
        <w:rPr>
          <w:rFonts w:ascii="Times New Roman" w:hAnsi="Times New Roman" w:cs="Times New Roman"/>
          <w:sz w:val="28"/>
          <w:szCs w:val="28"/>
        </w:rPr>
        <w:t>В рамках выявленного научного разрыва должны быть решены следующие задачи.</w:t>
      </w:r>
    </w:p>
    <w:p w14:paraId="7C2F4B11" w14:textId="30561B76" w:rsid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C77969">
        <w:rPr>
          <w:rFonts w:ascii="Times New Roman" w:hAnsi="Times New Roman" w:cs="Times New Roman"/>
          <w:sz w:val="28"/>
          <w:szCs w:val="28"/>
        </w:rPr>
        <w:t>Разработать физико-математическую модель комплексного импеданса тяговой аккумуляторной батареи, учитывающую омическую, зарядопереносную и диффузионную составляющие, а также влияние температуры, состояния заряда и химической системы.</w:t>
      </w:r>
    </w:p>
    <w:p w14:paraId="49E9F4E1" w14:textId="3CA30094" w:rsidR="00C77969" w:rsidRPr="00AC77B7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2. </w:t>
      </w:r>
      <w:r w:rsidRPr="00C77969">
        <w:rPr>
          <w:rFonts w:ascii="Times New Roman" w:hAnsi="Times New Roman" w:cs="Times New Roman"/>
          <w:sz w:val="28"/>
          <w:szCs w:val="28"/>
        </w:rPr>
        <w:t>Установить количественные зависимости между параметрами импедансной модели и показателями технического состояния батареи, прежде всего между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C7796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C77969">
        <w:rPr>
          <w:rFonts w:ascii="Times New Roman" w:hAnsi="Times New Roman" w:cs="Times New Roman"/>
          <w:sz w:val="28"/>
          <w:szCs w:val="28"/>
        </w:rPr>
        <w:t xml:space="preserve">,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C7796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C7796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77969">
        <w:rPr>
          <w:rFonts w:ascii="Times New Roman" w:hAnsi="Times New Roman" w:cs="Times New Roman"/>
          <w:sz w:val="28"/>
          <w:szCs w:val="28"/>
        </w:rPr>
        <w:t xml:space="preserve">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77969">
        <w:rPr>
          <w:rFonts w:ascii="Times New Roman" w:hAnsi="Times New Roman" w:cs="Times New Roman"/>
          <w:sz w:val="28"/>
          <w:szCs w:val="28"/>
        </w:rPr>
        <w:t>.</w:t>
      </w:r>
    </w:p>
    <w:p w14:paraId="1B16ABAD" w14:textId="1CF9B2A8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 w:rsidRPr="00C77969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C77969">
        <w:rPr>
          <w:rFonts w:ascii="Times New Roman" w:hAnsi="Times New Roman" w:cs="Times New Roman"/>
          <w:sz w:val="28"/>
          <w:szCs w:val="28"/>
        </w:rPr>
        <w:t>Построить модель деградационной динамики, связывающую скорость изменения импедансных параметров с режимом эксплуатации, температурой и типом аккумулятора.</w:t>
      </w:r>
    </w:p>
    <w:p w14:paraId="020A9D29" w14:textId="0E50C0EF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C77969">
        <w:rPr>
          <w:rFonts w:ascii="Times New Roman" w:hAnsi="Times New Roman" w:cs="Times New Roman"/>
          <w:sz w:val="28"/>
          <w:szCs w:val="28"/>
        </w:rPr>
        <w:t>Разработать метод прогнозирования остаточного ресурса по импедансным признакам, включая линейно-локальные и нелинейные формы прогностических уравнений.</w:t>
      </w:r>
    </w:p>
    <w:p w14:paraId="655254B6" w14:textId="69747A13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Pr="00C77969">
        <w:rPr>
          <w:rFonts w:ascii="Times New Roman" w:hAnsi="Times New Roman" w:cs="Times New Roman"/>
          <w:sz w:val="28"/>
          <w:szCs w:val="28"/>
        </w:rPr>
        <w:t>Сформировать сокращённый частотный протокол измерения, пригодный для экспресс-диагностики и последующей интеграции в контур BMS.</w:t>
      </w:r>
    </w:p>
    <w:p w14:paraId="423699AE" w14:textId="427E6A00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r w:rsidRPr="00C77969">
        <w:rPr>
          <w:rFonts w:ascii="Times New Roman" w:hAnsi="Times New Roman" w:cs="Times New Roman"/>
          <w:sz w:val="28"/>
          <w:szCs w:val="28"/>
        </w:rPr>
        <w:t>Провести экспериментальную верификацию разработанных положений на опытной серии NMC, LFP, LTO и Na-ion батарей.</w:t>
      </w:r>
    </w:p>
    <w:p w14:paraId="5BD0A86B" w14:textId="5C7BF6C9" w:rsidR="00C77969" w:rsidRDefault="008F35A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5AC">
        <w:rPr>
          <w:rFonts w:ascii="Times New Roman" w:hAnsi="Times New Roman" w:cs="Times New Roman"/>
          <w:sz w:val="28"/>
          <w:szCs w:val="28"/>
        </w:rPr>
        <w:t>Логика постановки задач исследования может быть представлена как последовательная цепочка перехода от измерения импеданса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35AC">
        <w:rPr>
          <w:rFonts w:ascii="Times New Roman" w:hAnsi="Times New Roman" w:cs="Times New Roman"/>
          <w:sz w:val="28"/>
          <w:szCs w:val="28"/>
        </w:rPr>
        <w:t>идентификации параметров, диагностике состояния, оценке скорости деградации и прогнозу остаточного ресурса.</w:t>
      </w:r>
    </w:p>
    <w:p w14:paraId="6673D038" w14:textId="77777777" w:rsidR="008F35AC" w:rsidRDefault="008F35A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127DFB" w14:textId="3452B42C" w:rsidR="008F35AC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76EE545" wp14:editId="12FB3FCC">
            <wp:extent cx="6119495" cy="2416810"/>
            <wp:effectExtent l="0" t="0" r="0" b="2540"/>
            <wp:docPr id="13471627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41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0B578" w14:textId="6ECE1B74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7D7B">
        <w:rPr>
          <w:rFonts w:ascii="Times New Roman" w:hAnsi="Times New Roman" w:cs="Times New Roman"/>
          <w:sz w:val="28"/>
          <w:szCs w:val="28"/>
        </w:rPr>
        <w:lastRenderedPageBreak/>
        <w:t>На рисунке показана последовательность этапов: измерение импеданса, идентификация параметров эквивалентной модели, оценка текущего состояния батареи, определение скорости деградации и, наконец, прогноз остаточного ресурса. Такая схема подчёркивает, 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87D7B">
        <w:rPr>
          <w:rFonts w:ascii="Times New Roman" w:hAnsi="Times New Roman" w:cs="Times New Roman"/>
          <w:sz w:val="28"/>
          <w:szCs w:val="28"/>
        </w:rPr>
        <w:t>ресурсный прогноз не является непосредственным следствием одного измерения, а представляет собой результат многоступенчатой физически интерпретируемой обработки.</w:t>
      </w:r>
    </w:p>
    <w:p w14:paraId="44E80082" w14:textId="7EF0C4FF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7D7B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формализует структуру диссертационного исследования как единую методологическую цепь. Практическая польза заключается в возможности переноса этой логики в архитектуру программно-аппаратной системы BMS или стендового диагностического комплекса.</w:t>
      </w:r>
    </w:p>
    <w:p w14:paraId="1B32AF8C" w14:textId="77777777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6F80A4" w14:textId="72B3DFB1" w:rsidR="00887D7B" w:rsidRPr="00C7366C" w:rsidRDefault="00C7366C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366C">
        <w:rPr>
          <w:rFonts w:ascii="Times New Roman" w:hAnsi="Times New Roman" w:cs="Times New Roman"/>
          <w:b/>
          <w:bCs/>
          <w:sz w:val="28"/>
          <w:szCs w:val="28"/>
        </w:rPr>
        <w:t>Выводы по главе 1</w:t>
      </w:r>
    </w:p>
    <w:p w14:paraId="48482689" w14:textId="77777777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BCD35A" w14:textId="616610D4" w:rsidR="00C7366C" w:rsidRPr="00FD5058" w:rsidRDefault="00C7366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366C">
        <w:rPr>
          <w:rFonts w:ascii="Times New Roman" w:hAnsi="Times New Roman" w:cs="Times New Roman"/>
          <w:sz w:val="28"/>
          <w:szCs w:val="28"/>
        </w:rPr>
        <w:t>В первой главе выполнен системный анализ тяговых аккумуляторных батарей как элементов электротехнического комплекса, рассмотрены механизмы деградации NMC, LFP, LTO и Na-ion систем, проанализированы показатели технического состояния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C7366C">
        <w:rPr>
          <w:rFonts w:ascii="Times New Roman" w:hAnsi="Times New Roman" w:cs="Times New Roman"/>
          <w:sz w:val="28"/>
          <w:szCs w:val="28"/>
        </w:rPr>
        <w:t xml:space="preserve">,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7366C">
        <w:rPr>
          <w:rFonts w:ascii="Times New Roman" w:hAnsi="Times New Roman" w:cs="Times New Roman"/>
          <w:sz w:val="28"/>
          <w:szCs w:val="28"/>
        </w:rPr>
        <w:t xml:space="preserve">,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C736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7366C">
        <w:rPr>
          <w:rFonts w:ascii="Times New Roman" w:hAnsi="Times New Roman" w:cs="Times New Roman"/>
          <w:sz w:val="28"/>
          <w:szCs w:val="28"/>
        </w:rPr>
        <w:t xml:space="preserve">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FD5058" w:rsidRPr="00FD5058">
        <w:rPr>
          <w:rFonts w:ascii="Times New Roman" w:hAnsi="Times New Roman" w:cs="Times New Roman"/>
          <w:sz w:val="28"/>
          <w:szCs w:val="28"/>
        </w:rPr>
        <w:t>, а также показаны диагностические возможности электрохимической импедансной спектроскопии. Установлено, что EIS обеспечивает физически интерпретируемый доступ к внутреннему состоянию батареи и обладает высокой чувствительностью к ранним стадиям деградации, тогда как существующие модели прогноза ресурса либо недостаточно интерпретируемы, либо недостаточно устойчивы в сложных режимах эксплуатации.</w:t>
      </w:r>
    </w:p>
    <w:p w14:paraId="269C2CA9" w14:textId="2C979BCD" w:rsidR="00C7366C" w:rsidRDefault="00FD5058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5058">
        <w:rPr>
          <w:rFonts w:ascii="Times New Roman" w:hAnsi="Times New Roman" w:cs="Times New Roman"/>
          <w:sz w:val="28"/>
          <w:szCs w:val="28"/>
        </w:rPr>
        <w:t xml:space="preserve">Основным результатом главы является выявление центрального научного разрыва: отсутствует единая математически строгая и инженерно реализуемая модель перехода от параметров комплексного импеданса тяговой аккумуляторной батареи к оценке её текущего технического состояния, скорости </w:t>
      </w:r>
      <w:r w:rsidRPr="00FD5058">
        <w:rPr>
          <w:rFonts w:ascii="Times New Roman" w:hAnsi="Times New Roman" w:cs="Times New Roman"/>
          <w:sz w:val="28"/>
          <w:szCs w:val="28"/>
        </w:rPr>
        <w:lastRenderedPageBreak/>
        <w:t>деградации и остаточного ресурса в нестационарных режимах эксплуатации. Это обстоятельство определяет направление дальнейшего исследования.</w:t>
      </w:r>
    </w:p>
    <w:p w14:paraId="5DA0CB3C" w14:textId="77777777" w:rsidR="00FD5058" w:rsidRPr="00FD5058" w:rsidRDefault="00FD5058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FD5058" w:rsidRPr="00FD5058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xeon_ssd" w:date="2026-05-31T12:35:00Z" w:initials="x">
    <w:p w14:paraId="09A762ED" w14:textId="646F4B8C" w:rsidR="00DB5B26" w:rsidRDefault="00DB5B26">
      <w:pPr>
        <w:pStyle w:val="ae"/>
      </w:pPr>
      <w:r>
        <w:rPr>
          <w:rStyle w:val="ad"/>
        </w:rPr>
        <w:annotationRef/>
      </w:r>
      <w:r>
        <w:t>Надо их где-то расшифровать</w:t>
      </w:r>
    </w:p>
  </w:comment>
  <w:comment w:id="1" w:author="xeon_ssd" w:date="2026-05-31T12:45:00Z" w:initials="x">
    <w:p w14:paraId="39C05803" w14:textId="239D2797" w:rsidR="005C3755" w:rsidRDefault="005C3755">
      <w:pPr>
        <w:pStyle w:val="ae"/>
      </w:pPr>
      <w:r>
        <w:rPr>
          <w:rStyle w:val="ad"/>
        </w:rPr>
        <w:annotationRef/>
      </w:r>
      <w:r>
        <w:t>Нарисовать покрасивее</w:t>
      </w:r>
    </w:p>
  </w:comment>
  <w:comment w:id="2" w:author="xeon_ssd" w:date="2026-05-31T12:52:00Z" w:initials="x">
    <w:p w14:paraId="6B83933A" w14:textId="1DE13026" w:rsidR="0060746B" w:rsidRDefault="0060746B">
      <w:pPr>
        <w:pStyle w:val="ae"/>
      </w:pPr>
      <w:r>
        <w:rPr>
          <w:rStyle w:val="ad"/>
        </w:rPr>
        <w:annotationRef/>
      </w:r>
      <w:r>
        <w:t>Наверное нужно вставить график по реальным данным</w:t>
      </w:r>
    </w:p>
  </w:comment>
  <w:comment w:id="3" w:author="xeon_ssd" w:date="2026-05-31T14:34:00Z" w:initials="x">
    <w:p w14:paraId="2DE87458" w14:textId="7865C7AF" w:rsidR="00BB19A8" w:rsidRDefault="00BB19A8">
      <w:pPr>
        <w:pStyle w:val="ae"/>
      </w:pPr>
      <w:r>
        <w:rPr>
          <w:rStyle w:val="ad"/>
        </w:rPr>
        <w:annotationRef/>
      </w:r>
      <w:r w:rsidRPr="00BB19A8">
        <w:t>интеркаляции — процессе, при котором ионы лития внедряются в атомную структуру материалов, не разрушая её</w:t>
      </w:r>
    </w:p>
  </w:comment>
  <w:comment w:id="4" w:author="Admini" w:date="2026-06-03T09:46:00Z" w:initials="A">
    <w:p w14:paraId="49D7DC3F" w14:textId="73687728" w:rsidR="000B5788" w:rsidRDefault="000B5788">
      <w:pPr>
        <w:pStyle w:val="ae"/>
      </w:pPr>
      <w:r>
        <w:rPr>
          <w:rStyle w:val="ad"/>
        </w:rPr>
        <w:annotationRef/>
      </w:r>
      <w:r>
        <w:t>стоит перефразировать? «системой с высоким ресурсом»</w:t>
      </w:r>
    </w:p>
  </w:comment>
  <w:comment w:id="5" w:author="Admini" w:date="2026-06-03T09:48:00Z" w:initials="A">
    <w:p w14:paraId="09B02F52" w14:textId="3778A415" w:rsidR="000B5788" w:rsidRDefault="000B5788">
      <w:pPr>
        <w:pStyle w:val="ae"/>
      </w:pPr>
      <w:r>
        <w:rPr>
          <w:rStyle w:val="ad"/>
        </w:rPr>
        <w:annotationRef/>
      </w:r>
      <w:r>
        <w:t>надо расписать подробнее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9A762ED" w15:done="0"/>
  <w15:commentEx w15:paraId="39C05803" w15:done="0"/>
  <w15:commentEx w15:paraId="6B83933A" w15:done="0"/>
  <w15:commentEx w15:paraId="2DE87458" w15:done="0"/>
  <w15:commentEx w15:paraId="49D7DC3F" w15:done="0"/>
  <w15:commentEx w15:paraId="09B02F5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EAF4519" w16cex:dateUtc="2026-05-31T05:35:00Z"/>
  <w16cex:commentExtensible w16cex:durableId="6705CF9A" w16cex:dateUtc="2026-05-31T05:45:00Z"/>
  <w16cex:commentExtensible w16cex:durableId="076C328A" w16cex:dateUtc="2026-05-31T05:52:00Z"/>
  <w16cex:commentExtensible w16cex:durableId="59BB083E" w16cex:dateUtc="2026-05-31T07:34:00Z"/>
  <w16cex:commentExtensible w16cex:durableId="7B701174" w16cex:dateUtc="2026-06-03T02:46:00Z"/>
  <w16cex:commentExtensible w16cex:durableId="568099FF" w16cex:dateUtc="2026-06-03T02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9A762ED" w16cid:durableId="0EAF4519"/>
  <w16cid:commentId w16cid:paraId="39C05803" w16cid:durableId="6705CF9A"/>
  <w16cid:commentId w16cid:paraId="6B83933A" w16cid:durableId="076C328A"/>
  <w16cid:commentId w16cid:paraId="2DE87458" w16cid:durableId="59BB083E"/>
  <w16cid:commentId w16cid:paraId="49D7DC3F" w16cid:durableId="7B701174"/>
  <w16cid:commentId w16cid:paraId="09B02F52" w16cid:durableId="568099F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xeon_ssd">
    <w15:presenceInfo w15:providerId="None" w15:userId="xeon_ssd"/>
  </w15:person>
  <w15:person w15:author="Admini">
    <w15:presenceInfo w15:providerId="None" w15:userId="Admini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453A"/>
    <w:rsid w:val="00021643"/>
    <w:rsid w:val="00026C0E"/>
    <w:rsid w:val="00031DF2"/>
    <w:rsid w:val="000325D8"/>
    <w:rsid w:val="00034171"/>
    <w:rsid w:val="000347E1"/>
    <w:rsid w:val="00061A05"/>
    <w:rsid w:val="0006550F"/>
    <w:rsid w:val="0007376D"/>
    <w:rsid w:val="000737B2"/>
    <w:rsid w:val="00074F0F"/>
    <w:rsid w:val="0008035D"/>
    <w:rsid w:val="000827A2"/>
    <w:rsid w:val="00084189"/>
    <w:rsid w:val="00084EA8"/>
    <w:rsid w:val="00090672"/>
    <w:rsid w:val="00093D8D"/>
    <w:rsid w:val="00094526"/>
    <w:rsid w:val="000A004B"/>
    <w:rsid w:val="000A06AE"/>
    <w:rsid w:val="000A5140"/>
    <w:rsid w:val="000A5FBD"/>
    <w:rsid w:val="000B5788"/>
    <w:rsid w:val="000B7EAC"/>
    <w:rsid w:val="000C45A7"/>
    <w:rsid w:val="000D1017"/>
    <w:rsid w:val="000D55DB"/>
    <w:rsid w:val="000E1575"/>
    <w:rsid w:val="000E50F5"/>
    <w:rsid w:val="000E7EAE"/>
    <w:rsid w:val="000F5501"/>
    <w:rsid w:val="001002CD"/>
    <w:rsid w:val="001016FF"/>
    <w:rsid w:val="00110782"/>
    <w:rsid w:val="00110D50"/>
    <w:rsid w:val="00112725"/>
    <w:rsid w:val="00112792"/>
    <w:rsid w:val="00116F2B"/>
    <w:rsid w:val="00123A52"/>
    <w:rsid w:val="001250BE"/>
    <w:rsid w:val="00126604"/>
    <w:rsid w:val="00126864"/>
    <w:rsid w:val="001304D0"/>
    <w:rsid w:val="00131CCA"/>
    <w:rsid w:val="00140008"/>
    <w:rsid w:val="00141ED6"/>
    <w:rsid w:val="00147027"/>
    <w:rsid w:val="00147162"/>
    <w:rsid w:val="00156A70"/>
    <w:rsid w:val="00156EC4"/>
    <w:rsid w:val="001602D9"/>
    <w:rsid w:val="001614F9"/>
    <w:rsid w:val="00162B8E"/>
    <w:rsid w:val="001759E4"/>
    <w:rsid w:val="00192726"/>
    <w:rsid w:val="00193DC0"/>
    <w:rsid w:val="001A0B8F"/>
    <w:rsid w:val="001A49AA"/>
    <w:rsid w:val="001B3024"/>
    <w:rsid w:val="001B7A97"/>
    <w:rsid w:val="001D7450"/>
    <w:rsid w:val="001F0927"/>
    <w:rsid w:val="00204A17"/>
    <w:rsid w:val="0020557F"/>
    <w:rsid w:val="00206663"/>
    <w:rsid w:val="00206F49"/>
    <w:rsid w:val="00210611"/>
    <w:rsid w:val="002139A3"/>
    <w:rsid w:val="00216404"/>
    <w:rsid w:val="0021675A"/>
    <w:rsid w:val="00222920"/>
    <w:rsid w:val="00223448"/>
    <w:rsid w:val="00234A24"/>
    <w:rsid w:val="002358CD"/>
    <w:rsid w:val="00242C76"/>
    <w:rsid w:val="00245DDD"/>
    <w:rsid w:val="00250E7D"/>
    <w:rsid w:val="002616AB"/>
    <w:rsid w:val="002638C1"/>
    <w:rsid w:val="00264837"/>
    <w:rsid w:val="00277B04"/>
    <w:rsid w:val="00283988"/>
    <w:rsid w:val="0028792F"/>
    <w:rsid w:val="002A4021"/>
    <w:rsid w:val="002A4899"/>
    <w:rsid w:val="002A4D23"/>
    <w:rsid w:val="002A4FF1"/>
    <w:rsid w:val="002A657A"/>
    <w:rsid w:val="002B1D51"/>
    <w:rsid w:val="002B1F3B"/>
    <w:rsid w:val="002B439F"/>
    <w:rsid w:val="002B5968"/>
    <w:rsid w:val="002C18E0"/>
    <w:rsid w:val="002C7B6C"/>
    <w:rsid w:val="002D41D3"/>
    <w:rsid w:val="002D4A79"/>
    <w:rsid w:val="002D5799"/>
    <w:rsid w:val="002E5720"/>
    <w:rsid w:val="002F0ECC"/>
    <w:rsid w:val="002F2C01"/>
    <w:rsid w:val="003070C4"/>
    <w:rsid w:val="00320211"/>
    <w:rsid w:val="00322F87"/>
    <w:rsid w:val="00325E07"/>
    <w:rsid w:val="00331993"/>
    <w:rsid w:val="00340B36"/>
    <w:rsid w:val="00341ACE"/>
    <w:rsid w:val="003451A7"/>
    <w:rsid w:val="00351285"/>
    <w:rsid w:val="00352611"/>
    <w:rsid w:val="00355915"/>
    <w:rsid w:val="00356165"/>
    <w:rsid w:val="00356877"/>
    <w:rsid w:val="00357E99"/>
    <w:rsid w:val="00361815"/>
    <w:rsid w:val="00363772"/>
    <w:rsid w:val="00371DD5"/>
    <w:rsid w:val="00376127"/>
    <w:rsid w:val="00381AA1"/>
    <w:rsid w:val="003843D7"/>
    <w:rsid w:val="00384BE1"/>
    <w:rsid w:val="00390659"/>
    <w:rsid w:val="003906B2"/>
    <w:rsid w:val="00393D50"/>
    <w:rsid w:val="00394B22"/>
    <w:rsid w:val="00394F03"/>
    <w:rsid w:val="00395A91"/>
    <w:rsid w:val="003A5AEA"/>
    <w:rsid w:val="003A646E"/>
    <w:rsid w:val="003A7725"/>
    <w:rsid w:val="003B6EAE"/>
    <w:rsid w:val="003B7B25"/>
    <w:rsid w:val="003C4AE3"/>
    <w:rsid w:val="003D3875"/>
    <w:rsid w:val="003D52DF"/>
    <w:rsid w:val="003E2E09"/>
    <w:rsid w:val="003E7F28"/>
    <w:rsid w:val="003E7F8F"/>
    <w:rsid w:val="003F74CD"/>
    <w:rsid w:val="004015C2"/>
    <w:rsid w:val="00411245"/>
    <w:rsid w:val="00414374"/>
    <w:rsid w:val="00415E90"/>
    <w:rsid w:val="00416FD2"/>
    <w:rsid w:val="00417535"/>
    <w:rsid w:val="00420211"/>
    <w:rsid w:val="00423027"/>
    <w:rsid w:val="00426939"/>
    <w:rsid w:val="00435449"/>
    <w:rsid w:val="00443C43"/>
    <w:rsid w:val="00445407"/>
    <w:rsid w:val="0044617A"/>
    <w:rsid w:val="00453D55"/>
    <w:rsid w:val="004541DF"/>
    <w:rsid w:val="00462264"/>
    <w:rsid w:val="00473BD3"/>
    <w:rsid w:val="00474A30"/>
    <w:rsid w:val="00475DF7"/>
    <w:rsid w:val="0048460B"/>
    <w:rsid w:val="00486F2C"/>
    <w:rsid w:val="004A40D1"/>
    <w:rsid w:val="004A5C3A"/>
    <w:rsid w:val="004B2EDB"/>
    <w:rsid w:val="004B5BBF"/>
    <w:rsid w:val="004B68AE"/>
    <w:rsid w:val="004C5D10"/>
    <w:rsid w:val="004D0025"/>
    <w:rsid w:val="004D0B2B"/>
    <w:rsid w:val="004D7061"/>
    <w:rsid w:val="004E108D"/>
    <w:rsid w:val="004E73D4"/>
    <w:rsid w:val="005004FB"/>
    <w:rsid w:val="005047D2"/>
    <w:rsid w:val="00505539"/>
    <w:rsid w:val="0050687E"/>
    <w:rsid w:val="00507266"/>
    <w:rsid w:val="00507907"/>
    <w:rsid w:val="0051321D"/>
    <w:rsid w:val="00515AA3"/>
    <w:rsid w:val="00516B33"/>
    <w:rsid w:val="00520843"/>
    <w:rsid w:val="00522B5B"/>
    <w:rsid w:val="0052440C"/>
    <w:rsid w:val="00537684"/>
    <w:rsid w:val="00541074"/>
    <w:rsid w:val="00552AA7"/>
    <w:rsid w:val="00561EB4"/>
    <w:rsid w:val="0056443E"/>
    <w:rsid w:val="0056469F"/>
    <w:rsid w:val="00573537"/>
    <w:rsid w:val="00574A9B"/>
    <w:rsid w:val="0057524C"/>
    <w:rsid w:val="005763C3"/>
    <w:rsid w:val="00581049"/>
    <w:rsid w:val="00581551"/>
    <w:rsid w:val="005815A9"/>
    <w:rsid w:val="00592D1B"/>
    <w:rsid w:val="00593C57"/>
    <w:rsid w:val="00596BA8"/>
    <w:rsid w:val="005B6EA7"/>
    <w:rsid w:val="005B7233"/>
    <w:rsid w:val="005C227D"/>
    <w:rsid w:val="005C3755"/>
    <w:rsid w:val="005C5B7F"/>
    <w:rsid w:val="005D1729"/>
    <w:rsid w:val="005D32F1"/>
    <w:rsid w:val="005D61EC"/>
    <w:rsid w:val="005E51FC"/>
    <w:rsid w:val="005F331D"/>
    <w:rsid w:val="00604DBC"/>
    <w:rsid w:val="00607463"/>
    <w:rsid w:val="0060746B"/>
    <w:rsid w:val="006159CC"/>
    <w:rsid w:val="00615E2B"/>
    <w:rsid w:val="00621FAF"/>
    <w:rsid w:val="00622012"/>
    <w:rsid w:val="00623599"/>
    <w:rsid w:val="006241C1"/>
    <w:rsid w:val="00624857"/>
    <w:rsid w:val="006270BF"/>
    <w:rsid w:val="0062724D"/>
    <w:rsid w:val="006317CF"/>
    <w:rsid w:val="00651AA9"/>
    <w:rsid w:val="00651F8E"/>
    <w:rsid w:val="00654960"/>
    <w:rsid w:val="006565E1"/>
    <w:rsid w:val="00664B88"/>
    <w:rsid w:val="00665B75"/>
    <w:rsid w:val="006721FE"/>
    <w:rsid w:val="006765D7"/>
    <w:rsid w:val="006769B4"/>
    <w:rsid w:val="00681A90"/>
    <w:rsid w:val="00681EE6"/>
    <w:rsid w:val="0068274B"/>
    <w:rsid w:val="00683D88"/>
    <w:rsid w:val="00684B83"/>
    <w:rsid w:val="00690F2A"/>
    <w:rsid w:val="006A24C3"/>
    <w:rsid w:val="006A79FB"/>
    <w:rsid w:val="006B4872"/>
    <w:rsid w:val="006B6106"/>
    <w:rsid w:val="006C7EA1"/>
    <w:rsid w:val="006D51C4"/>
    <w:rsid w:val="006D5D13"/>
    <w:rsid w:val="006D6714"/>
    <w:rsid w:val="006D6B85"/>
    <w:rsid w:val="006E30D1"/>
    <w:rsid w:val="006E4AB9"/>
    <w:rsid w:val="006F49B8"/>
    <w:rsid w:val="006F610E"/>
    <w:rsid w:val="00700901"/>
    <w:rsid w:val="007066E1"/>
    <w:rsid w:val="00707496"/>
    <w:rsid w:val="007111AC"/>
    <w:rsid w:val="007147D4"/>
    <w:rsid w:val="00714ABB"/>
    <w:rsid w:val="007154BD"/>
    <w:rsid w:val="00716E16"/>
    <w:rsid w:val="0072389C"/>
    <w:rsid w:val="0072749C"/>
    <w:rsid w:val="0073293F"/>
    <w:rsid w:val="00741AF1"/>
    <w:rsid w:val="007431E4"/>
    <w:rsid w:val="00760A0D"/>
    <w:rsid w:val="007649B5"/>
    <w:rsid w:val="007649EA"/>
    <w:rsid w:val="00764CBB"/>
    <w:rsid w:val="00770FC8"/>
    <w:rsid w:val="00772E97"/>
    <w:rsid w:val="007736E6"/>
    <w:rsid w:val="0078052A"/>
    <w:rsid w:val="007846DD"/>
    <w:rsid w:val="00795D96"/>
    <w:rsid w:val="00796AA0"/>
    <w:rsid w:val="007A1B5F"/>
    <w:rsid w:val="007A32DC"/>
    <w:rsid w:val="007A4BA2"/>
    <w:rsid w:val="007A5477"/>
    <w:rsid w:val="007B2450"/>
    <w:rsid w:val="007B4924"/>
    <w:rsid w:val="007B61E6"/>
    <w:rsid w:val="007C2566"/>
    <w:rsid w:val="007C7DAD"/>
    <w:rsid w:val="007D3272"/>
    <w:rsid w:val="007D40EA"/>
    <w:rsid w:val="007E1114"/>
    <w:rsid w:val="007F76A4"/>
    <w:rsid w:val="00801898"/>
    <w:rsid w:val="00805DD6"/>
    <w:rsid w:val="0080637A"/>
    <w:rsid w:val="00810421"/>
    <w:rsid w:val="00824D26"/>
    <w:rsid w:val="0082599F"/>
    <w:rsid w:val="008262A5"/>
    <w:rsid w:val="00832752"/>
    <w:rsid w:val="008353D2"/>
    <w:rsid w:val="0083645B"/>
    <w:rsid w:val="0084020D"/>
    <w:rsid w:val="00841146"/>
    <w:rsid w:val="00845853"/>
    <w:rsid w:val="00854645"/>
    <w:rsid w:val="00855B00"/>
    <w:rsid w:val="00863A31"/>
    <w:rsid w:val="00865BBC"/>
    <w:rsid w:val="00866F39"/>
    <w:rsid w:val="008733DF"/>
    <w:rsid w:val="0087345C"/>
    <w:rsid w:val="0087489C"/>
    <w:rsid w:val="008776EE"/>
    <w:rsid w:val="008815CB"/>
    <w:rsid w:val="00883ADC"/>
    <w:rsid w:val="00885745"/>
    <w:rsid w:val="00885A97"/>
    <w:rsid w:val="00887D7B"/>
    <w:rsid w:val="00892BEC"/>
    <w:rsid w:val="00895C07"/>
    <w:rsid w:val="008A0B55"/>
    <w:rsid w:val="008A210B"/>
    <w:rsid w:val="008A782A"/>
    <w:rsid w:val="008B2348"/>
    <w:rsid w:val="008B31A9"/>
    <w:rsid w:val="008B66C9"/>
    <w:rsid w:val="008B7B9A"/>
    <w:rsid w:val="008C247C"/>
    <w:rsid w:val="008C2C58"/>
    <w:rsid w:val="008C2FE2"/>
    <w:rsid w:val="008C72D1"/>
    <w:rsid w:val="008D2C3D"/>
    <w:rsid w:val="008D4C53"/>
    <w:rsid w:val="008E3C59"/>
    <w:rsid w:val="008E4359"/>
    <w:rsid w:val="008E4984"/>
    <w:rsid w:val="008E688D"/>
    <w:rsid w:val="008F35AC"/>
    <w:rsid w:val="008F3639"/>
    <w:rsid w:val="008F643C"/>
    <w:rsid w:val="00901DBF"/>
    <w:rsid w:val="00902FA4"/>
    <w:rsid w:val="00903768"/>
    <w:rsid w:val="00904F4D"/>
    <w:rsid w:val="00905695"/>
    <w:rsid w:val="00910019"/>
    <w:rsid w:val="00914F21"/>
    <w:rsid w:val="00927FAB"/>
    <w:rsid w:val="00930775"/>
    <w:rsid w:val="00931203"/>
    <w:rsid w:val="00932DD5"/>
    <w:rsid w:val="00943D79"/>
    <w:rsid w:val="00944667"/>
    <w:rsid w:val="00947272"/>
    <w:rsid w:val="00947DDC"/>
    <w:rsid w:val="00951116"/>
    <w:rsid w:val="00956A45"/>
    <w:rsid w:val="00960CFC"/>
    <w:rsid w:val="00962AB9"/>
    <w:rsid w:val="009726DE"/>
    <w:rsid w:val="00972CF7"/>
    <w:rsid w:val="009761FB"/>
    <w:rsid w:val="00980327"/>
    <w:rsid w:val="009862F4"/>
    <w:rsid w:val="00987B84"/>
    <w:rsid w:val="00993ACA"/>
    <w:rsid w:val="00995500"/>
    <w:rsid w:val="00996796"/>
    <w:rsid w:val="009A0BF5"/>
    <w:rsid w:val="009B5CC0"/>
    <w:rsid w:val="009C73A4"/>
    <w:rsid w:val="009D7C13"/>
    <w:rsid w:val="009E2D0F"/>
    <w:rsid w:val="00A01B55"/>
    <w:rsid w:val="00A05515"/>
    <w:rsid w:val="00A07748"/>
    <w:rsid w:val="00A1102D"/>
    <w:rsid w:val="00A15C66"/>
    <w:rsid w:val="00A17CD1"/>
    <w:rsid w:val="00A26AE9"/>
    <w:rsid w:val="00A26B7B"/>
    <w:rsid w:val="00A3109E"/>
    <w:rsid w:val="00A3636C"/>
    <w:rsid w:val="00A37019"/>
    <w:rsid w:val="00A41681"/>
    <w:rsid w:val="00A51AB9"/>
    <w:rsid w:val="00A573A9"/>
    <w:rsid w:val="00A64406"/>
    <w:rsid w:val="00A678C9"/>
    <w:rsid w:val="00A719C0"/>
    <w:rsid w:val="00A73453"/>
    <w:rsid w:val="00A76EA8"/>
    <w:rsid w:val="00A7709D"/>
    <w:rsid w:val="00A805C0"/>
    <w:rsid w:val="00A83450"/>
    <w:rsid w:val="00A83912"/>
    <w:rsid w:val="00A83D65"/>
    <w:rsid w:val="00A84028"/>
    <w:rsid w:val="00A849C1"/>
    <w:rsid w:val="00AA580B"/>
    <w:rsid w:val="00AB1175"/>
    <w:rsid w:val="00AB199D"/>
    <w:rsid w:val="00AC04C1"/>
    <w:rsid w:val="00AC37DB"/>
    <w:rsid w:val="00AC57A6"/>
    <w:rsid w:val="00AC6228"/>
    <w:rsid w:val="00AC77B7"/>
    <w:rsid w:val="00AD1B3E"/>
    <w:rsid w:val="00AD1CE9"/>
    <w:rsid w:val="00AD6898"/>
    <w:rsid w:val="00AE27B1"/>
    <w:rsid w:val="00AE48BB"/>
    <w:rsid w:val="00AF1D4F"/>
    <w:rsid w:val="00AF78E0"/>
    <w:rsid w:val="00B021FE"/>
    <w:rsid w:val="00B023A1"/>
    <w:rsid w:val="00B033D7"/>
    <w:rsid w:val="00B13293"/>
    <w:rsid w:val="00B154A1"/>
    <w:rsid w:val="00B22AC9"/>
    <w:rsid w:val="00B240AD"/>
    <w:rsid w:val="00B324F1"/>
    <w:rsid w:val="00B33E3A"/>
    <w:rsid w:val="00B37C45"/>
    <w:rsid w:val="00B4726D"/>
    <w:rsid w:val="00B509A7"/>
    <w:rsid w:val="00B525A8"/>
    <w:rsid w:val="00B56BFE"/>
    <w:rsid w:val="00B63528"/>
    <w:rsid w:val="00B70450"/>
    <w:rsid w:val="00B76180"/>
    <w:rsid w:val="00B77616"/>
    <w:rsid w:val="00B7783E"/>
    <w:rsid w:val="00B93DE5"/>
    <w:rsid w:val="00BA643E"/>
    <w:rsid w:val="00BA7334"/>
    <w:rsid w:val="00BB19A8"/>
    <w:rsid w:val="00BB5F49"/>
    <w:rsid w:val="00BB7242"/>
    <w:rsid w:val="00BD489F"/>
    <w:rsid w:val="00BD58F0"/>
    <w:rsid w:val="00BE43FE"/>
    <w:rsid w:val="00C005C8"/>
    <w:rsid w:val="00C055C8"/>
    <w:rsid w:val="00C136D9"/>
    <w:rsid w:val="00C1563B"/>
    <w:rsid w:val="00C23DEF"/>
    <w:rsid w:val="00C2560F"/>
    <w:rsid w:val="00C26DA0"/>
    <w:rsid w:val="00C321F5"/>
    <w:rsid w:val="00C365AA"/>
    <w:rsid w:val="00C40F1C"/>
    <w:rsid w:val="00C44176"/>
    <w:rsid w:val="00C47C4E"/>
    <w:rsid w:val="00C5658D"/>
    <w:rsid w:val="00C614AC"/>
    <w:rsid w:val="00C7323B"/>
    <w:rsid w:val="00C7366C"/>
    <w:rsid w:val="00C741F8"/>
    <w:rsid w:val="00C7589D"/>
    <w:rsid w:val="00C77969"/>
    <w:rsid w:val="00C77E42"/>
    <w:rsid w:val="00C81F23"/>
    <w:rsid w:val="00C94C2C"/>
    <w:rsid w:val="00CB0D7C"/>
    <w:rsid w:val="00CB155F"/>
    <w:rsid w:val="00CC2ACB"/>
    <w:rsid w:val="00CE291A"/>
    <w:rsid w:val="00CE3413"/>
    <w:rsid w:val="00CF0E33"/>
    <w:rsid w:val="00CF43BE"/>
    <w:rsid w:val="00D01A5E"/>
    <w:rsid w:val="00D02E7C"/>
    <w:rsid w:val="00D03686"/>
    <w:rsid w:val="00D048A9"/>
    <w:rsid w:val="00D05F77"/>
    <w:rsid w:val="00D07C8B"/>
    <w:rsid w:val="00D11DDA"/>
    <w:rsid w:val="00D1756A"/>
    <w:rsid w:val="00D20D67"/>
    <w:rsid w:val="00D21680"/>
    <w:rsid w:val="00D2677E"/>
    <w:rsid w:val="00D322C8"/>
    <w:rsid w:val="00D34426"/>
    <w:rsid w:val="00D400C8"/>
    <w:rsid w:val="00D40774"/>
    <w:rsid w:val="00D4400F"/>
    <w:rsid w:val="00D544EB"/>
    <w:rsid w:val="00D54A84"/>
    <w:rsid w:val="00D56314"/>
    <w:rsid w:val="00D567B3"/>
    <w:rsid w:val="00D70804"/>
    <w:rsid w:val="00D73247"/>
    <w:rsid w:val="00D81E00"/>
    <w:rsid w:val="00D87456"/>
    <w:rsid w:val="00DB4CC8"/>
    <w:rsid w:val="00DB5B26"/>
    <w:rsid w:val="00DB6971"/>
    <w:rsid w:val="00DE0E51"/>
    <w:rsid w:val="00DE1452"/>
    <w:rsid w:val="00DE3D9A"/>
    <w:rsid w:val="00DE758C"/>
    <w:rsid w:val="00DE763F"/>
    <w:rsid w:val="00DF1117"/>
    <w:rsid w:val="00DF4B02"/>
    <w:rsid w:val="00DF4BFB"/>
    <w:rsid w:val="00DF68FB"/>
    <w:rsid w:val="00E004BC"/>
    <w:rsid w:val="00E02636"/>
    <w:rsid w:val="00E076D9"/>
    <w:rsid w:val="00E22459"/>
    <w:rsid w:val="00E3731B"/>
    <w:rsid w:val="00E5270D"/>
    <w:rsid w:val="00E5587A"/>
    <w:rsid w:val="00E62D89"/>
    <w:rsid w:val="00E844DC"/>
    <w:rsid w:val="00E847DD"/>
    <w:rsid w:val="00E90F79"/>
    <w:rsid w:val="00E92F2E"/>
    <w:rsid w:val="00E935C6"/>
    <w:rsid w:val="00E94AEE"/>
    <w:rsid w:val="00EA7000"/>
    <w:rsid w:val="00EB1752"/>
    <w:rsid w:val="00EB57CC"/>
    <w:rsid w:val="00EB5BB7"/>
    <w:rsid w:val="00EC0658"/>
    <w:rsid w:val="00EC330C"/>
    <w:rsid w:val="00EC4694"/>
    <w:rsid w:val="00EC53E3"/>
    <w:rsid w:val="00EC5BEB"/>
    <w:rsid w:val="00EC632F"/>
    <w:rsid w:val="00EC633C"/>
    <w:rsid w:val="00EE12F0"/>
    <w:rsid w:val="00EE2612"/>
    <w:rsid w:val="00EE37F5"/>
    <w:rsid w:val="00EE5475"/>
    <w:rsid w:val="00EE6018"/>
    <w:rsid w:val="00EE65D3"/>
    <w:rsid w:val="00EE687B"/>
    <w:rsid w:val="00EF0AEE"/>
    <w:rsid w:val="00F008CD"/>
    <w:rsid w:val="00F00EB5"/>
    <w:rsid w:val="00F04658"/>
    <w:rsid w:val="00F0482E"/>
    <w:rsid w:val="00F071E9"/>
    <w:rsid w:val="00F109F1"/>
    <w:rsid w:val="00F2275A"/>
    <w:rsid w:val="00F2638A"/>
    <w:rsid w:val="00F31616"/>
    <w:rsid w:val="00F3389B"/>
    <w:rsid w:val="00F35630"/>
    <w:rsid w:val="00F439D1"/>
    <w:rsid w:val="00F4518D"/>
    <w:rsid w:val="00F468BF"/>
    <w:rsid w:val="00F50231"/>
    <w:rsid w:val="00F5115E"/>
    <w:rsid w:val="00F548B0"/>
    <w:rsid w:val="00F54D08"/>
    <w:rsid w:val="00F564B9"/>
    <w:rsid w:val="00F63D24"/>
    <w:rsid w:val="00F76BC7"/>
    <w:rsid w:val="00F86185"/>
    <w:rsid w:val="00F9231E"/>
    <w:rsid w:val="00F96030"/>
    <w:rsid w:val="00FA5E0A"/>
    <w:rsid w:val="00FB514F"/>
    <w:rsid w:val="00FB5916"/>
    <w:rsid w:val="00FC19D7"/>
    <w:rsid w:val="00FC1FE6"/>
    <w:rsid w:val="00FC253A"/>
    <w:rsid w:val="00FD5058"/>
    <w:rsid w:val="00FD7F1B"/>
    <w:rsid w:val="00FE5D03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uiPriority w:val="99"/>
    <w:semiHidden/>
    <w:unhideWhenUsed/>
    <w:rsid w:val="00DB5B26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DB5B26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DB5B26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DB5B26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DB5B2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60.png"/><Relationship Id="rId21" Type="http://schemas.openxmlformats.org/officeDocument/2006/relationships/image" Target="media/image7.wmf"/><Relationship Id="rId42" Type="http://schemas.openxmlformats.org/officeDocument/2006/relationships/oleObject" Target="embeddings/oleObject15.bin"/><Relationship Id="rId63" Type="http://schemas.openxmlformats.org/officeDocument/2006/relationships/oleObject" Target="embeddings/oleObject23.bin"/><Relationship Id="rId84" Type="http://schemas.openxmlformats.org/officeDocument/2006/relationships/oleObject" Target="embeddings/oleObject33.bin"/><Relationship Id="rId138" Type="http://schemas.openxmlformats.org/officeDocument/2006/relationships/oleObject" Target="embeddings/oleObject58.bin"/><Relationship Id="rId107" Type="http://schemas.openxmlformats.org/officeDocument/2006/relationships/oleObject" Target="embeddings/oleObject44.bin"/><Relationship Id="rId11" Type="http://schemas.microsoft.com/office/2011/relationships/commentsExtended" Target="commentsExtended.xml"/><Relationship Id="rId32" Type="http://schemas.openxmlformats.org/officeDocument/2006/relationships/oleObject" Target="embeddings/oleObject10.bin"/><Relationship Id="rId53" Type="http://schemas.openxmlformats.org/officeDocument/2006/relationships/image" Target="media/image26.png"/><Relationship Id="rId74" Type="http://schemas.openxmlformats.org/officeDocument/2006/relationships/oleObject" Target="embeddings/oleObject28.bin"/><Relationship Id="rId128" Type="http://schemas.openxmlformats.org/officeDocument/2006/relationships/oleObject" Target="embeddings/oleObject53.bin"/><Relationship Id="rId149" Type="http://schemas.openxmlformats.org/officeDocument/2006/relationships/image" Target="media/image79.wmf"/><Relationship Id="rId5" Type="http://schemas.openxmlformats.org/officeDocument/2006/relationships/webSettings" Target="webSettings.xml"/><Relationship Id="rId95" Type="http://schemas.openxmlformats.org/officeDocument/2006/relationships/oleObject" Target="embeddings/oleObject38.bin"/><Relationship Id="rId22" Type="http://schemas.openxmlformats.org/officeDocument/2006/relationships/oleObject" Target="embeddings/oleObject6.bin"/><Relationship Id="rId27" Type="http://schemas.openxmlformats.org/officeDocument/2006/relationships/image" Target="media/image11.wmf"/><Relationship Id="rId43" Type="http://schemas.openxmlformats.org/officeDocument/2006/relationships/image" Target="media/image19.wmf"/><Relationship Id="rId48" Type="http://schemas.openxmlformats.org/officeDocument/2006/relationships/image" Target="media/image23.png"/><Relationship Id="rId64" Type="http://schemas.openxmlformats.org/officeDocument/2006/relationships/image" Target="media/image32.wmf"/><Relationship Id="rId69" Type="http://schemas.openxmlformats.org/officeDocument/2006/relationships/oleObject" Target="embeddings/oleObject26.bin"/><Relationship Id="rId113" Type="http://schemas.openxmlformats.org/officeDocument/2006/relationships/image" Target="media/image58.wmf"/><Relationship Id="rId118" Type="http://schemas.openxmlformats.org/officeDocument/2006/relationships/image" Target="media/image61.png"/><Relationship Id="rId134" Type="http://schemas.openxmlformats.org/officeDocument/2006/relationships/oleObject" Target="embeddings/oleObject56.bin"/><Relationship Id="rId139" Type="http://schemas.openxmlformats.org/officeDocument/2006/relationships/image" Target="media/image72.png"/><Relationship Id="rId80" Type="http://schemas.openxmlformats.org/officeDocument/2006/relationships/oleObject" Target="embeddings/oleObject31.bin"/><Relationship Id="rId85" Type="http://schemas.openxmlformats.org/officeDocument/2006/relationships/image" Target="media/image43.png"/><Relationship Id="rId150" Type="http://schemas.openxmlformats.org/officeDocument/2006/relationships/oleObject" Target="embeddings/oleObject62.bin"/><Relationship Id="rId12" Type="http://schemas.microsoft.com/office/2016/09/relationships/commentsIds" Target="commentsIds.xml"/><Relationship Id="rId17" Type="http://schemas.openxmlformats.org/officeDocument/2006/relationships/oleObject" Target="embeddings/oleObject4.bin"/><Relationship Id="rId33" Type="http://schemas.openxmlformats.org/officeDocument/2006/relationships/image" Target="media/image14.wmf"/><Relationship Id="rId38" Type="http://schemas.openxmlformats.org/officeDocument/2006/relationships/oleObject" Target="embeddings/oleObject13.bin"/><Relationship Id="rId59" Type="http://schemas.openxmlformats.org/officeDocument/2006/relationships/oleObject" Target="embeddings/oleObject21.bin"/><Relationship Id="rId103" Type="http://schemas.openxmlformats.org/officeDocument/2006/relationships/oleObject" Target="embeddings/oleObject42.bin"/><Relationship Id="rId108" Type="http://schemas.openxmlformats.org/officeDocument/2006/relationships/image" Target="media/image55.wmf"/><Relationship Id="rId124" Type="http://schemas.openxmlformats.org/officeDocument/2006/relationships/oleObject" Target="embeddings/oleObject51.bin"/><Relationship Id="rId129" Type="http://schemas.openxmlformats.org/officeDocument/2006/relationships/image" Target="media/image67.wmf"/><Relationship Id="rId54" Type="http://schemas.openxmlformats.org/officeDocument/2006/relationships/image" Target="media/image27.wmf"/><Relationship Id="rId70" Type="http://schemas.openxmlformats.org/officeDocument/2006/relationships/image" Target="media/image35.png"/><Relationship Id="rId75" Type="http://schemas.openxmlformats.org/officeDocument/2006/relationships/image" Target="media/image38.wmf"/><Relationship Id="rId91" Type="http://schemas.openxmlformats.org/officeDocument/2006/relationships/oleObject" Target="embeddings/oleObject36.bin"/><Relationship Id="rId96" Type="http://schemas.openxmlformats.org/officeDocument/2006/relationships/image" Target="media/image49.wmf"/><Relationship Id="rId140" Type="http://schemas.openxmlformats.org/officeDocument/2006/relationships/image" Target="media/image73.png"/><Relationship Id="rId145" Type="http://schemas.openxmlformats.org/officeDocument/2006/relationships/image" Target="media/image77.wmf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23" Type="http://schemas.openxmlformats.org/officeDocument/2006/relationships/image" Target="media/image8.png"/><Relationship Id="rId28" Type="http://schemas.openxmlformats.org/officeDocument/2006/relationships/oleObject" Target="embeddings/oleObject8.bin"/><Relationship Id="rId49" Type="http://schemas.openxmlformats.org/officeDocument/2006/relationships/image" Target="media/image24.wmf"/><Relationship Id="rId114" Type="http://schemas.openxmlformats.org/officeDocument/2006/relationships/oleObject" Target="embeddings/oleObject47.bin"/><Relationship Id="rId119" Type="http://schemas.openxmlformats.org/officeDocument/2006/relationships/image" Target="media/image62.wmf"/><Relationship Id="rId44" Type="http://schemas.openxmlformats.org/officeDocument/2006/relationships/oleObject" Target="embeddings/oleObject16.bin"/><Relationship Id="rId60" Type="http://schemas.openxmlformats.org/officeDocument/2006/relationships/image" Target="media/image30.wmf"/><Relationship Id="rId65" Type="http://schemas.openxmlformats.org/officeDocument/2006/relationships/oleObject" Target="embeddings/oleObject24.bin"/><Relationship Id="rId81" Type="http://schemas.openxmlformats.org/officeDocument/2006/relationships/image" Target="media/image41.wmf"/><Relationship Id="rId86" Type="http://schemas.openxmlformats.org/officeDocument/2006/relationships/image" Target="media/image44.wmf"/><Relationship Id="rId130" Type="http://schemas.openxmlformats.org/officeDocument/2006/relationships/oleObject" Target="embeddings/oleObject54.bin"/><Relationship Id="rId135" Type="http://schemas.openxmlformats.org/officeDocument/2006/relationships/image" Target="media/image70.wmf"/><Relationship Id="rId151" Type="http://schemas.openxmlformats.org/officeDocument/2006/relationships/image" Target="media/image80.png"/><Relationship Id="rId13" Type="http://schemas.microsoft.com/office/2018/08/relationships/commentsExtensible" Target="commentsExtensible.xml"/><Relationship Id="rId18" Type="http://schemas.openxmlformats.org/officeDocument/2006/relationships/image" Target="media/image5.wmf"/><Relationship Id="rId39" Type="http://schemas.openxmlformats.org/officeDocument/2006/relationships/image" Target="media/image17.wmf"/><Relationship Id="rId109" Type="http://schemas.openxmlformats.org/officeDocument/2006/relationships/oleObject" Target="embeddings/oleObject45.bin"/><Relationship Id="rId34" Type="http://schemas.openxmlformats.org/officeDocument/2006/relationships/oleObject" Target="embeddings/oleObject11.bin"/><Relationship Id="rId50" Type="http://schemas.openxmlformats.org/officeDocument/2006/relationships/oleObject" Target="embeddings/oleObject17.bin"/><Relationship Id="rId55" Type="http://schemas.openxmlformats.org/officeDocument/2006/relationships/oleObject" Target="embeddings/oleObject19.bin"/><Relationship Id="rId76" Type="http://schemas.openxmlformats.org/officeDocument/2006/relationships/oleObject" Target="embeddings/oleObject29.bin"/><Relationship Id="rId97" Type="http://schemas.openxmlformats.org/officeDocument/2006/relationships/oleObject" Target="embeddings/oleObject39.bin"/><Relationship Id="rId104" Type="http://schemas.openxmlformats.org/officeDocument/2006/relationships/image" Target="media/image53.wmf"/><Relationship Id="rId120" Type="http://schemas.openxmlformats.org/officeDocument/2006/relationships/oleObject" Target="embeddings/oleObject49.bin"/><Relationship Id="rId125" Type="http://schemas.openxmlformats.org/officeDocument/2006/relationships/image" Target="media/image65.wmf"/><Relationship Id="rId141" Type="http://schemas.openxmlformats.org/officeDocument/2006/relationships/image" Target="media/image74.png"/><Relationship Id="rId146" Type="http://schemas.openxmlformats.org/officeDocument/2006/relationships/oleObject" Target="embeddings/oleObject60.bin"/><Relationship Id="rId7" Type="http://schemas.openxmlformats.org/officeDocument/2006/relationships/oleObject" Target="embeddings/oleObject1.bin"/><Relationship Id="rId71" Type="http://schemas.openxmlformats.org/officeDocument/2006/relationships/image" Target="media/image36.wmf"/><Relationship Id="rId92" Type="http://schemas.openxmlformats.org/officeDocument/2006/relationships/image" Target="media/image47.wmf"/><Relationship Id="rId2" Type="http://schemas.openxmlformats.org/officeDocument/2006/relationships/numbering" Target="numbering.xml"/><Relationship Id="rId29" Type="http://schemas.openxmlformats.org/officeDocument/2006/relationships/image" Target="media/image12.wmf"/><Relationship Id="rId24" Type="http://schemas.openxmlformats.org/officeDocument/2006/relationships/image" Target="media/image9.wmf"/><Relationship Id="rId40" Type="http://schemas.openxmlformats.org/officeDocument/2006/relationships/oleObject" Target="embeddings/oleObject14.bin"/><Relationship Id="rId45" Type="http://schemas.openxmlformats.org/officeDocument/2006/relationships/image" Target="media/image20.png"/><Relationship Id="rId66" Type="http://schemas.openxmlformats.org/officeDocument/2006/relationships/image" Target="media/image33.wmf"/><Relationship Id="rId87" Type="http://schemas.openxmlformats.org/officeDocument/2006/relationships/oleObject" Target="embeddings/oleObject34.bin"/><Relationship Id="rId110" Type="http://schemas.openxmlformats.org/officeDocument/2006/relationships/image" Target="media/image56.wmf"/><Relationship Id="rId115" Type="http://schemas.openxmlformats.org/officeDocument/2006/relationships/image" Target="media/image59.wmf"/><Relationship Id="rId131" Type="http://schemas.openxmlformats.org/officeDocument/2006/relationships/image" Target="media/image68.wmf"/><Relationship Id="rId136" Type="http://schemas.openxmlformats.org/officeDocument/2006/relationships/oleObject" Target="embeddings/oleObject57.bin"/><Relationship Id="rId61" Type="http://schemas.openxmlformats.org/officeDocument/2006/relationships/oleObject" Target="embeddings/oleObject22.bin"/><Relationship Id="rId82" Type="http://schemas.openxmlformats.org/officeDocument/2006/relationships/oleObject" Target="embeddings/oleObject32.bin"/><Relationship Id="rId152" Type="http://schemas.openxmlformats.org/officeDocument/2006/relationships/fontTable" Target="fontTable.xml"/><Relationship Id="rId19" Type="http://schemas.openxmlformats.org/officeDocument/2006/relationships/oleObject" Target="embeddings/oleObject5.bin"/><Relationship Id="rId14" Type="http://schemas.openxmlformats.org/officeDocument/2006/relationships/image" Target="media/image3.wmf"/><Relationship Id="rId30" Type="http://schemas.openxmlformats.org/officeDocument/2006/relationships/oleObject" Target="embeddings/oleObject9.bin"/><Relationship Id="rId35" Type="http://schemas.openxmlformats.org/officeDocument/2006/relationships/image" Target="media/image15.wmf"/><Relationship Id="rId56" Type="http://schemas.openxmlformats.org/officeDocument/2006/relationships/image" Target="media/image28.wmf"/><Relationship Id="rId77" Type="http://schemas.openxmlformats.org/officeDocument/2006/relationships/image" Target="media/image39.wmf"/><Relationship Id="rId100" Type="http://schemas.openxmlformats.org/officeDocument/2006/relationships/image" Target="media/image51.wmf"/><Relationship Id="rId105" Type="http://schemas.openxmlformats.org/officeDocument/2006/relationships/oleObject" Target="embeddings/oleObject43.bin"/><Relationship Id="rId126" Type="http://schemas.openxmlformats.org/officeDocument/2006/relationships/oleObject" Target="embeddings/oleObject52.bin"/><Relationship Id="rId147" Type="http://schemas.openxmlformats.org/officeDocument/2006/relationships/image" Target="media/image78.wmf"/><Relationship Id="rId8" Type="http://schemas.openxmlformats.org/officeDocument/2006/relationships/image" Target="media/image2.wmf"/><Relationship Id="rId51" Type="http://schemas.openxmlformats.org/officeDocument/2006/relationships/image" Target="media/image25.wmf"/><Relationship Id="rId72" Type="http://schemas.openxmlformats.org/officeDocument/2006/relationships/oleObject" Target="embeddings/oleObject27.bin"/><Relationship Id="rId93" Type="http://schemas.openxmlformats.org/officeDocument/2006/relationships/oleObject" Target="embeddings/oleObject37.bin"/><Relationship Id="rId98" Type="http://schemas.openxmlformats.org/officeDocument/2006/relationships/image" Target="media/image50.wmf"/><Relationship Id="rId121" Type="http://schemas.openxmlformats.org/officeDocument/2006/relationships/image" Target="media/image63.wmf"/><Relationship Id="rId142" Type="http://schemas.openxmlformats.org/officeDocument/2006/relationships/image" Target="media/image75.png"/><Relationship Id="rId3" Type="http://schemas.openxmlformats.org/officeDocument/2006/relationships/styles" Target="styles.xml"/><Relationship Id="rId25" Type="http://schemas.openxmlformats.org/officeDocument/2006/relationships/oleObject" Target="embeddings/oleObject7.bin"/><Relationship Id="rId46" Type="http://schemas.openxmlformats.org/officeDocument/2006/relationships/image" Target="media/image21.png"/><Relationship Id="rId67" Type="http://schemas.openxmlformats.org/officeDocument/2006/relationships/oleObject" Target="embeddings/oleObject25.bin"/><Relationship Id="rId116" Type="http://schemas.openxmlformats.org/officeDocument/2006/relationships/oleObject" Target="embeddings/oleObject48.bin"/><Relationship Id="rId137" Type="http://schemas.openxmlformats.org/officeDocument/2006/relationships/image" Target="media/image71.wmf"/><Relationship Id="rId20" Type="http://schemas.openxmlformats.org/officeDocument/2006/relationships/image" Target="media/image6.png"/><Relationship Id="rId41" Type="http://schemas.openxmlformats.org/officeDocument/2006/relationships/image" Target="media/image18.wmf"/><Relationship Id="rId62" Type="http://schemas.openxmlformats.org/officeDocument/2006/relationships/image" Target="media/image31.wmf"/><Relationship Id="rId83" Type="http://schemas.openxmlformats.org/officeDocument/2006/relationships/image" Target="media/image42.wmf"/><Relationship Id="rId88" Type="http://schemas.openxmlformats.org/officeDocument/2006/relationships/image" Target="media/image45.wmf"/><Relationship Id="rId111" Type="http://schemas.openxmlformats.org/officeDocument/2006/relationships/oleObject" Target="embeddings/oleObject46.bin"/><Relationship Id="rId132" Type="http://schemas.openxmlformats.org/officeDocument/2006/relationships/oleObject" Target="embeddings/oleObject55.bin"/><Relationship Id="rId153" Type="http://schemas.microsoft.com/office/2011/relationships/people" Target="people.xml"/><Relationship Id="rId15" Type="http://schemas.openxmlformats.org/officeDocument/2006/relationships/oleObject" Target="embeddings/oleObject3.bin"/><Relationship Id="rId36" Type="http://schemas.openxmlformats.org/officeDocument/2006/relationships/oleObject" Target="embeddings/oleObject12.bin"/><Relationship Id="rId57" Type="http://schemas.openxmlformats.org/officeDocument/2006/relationships/oleObject" Target="embeddings/oleObject20.bin"/><Relationship Id="rId106" Type="http://schemas.openxmlformats.org/officeDocument/2006/relationships/image" Target="media/image54.wmf"/><Relationship Id="rId127" Type="http://schemas.openxmlformats.org/officeDocument/2006/relationships/image" Target="media/image66.wmf"/><Relationship Id="rId10" Type="http://schemas.openxmlformats.org/officeDocument/2006/relationships/comments" Target="comments.xml"/><Relationship Id="rId31" Type="http://schemas.openxmlformats.org/officeDocument/2006/relationships/image" Target="media/image13.wmf"/><Relationship Id="rId52" Type="http://schemas.openxmlformats.org/officeDocument/2006/relationships/oleObject" Target="embeddings/oleObject18.bin"/><Relationship Id="rId73" Type="http://schemas.openxmlformats.org/officeDocument/2006/relationships/image" Target="media/image37.wmf"/><Relationship Id="rId78" Type="http://schemas.openxmlformats.org/officeDocument/2006/relationships/oleObject" Target="embeddings/oleObject30.bin"/><Relationship Id="rId94" Type="http://schemas.openxmlformats.org/officeDocument/2006/relationships/image" Target="media/image48.wmf"/><Relationship Id="rId99" Type="http://schemas.openxmlformats.org/officeDocument/2006/relationships/oleObject" Target="embeddings/oleObject40.bin"/><Relationship Id="rId101" Type="http://schemas.openxmlformats.org/officeDocument/2006/relationships/oleObject" Target="embeddings/oleObject41.bin"/><Relationship Id="rId122" Type="http://schemas.openxmlformats.org/officeDocument/2006/relationships/oleObject" Target="embeddings/oleObject50.bin"/><Relationship Id="rId143" Type="http://schemas.openxmlformats.org/officeDocument/2006/relationships/image" Target="media/image76.wmf"/><Relationship Id="rId148" Type="http://schemas.openxmlformats.org/officeDocument/2006/relationships/oleObject" Target="embeddings/oleObject61.bin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Relationship Id="rId26" Type="http://schemas.openxmlformats.org/officeDocument/2006/relationships/image" Target="media/image10.png"/><Relationship Id="rId47" Type="http://schemas.openxmlformats.org/officeDocument/2006/relationships/image" Target="media/image22.png"/><Relationship Id="rId68" Type="http://schemas.openxmlformats.org/officeDocument/2006/relationships/image" Target="media/image34.wmf"/><Relationship Id="rId89" Type="http://schemas.openxmlformats.org/officeDocument/2006/relationships/oleObject" Target="embeddings/oleObject35.bin"/><Relationship Id="rId112" Type="http://schemas.openxmlformats.org/officeDocument/2006/relationships/image" Target="media/image57.png"/><Relationship Id="rId133" Type="http://schemas.openxmlformats.org/officeDocument/2006/relationships/image" Target="media/image69.wmf"/><Relationship Id="rId154" Type="http://schemas.openxmlformats.org/officeDocument/2006/relationships/theme" Target="theme/theme1.xml"/><Relationship Id="rId16" Type="http://schemas.openxmlformats.org/officeDocument/2006/relationships/image" Target="media/image4.wmf"/><Relationship Id="rId37" Type="http://schemas.openxmlformats.org/officeDocument/2006/relationships/image" Target="media/image16.wmf"/><Relationship Id="rId58" Type="http://schemas.openxmlformats.org/officeDocument/2006/relationships/image" Target="media/image29.wmf"/><Relationship Id="rId79" Type="http://schemas.openxmlformats.org/officeDocument/2006/relationships/image" Target="media/image40.wmf"/><Relationship Id="rId102" Type="http://schemas.openxmlformats.org/officeDocument/2006/relationships/image" Target="media/image52.wmf"/><Relationship Id="rId123" Type="http://schemas.openxmlformats.org/officeDocument/2006/relationships/image" Target="media/image64.wmf"/><Relationship Id="rId144" Type="http://schemas.openxmlformats.org/officeDocument/2006/relationships/oleObject" Target="embeddings/oleObject59.bin"/><Relationship Id="rId90" Type="http://schemas.openxmlformats.org/officeDocument/2006/relationships/image" Target="media/image46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1416</TotalTime>
  <Pages>1</Pages>
  <Words>13218</Words>
  <Characters>75347</Characters>
  <Application>Microsoft Office Word</Application>
  <DocSecurity>0</DocSecurity>
  <Lines>627</Lines>
  <Paragraphs>176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Admini</cp:lastModifiedBy>
  <cp:revision>502</cp:revision>
  <dcterms:created xsi:type="dcterms:W3CDTF">2026-03-08T09:35:00Z</dcterms:created>
  <dcterms:modified xsi:type="dcterms:W3CDTF">2026-06-03T03:06:00Z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